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D59CA" w14:textId="179D6827" w:rsidR="00E35A1E" w:rsidRDefault="00E35A1E" w:rsidP="00E35A1E">
      <w:pPr>
        <w:pStyle w:val="Title"/>
        <w:spacing w:line="360" w:lineRule="auto"/>
        <w:ind w:right="-2"/>
        <w:rPr>
          <w:rFonts w:ascii="Libre Baskerville" w:eastAsia="Libre Baskerville" w:hAnsi="Libre Baskerville" w:cs="Libre Baskerville"/>
          <w:sz w:val="18"/>
          <w:szCs w:val="18"/>
        </w:rPr>
      </w:pPr>
      <w:r>
        <w:rPr>
          <w:noProof/>
          <w:lang w:val="id-ID"/>
        </w:rPr>
        <w:drawing>
          <wp:anchor distT="0" distB="0" distL="114300" distR="114300" simplePos="0" relativeHeight="251652608" behindDoc="0" locked="0" layoutInCell="1" hidden="0" allowOverlap="1" wp14:anchorId="677ADCE8" wp14:editId="090BDA23">
            <wp:simplePos x="0" y="0"/>
            <wp:positionH relativeFrom="column">
              <wp:posOffset>-187960</wp:posOffset>
            </wp:positionH>
            <wp:positionV relativeFrom="paragraph">
              <wp:posOffset>-118110</wp:posOffset>
            </wp:positionV>
            <wp:extent cx="1143635" cy="114363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43635" cy="1143635"/>
                    </a:xfrm>
                    <a:prstGeom prst="rect">
                      <a:avLst/>
                    </a:prstGeom>
                    <a:ln/>
                  </pic:spPr>
                </pic:pic>
              </a:graphicData>
            </a:graphic>
          </wp:anchor>
        </w:drawing>
      </w:r>
      <w:r w:rsidR="00303DE3">
        <w:rPr>
          <w:rFonts w:ascii="Libre Baskerville" w:eastAsia="Libre Baskerville" w:hAnsi="Libre Baskerville" w:cs="Libre Baskerville"/>
          <w:sz w:val="18"/>
          <w:szCs w:val="18"/>
        </w:rPr>
        <w:t>TARBIYA: Journal of Education in Muslim Society</w:t>
      </w:r>
      <w:r>
        <w:rPr>
          <w:rFonts w:ascii="Libre Baskerville" w:eastAsia="Libre Baskerville" w:hAnsi="Libre Baskerville" w:cs="Libre Baskerville"/>
          <w:sz w:val="18"/>
          <w:szCs w:val="18"/>
        </w:rPr>
        <w:t>, x (x), xxxx, x-x</w:t>
      </w:r>
    </w:p>
    <w:p w14:paraId="5A9E2B48" w14:textId="0F48A71F" w:rsidR="00E35A1E" w:rsidRPr="00E35A1E" w:rsidRDefault="00E35A1E" w:rsidP="00E35A1E">
      <w:pPr>
        <w:spacing w:after="0" w:line="360" w:lineRule="auto"/>
        <w:jc w:val="center"/>
        <w:rPr>
          <w:rFonts w:ascii="Libre Baskerville" w:hAnsi="Libre Baskerville"/>
          <w:sz w:val="18"/>
          <w:szCs w:val="18"/>
        </w:rPr>
      </w:pPr>
      <w:r w:rsidRPr="00E35A1E">
        <w:rPr>
          <w:rFonts w:ascii="Libre Baskerville" w:hAnsi="Libre Baskerville"/>
          <w:sz w:val="18"/>
          <w:szCs w:val="18"/>
        </w:rPr>
        <w:t>DOI</w:t>
      </w:r>
      <w:r>
        <w:rPr>
          <w:rFonts w:ascii="Libre Baskerville" w:hAnsi="Libre Baskerville"/>
          <w:sz w:val="18"/>
          <w:szCs w:val="18"/>
        </w:rPr>
        <w:t>:</w:t>
      </w:r>
    </w:p>
    <w:p w14:paraId="5BD1AFD8" w14:textId="7386DB71" w:rsidR="008B3EE8" w:rsidRDefault="00303DE3" w:rsidP="00E35A1E">
      <w:pPr>
        <w:pStyle w:val="Title"/>
        <w:spacing w:line="360" w:lineRule="auto"/>
        <w:ind w:right="-2"/>
        <w:rPr>
          <w:rFonts w:ascii="Libre Baskerville" w:eastAsia="Libre Baskerville" w:hAnsi="Libre Baskerville" w:cs="Libre Baskerville"/>
          <w:sz w:val="18"/>
          <w:szCs w:val="18"/>
        </w:rPr>
      </w:pPr>
      <w:r>
        <w:rPr>
          <w:rFonts w:ascii="Libre Baskerville" w:eastAsia="Libre Baskerville" w:hAnsi="Libre Baskerville" w:cs="Libre Baskerville"/>
          <w:sz w:val="18"/>
          <w:szCs w:val="18"/>
        </w:rPr>
        <w:t>Website:</w:t>
      </w:r>
      <w:r w:rsidR="00E35A1E">
        <w:rPr>
          <w:rFonts w:ascii="Libre Baskerville" w:eastAsia="Libre Baskerville" w:hAnsi="Libre Baskerville" w:cs="Libre Baskerville"/>
          <w:sz w:val="18"/>
          <w:szCs w:val="18"/>
        </w:rPr>
        <w:t xml:space="preserve"> </w:t>
      </w:r>
      <w:r>
        <w:rPr>
          <w:rFonts w:ascii="Libre Baskerville" w:eastAsia="Libre Baskerville" w:hAnsi="Libre Baskerville" w:cs="Libre Baskerville"/>
          <w:sz w:val="18"/>
          <w:szCs w:val="18"/>
        </w:rPr>
        <w:t>http://journal.uinjkt.ac.id/index.php/tarbiya</w:t>
      </w:r>
    </w:p>
    <w:p w14:paraId="26CA40E4" w14:textId="78CA9398" w:rsidR="008B3EE8" w:rsidRDefault="00E35A1E" w:rsidP="00E35A1E">
      <w:pPr>
        <w:pStyle w:val="Title"/>
        <w:spacing w:line="360" w:lineRule="auto"/>
        <w:ind w:right="-2"/>
        <w:rPr>
          <w:rFonts w:ascii="Libre Baskerville" w:eastAsia="Libre Baskerville" w:hAnsi="Libre Baskerville" w:cs="Libre Baskerville"/>
          <w:sz w:val="18"/>
          <w:szCs w:val="18"/>
        </w:rPr>
      </w:pPr>
      <w:r>
        <w:rPr>
          <w:rFonts w:ascii="Libre Baskerville" w:eastAsia="Libre Baskerville" w:hAnsi="Libre Baskerville" w:cs="Libre Baskerville"/>
          <w:sz w:val="18"/>
          <w:szCs w:val="18"/>
        </w:rPr>
        <w:t>p-ISSN: xxxx-xxxx, e-ISSN: xxxx-xxxx</w:t>
      </w:r>
    </w:p>
    <w:p w14:paraId="3828274C" w14:textId="09F827AD" w:rsidR="008B3EE8" w:rsidRDefault="00B06971">
      <w:pPr>
        <w:pStyle w:val="Title"/>
        <w:spacing w:before="240"/>
        <w:rPr>
          <w:rFonts w:ascii="Kozuka Gothic Pro B" w:eastAsia="Kozuka Gothic Pro B" w:hAnsi="Kozuka Gothic Pro B" w:cs="Kozuka Gothic Pro B"/>
        </w:rPr>
      </w:pPr>
      <w:r>
        <w:rPr>
          <w:noProof/>
          <w:lang w:val="id-ID"/>
        </w:rPr>
        <mc:AlternateContent>
          <mc:Choice Requires="wps">
            <w:drawing>
              <wp:anchor distT="0" distB="0" distL="114300" distR="114300" simplePos="0" relativeHeight="251655680" behindDoc="0" locked="0" layoutInCell="1" hidden="0" allowOverlap="1" wp14:anchorId="2874ADBE" wp14:editId="39162FF2">
                <wp:simplePos x="0" y="0"/>
                <wp:positionH relativeFrom="column">
                  <wp:posOffset>12565</wp:posOffset>
                </wp:positionH>
                <wp:positionV relativeFrom="paragraph">
                  <wp:posOffset>92075</wp:posOffset>
                </wp:positionV>
                <wp:extent cx="574802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0" y="0"/>
                          <a:ext cx="574802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884CD5A" id="_x0000_t32" coordsize="21600,21600" o:spt="32" o:oned="t" path="m,l21600,21600e" filled="f">
                <v:path arrowok="t" fillok="f" o:connecttype="none"/>
                <o:lock v:ext="edit" shapetype="t"/>
              </v:shapetype>
              <v:shape id="Straight Arrow Connector 2" o:spid="_x0000_s1026" type="#_x0000_t32" style="position:absolute;margin-left:1pt;margin-top:7.25pt;width:452.6pt;height:1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" strokeweight="1pt"/>
            </w:pict>
          </mc:Fallback>
        </mc:AlternateContent>
      </w:r>
      <w:r w:rsidR="00303DE3">
        <w:rPr>
          <w:b w:val="0"/>
        </w:rPr>
        <w:t xml:space="preserve"> </w:t>
      </w:r>
      <w:r>
        <w:rPr>
          <w:rFonts w:ascii="Kozuka Gothic Pro B" w:eastAsia="Kozuka Gothic Pro B" w:hAnsi="Kozuka Gothic Pro B" w:cs="Kozuka Gothic Pro B"/>
        </w:rPr>
        <w:t>COMMUNITY-BASED EDUCATION: THE #LESSWASTE HABIT FORMATION BY THE YUKNGAJI CLUB AS AN ENVIRONMENTAL CONSERVATION EFFORT</w:t>
      </w:r>
    </w:p>
    <w:p w14:paraId="0F76EABB" w14:textId="7A4BA83C" w:rsidR="00B06971" w:rsidRDefault="00B06971" w:rsidP="00B06971">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Meshal Saleh A. Alanazi</w:t>
      </w:r>
      <w:r>
        <w:rPr>
          <w:rFonts w:ascii="Times New Roman" w:eastAsia="Times New Roman" w:hAnsi="Times New Roman" w:cs="Times New Roman"/>
          <w:bCs/>
          <w:sz w:val="24"/>
          <w:szCs w:val="24"/>
          <w:vertAlign w:val="superscript"/>
        </w:rPr>
        <w:t>1</w:t>
      </w:r>
      <w:r>
        <w:rPr>
          <w:rFonts w:ascii="Times New Roman" w:eastAsia="Times New Roman" w:hAnsi="Times New Roman" w:cs="Times New Roman"/>
          <w:bCs/>
          <w:sz w:val="24"/>
          <w:szCs w:val="24"/>
        </w:rPr>
        <w:t>, Muhammad Asgar Muzakki</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JM Muslimin</w:t>
      </w:r>
      <w:r>
        <w:rPr>
          <w:rFonts w:ascii="Times New Roman" w:eastAsia="Times New Roman" w:hAnsi="Times New Roman" w:cs="Times New Roman"/>
          <w:bCs/>
          <w:sz w:val="24"/>
          <w:szCs w:val="24"/>
          <w:vertAlign w:val="superscript"/>
        </w:rPr>
        <w:t>3</w:t>
      </w:r>
      <w:r>
        <w:rPr>
          <w:rFonts w:ascii="Times New Roman" w:eastAsia="Times New Roman" w:hAnsi="Times New Roman" w:cs="Times New Roman"/>
          <w:bCs/>
          <w:sz w:val="24"/>
          <w:szCs w:val="24"/>
        </w:rPr>
        <w:t>,</w:t>
      </w:r>
    </w:p>
    <w:p w14:paraId="7778587C" w14:textId="2C2350DB" w:rsidR="008B3EE8" w:rsidRPr="00B06971" w:rsidRDefault="00B06971" w:rsidP="00B06971">
      <w:pPr>
        <w:spacing w:after="0" w:line="240" w:lineRule="auto"/>
        <w:jc w:val="center"/>
        <w:rPr>
          <w:rFonts w:ascii="Times New Roman" w:eastAsia="Times New Roman" w:hAnsi="Times New Roman" w:cs="Times New Roman"/>
          <w:bCs/>
          <w:sz w:val="24"/>
          <w:szCs w:val="24"/>
          <w:vertAlign w:val="superscript"/>
        </w:rPr>
      </w:pPr>
      <w:r>
        <w:rPr>
          <w:rFonts w:ascii="Times New Roman" w:eastAsia="Times New Roman" w:hAnsi="Times New Roman" w:cs="Times New Roman"/>
          <w:bCs/>
          <w:sz w:val="24"/>
          <w:szCs w:val="24"/>
        </w:rPr>
        <w:t>Syahrul Ramadhan Hidayat</w:t>
      </w:r>
      <w:r>
        <w:rPr>
          <w:rFonts w:ascii="Times New Roman" w:eastAsia="Times New Roman" w:hAnsi="Times New Roman" w:cs="Times New Roman"/>
          <w:bCs/>
          <w:sz w:val="24"/>
          <w:szCs w:val="24"/>
          <w:vertAlign w:val="superscript"/>
        </w:rPr>
        <w:t>4</w:t>
      </w:r>
      <w:r w:rsidR="00303DE3">
        <w:rPr>
          <w:rFonts w:ascii="Times New Roman" w:eastAsia="Times New Roman" w:hAnsi="Times New Roman" w:cs="Times New Roman"/>
          <w:b/>
          <w:sz w:val="24"/>
          <w:szCs w:val="24"/>
        </w:rPr>
        <w:t>*</w:t>
      </w:r>
      <w:r>
        <w:rPr>
          <w:rFonts w:ascii="Times New Roman" w:eastAsia="Times New Roman" w:hAnsi="Times New Roman" w:cs="Times New Roman"/>
          <w:bCs/>
          <w:sz w:val="24"/>
          <w:szCs w:val="24"/>
        </w:rPr>
        <w:t>, Nabila Bin Yusof</w:t>
      </w:r>
      <w:r>
        <w:rPr>
          <w:rFonts w:ascii="Times New Roman" w:eastAsia="Times New Roman" w:hAnsi="Times New Roman" w:cs="Times New Roman"/>
          <w:bCs/>
          <w:sz w:val="24"/>
          <w:szCs w:val="24"/>
          <w:vertAlign w:val="superscript"/>
        </w:rPr>
        <w:t>5</w:t>
      </w:r>
      <w:r>
        <w:rPr>
          <w:rFonts w:ascii="Times New Roman" w:eastAsia="Times New Roman" w:hAnsi="Times New Roman" w:cs="Times New Roman"/>
          <w:bCs/>
          <w:sz w:val="24"/>
          <w:szCs w:val="24"/>
        </w:rPr>
        <w:t>, Ghulam Musthafa Nukhba</w:t>
      </w:r>
      <w:r>
        <w:rPr>
          <w:rFonts w:ascii="Times New Roman" w:eastAsia="Times New Roman" w:hAnsi="Times New Roman" w:cs="Times New Roman"/>
          <w:bCs/>
          <w:sz w:val="24"/>
          <w:szCs w:val="24"/>
          <w:vertAlign w:val="superscript"/>
        </w:rPr>
        <w:t>6</w:t>
      </w:r>
    </w:p>
    <w:p w14:paraId="29248928" w14:textId="77777777" w:rsidR="00B06971" w:rsidRDefault="00B06971">
      <w:pPr>
        <w:spacing w:after="0" w:line="240" w:lineRule="auto"/>
        <w:jc w:val="center"/>
        <w:rPr>
          <w:rFonts w:ascii="Times New Roman" w:eastAsia="Times New Roman" w:hAnsi="Times New Roman" w:cs="Times New Roman"/>
          <w:sz w:val="24"/>
          <w:szCs w:val="24"/>
        </w:rPr>
      </w:pPr>
    </w:p>
    <w:p w14:paraId="5EE790FE" w14:textId="5DC44F33" w:rsidR="008B3EE8" w:rsidRPr="00E37FDE" w:rsidRDefault="00B06971">
      <w:pPr>
        <w:spacing w:after="0" w:line="240" w:lineRule="auto"/>
        <w:jc w:val="center"/>
        <w:rPr>
          <w:rFonts w:ascii="Times New Roman" w:eastAsia="Times New Roman" w:hAnsi="Times New Roman" w:cs="Times New Roman"/>
        </w:rPr>
      </w:pPr>
      <w:r w:rsidRPr="00E37FDE">
        <w:rPr>
          <w:rFonts w:ascii="Times New Roman" w:eastAsia="Times New Roman" w:hAnsi="Times New Roman" w:cs="Times New Roman"/>
          <w:vertAlign w:val="superscript"/>
        </w:rPr>
        <w:t>1234</w:t>
      </w:r>
      <w:r w:rsidRPr="00E37FDE">
        <w:rPr>
          <w:rFonts w:ascii="Times New Roman" w:eastAsia="Times New Roman" w:hAnsi="Times New Roman" w:cs="Times New Roman"/>
        </w:rPr>
        <w:t>Graduate School of Syarif Hidayatullah State Islamic University Jakarta, Indonesia</w:t>
      </w:r>
    </w:p>
    <w:p w14:paraId="7A4599DC" w14:textId="321477FA" w:rsidR="00B06971" w:rsidRPr="00E37FDE" w:rsidRDefault="00B06971">
      <w:pPr>
        <w:spacing w:after="0" w:line="240" w:lineRule="auto"/>
        <w:jc w:val="center"/>
        <w:rPr>
          <w:rFonts w:ascii="Times New Roman" w:eastAsia="Times New Roman" w:hAnsi="Times New Roman" w:cs="Times New Roman"/>
        </w:rPr>
      </w:pPr>
      <w:r w:rsidRPr="00E37FDE">
        <w:rPr>
          <w:rFonts w:ascii="Times New Roman" w:eastAsia="Times New Roman" w:hAnsi="Times New Roman" w:cs="Times New Roman"/>
          <w:vertAlign w:val="superscript"/>
        </w:rPr>
        <w:t>5</w:t>
      </w:r>
      <w:r w:rsidRPr="00E37FDE">
        <w:rPr>
          <w:rFonts w:ascii="Times New Roman" w:eastAsia="Times New Roman" w:hAnsi="Times New Roman" w:cs="Times New Roman"/>
        </w:rPr>
        <w:t>Universiti Sains Islam, Malaysia</w:t>
      </w:r>
    </w:p>
    <w:p w14:paraId="796E4286" w14:textId="72C0F407" w:rsidR="008B3EE8" w:rsidRPr="00E37FDE" w:rsidRDefault="00B06971" w:rsidP="00E35A1E">
      <w:pPr>
        <w:spacing w:after="0" w:line="240" w:lineRule="auto"/>
        <w:jc w:val="center"/>
        <w:rPr>
          <w:rFonts w:ascii="Times New Roman" w:eastAsia="Times New Roman" w:hAnsi="Times New Roman" w:cs="Times New Roman"/>
        </w:rPr>
      </w:pPr>
      <w:r w:rsidRPr="00E37FDE">
        <w:rPr>
          <w:rFonts w:ascii="Times New Roman" w:eastAsia="Times New Roman" w:hAnsi="Times New Roman" w:cs="Times New Roman"/>
          <w:vertAlign w:val="superscript"/>
        </w:rPr>
        <w:t>6</w:t>
      </w:r>
      <w:r w:rsidRPr="00E37FDE">
        <w:rPr>
          <w:rFonts w:ascii="Times New Roman" w:eastAsia="Times New Roman" w:hAnsi="Times New Roman" w:cs="Times New Roman"/>
        </w:rPr>
        <w:t>Kabul University, Afghanistan</w:t>
      </w:r>
    </w:p>
    <w:p w14:paraId="15FB11E2" w14:textId="441EEE1C" w:rsidR="008B3EE8" w:rsidRPr="00E37FDE" w:rsidRDefault="00303DE3">
      <w:pPr>
        <w:spacing w:after="120" w:line="240" w:lineRule="auto"/>
        <w:jc w:val="center"/>
        <w:rPr>
          <w:rFonts w:ascii="Times New Roman" w:eastAsia="Times New Roman" w:hAnsi="Times New Roman" w:cs="Times New Roman"/>
        </w:rPr>
      </w:pPr>
      <w:r w:rsidRPr="00E37FDE">
        <w:rPr>
          <w:rFonts w:ascii="Times New Roman" w:eastAsia="Times New Roman" w:hAnsi="Times New Roman" w:cs="Times New Roman"/>
        </w:rPr>
        <w:t xml:space="preserve"> E-mail: </w:t>
      </w:r>
      <w:r w:rsidRPr="00E37FDE">
        <w:rPr>
          <w:rFonts w:ascii="Times New Roman" w:eastAsia="Times New Roman" w:hAnsi="Times New Roman" w:cs="Times New Roman"/>
          <w:vertAlign w:val="superscript"/>
        </w:rPr>
        <w:t>*</w:t>
      </w:r>
      <w:r w:rsidR="00B06971" w:rsidRPr="00E37FDE">
        <w:rPr>
          <w:rFonts w:ascii="Times New Roman" w:eastAsia="Times New Roman" w:hAnsi="Times New Roman" w:cs="Times New Roman"/>
        </w:rPr>
        <w:t>ramadhanhidayat30@gmail.com</w:t>
      </w:r>
      <w:r w:rsidRPr="00E37FDE">
        <w:rPr>
          <w:rFonts w:ascii="Times New Roman" w:eastAsia="Times New Roman" w:hAnsi="Times New Roman" w:cs="Times New Roman"/>
        </w:rPr>
        <w:t>,</w:t>
      </w:r>
    </w:p>
    <w:p w14:paraId="5BE9C0AD" w14:textId="60483EB9" w:rsidR="008B3EE8" w:rsidRDefault="00303DE3">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Tlp/WA: </w:t>
      </w:r>
      <w:r w:rsidR="00B06971">
        <w:rPr>
          <w:rFonts w:ascii="Times New Roman" w:eastAsia="Times New Roman" w:hAnsi="Times New Roman" w:cs="Times New Roman"/>
          <w:sz w:val="24"/>
          <w:szCs w:val="24"/>
        </w:rPr>
        <w:t>0823 8184 8386</w:t>
      </w:r>
    </w:p>
    <w:p w14:paraId="319181D1" w14:textId="77777777" w:rsidR="008B3EE8" w:rsidRDefault="00303DE3">
      <w:pPr>
        <w:spacing w:before="120" w:after="120" w:line="240" w:lineRule="auto"/>
        <w:jc w:val="center"/>
        <w:rPr>
          <w:rFonts w:ascii="EB Garamond" w:eastAsia="EB Garamond" w:hAnsi="EB Garamond" w:cs="EB Garamond"/>
        </w:rPr>
      </w:pPr>
      <w:r>
        <w:rPr>
          <w:rFonts w:ascii="EB Garamond" w:eastAsia="EB Garamond" w:hAnsi="EB Garamond" w:cs="EB Garamond"/>
        </w:rPr>
        <w:t>Received: xxx; Revised: xxx; Accepted: xxx</w:t>
      </w:r>
      <w:r>
        <w:rPr>
          <w:noProof/>
          <w:lang w:val="id-ID"/>
        </w:rPr>
        <mc:AlternateContent>
          <mc:Choice Requires="wpg">
            <w:drawing>
              <wp:anchor distT="0" distB="0" distL="114300" distR="114300" simplePos="0" relativeHeight="251654656" behindDoc="0" locked="0" layoutInCell="1" hidden="0" allowOverlap="1" wp14:anchorId="1092C9EF" wp14:editId="1C746A14">
                <wp:simplePos x="0" y="0"/>
                <wp:positionH relativeFrom="column">
                  <wp:posOffset>25401</wp:posOffset>
                </wp:positionH>
                <wp:positionV relativeFrom="paragraph">
                  <wp:posOffset>0</wp:posOffset>
                </wp:positionV>
                <wp:extent cx="5748020" cy="194945"/>
                <wp:effectExtent l="0" t="0" r="0" b="0"/>
                <wp:wrapNone/>
                <wp:docPr id="1" name="Group 1"/>
                <wp:cNvGraphicFramePr/>
                <a:graphic xmlns:a="http://schemas.openxmlformats.org/drawingml/2006/main">
                  <a:graphicData uri="http://schemas.microsoft.com/office/word/2010/wordprocessingGroup">
                    <wpg:wgp>
                      <wpg:cNvGrpSpPr/>
                      <wpg:grpSpPr>
                        <a:xfrm>
                          <a:off x="0" y="0"/>
                          <a:ext cx="5748020" cy="194945"/>
                          <a:chOff x="2471975" y="3676175"/>
                          <a:chExt cx="5748050" cy="207650"/>
                        </a:xfrm>
                      </wpg:grpSpPr>
                      <wpg:grpSp>
                        <wpg:cNvPr id="4" name="Group 4"/>
                        <wpg:cNvGrpSpPr/>
                        <wpg:grpSpPr>
                          <a:xfrm>
                            <a:off x="2471990" y="3682528"/>
                            <a:ext cx="5748020" cy="194945"/>
                            <a:chOff x="1699" y="5684"/>
                            <a:chExt cx="8519" cy="307"/>
                          </a:xfrm>
                        </wpg:grpSpPr>
                        <wps:wsp>
                          <wps:cNvPr id="5" name="Rectangle 5"/>
                          <wps:cNvSpPr/>
                          <wps:spPr>
                            <a:xfrm>
                              <a:off x="1699" y="5684"/>
                              <a:ext cx="8500" cy="300"/>
                            </a:xfrm>
                            <a:prstGeom prst="rect">
                              <a:avLst/>
                            </a:prstGeom>
                            <a:noFill/>
                            <a:ln>
                              <a:noFill/>
                            </a:ln>
                          </wps:spPr>
                          <wps:txbx>
                            <w:txbxContent>
                              <w:p w14:paraId="0BE563D2" w14:textId="77777777" w:rsidR="008B3EE8" w:rsidRDefault="008B3EE8">
                                <w:pPr>
                                  <w:spacing w:after="0" w:line="240" w:lineRule="auto"/>
                                  <w:textDirection w:val="btLr"/>
                                </w:pPr>
                              </w:p>
                            </w:txbxContent>
                          </wps:txbx>
                          <wps:bodyPr spcFirstLastPara="1" wrap="square" lIns="91425" tIns="91425" rIns="91425" bIns="91425" anchor="ctr" anchorCtr="0">
                            <a:noAutofit/>
                          </wps:bodyPr>
                        </wps:wsp>
                        <wps:wsp>
                          <wps:cNvPr id="6" name="Straight Arrow Connector 6"/>
                          <wps:cNvCnPr/>
                          <wps:spPr>
                            <a:xfrm>
                              <a:off x="1699" y="5684"/>
                              <a:ext cx="8504" cy="0"/>
                            </a:xfrm>
                            <a:prstGeom prst="straightConnector1">
                              <a:avLst/>
                            </a:prstGeom>
                            <a:noFill/>
                            <a:ln w="12700" cap="flat" cmpd="sng">
                              <a:solidFill>
                                <a:srgbClr val="000000"/>
                              </a:solidFill>
                              <a:prstDash val="solid"/>
                              <a:round/>
                              <a:headEnd type="none" w="med" len="med"/>
                              <a:tailEnd type="none" w="med" len="med"/>
                            </a:ln>
                          </wps:spPr>
                          <wps:bodyPr/>
                        </wps:wsp>
                        <wps:wsp>
                          <wps:cNvPr id="7" name="Straight Arrow Connector 7"/>
                          <wps:cNvCnPr/>
                          <wps:spPr>
                            <a:xfrm>
                              <a:off x="1714" y="5991"/>
                              <a:ext cx="8504" cy="0"/>
                            </a:xfrm>
                            <a:prstGeom prst="straightConnector1">
                              <a:avLst/>
                            </a:prstGeom>
                            <a:noFill/>
                            <a:ln w="12700" cap="flat" cmpd="sng">
                              <a:solidFill>
                                <a:srgbClr val="000000"/>
                              </a:solidFill>
                              <a:prstDash val="solid"/>
                              <a:round/>
                              <a:headEnd type="none" w="med" len="med"/>
                              <a:tailEnd type="none" w="med" len="med"/>
                            </a:ln>
                          </wps:spPr>
                          <wps:bodyPr/>
                        </wps:wsp>
                      </wpg:grpSp>
                    </wpg:wgp>
                  </a:graphicData>
                </a:graphic>
              </wp:anchor>
            </w:drawing>
          </mc:Choice>
          <mc:Fallback>
            <w:pict>
              <v:group w14:anchorId="1092C9EF" id="Group 1" o:spid="_x0000_s1026" style="position:absolute;left:0;text-align:left;margin-left:2pt;margin-top:0;width:452.6pt;height:15.35pt;z-index:251654656" coordorigin="24719,36761" coordsize="57480,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">
                <v:group id="Group 4" o:spid="_x0000_s1027" style="position:absolute;left:24719;top:36825;width:57481;height:1949" coordorigin="1699,5684" coordsize="8519,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28" style="position:absolute;left:1699;top:5684;width:8500;height: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0BE563D2" w14:textId="77777777" w:rsidR="008B3EE8" w:rsidRDefault="008B3EE8">
                          <w:pPr>
                            <w:spacing w:after="0" w:line="240" w:lineRule="auto"/>
                            <w:textDirection w:val="btLr"/>
                          </w:pPr>
                        </w:p>
                      </w:txbxContent>
                    </v:textbox>
                  </v:rect>
                  <v:shape id="Straight Arrow Connector 6" o:spid="_x0000_s1029" type="#_x0000_t32" style="position:absolute;left:1699;top:5684;width:85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shape id="Straight Arrow Connector 7" o:spid="_x0000_s1030" type="#_x0000_t32" style="position:absolute;left:1714;top:5991;width:85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" strokeweight="1pt"/>
                </v:group>
              </v:group>
            </w:pict>
          </mc:Fallback>
        </mc:AlternateContent>
      </w:r>
    </w:p>
    <w:p w14:paraId="362E0804" w14:textId="77777777" w:rsidR="008B3EE8" w:rsidRDefault="00303DE3">
      <w:pPr>
        <w:spacing w:before="120" w:after="120" w:line="240" w:lineRule="auto"/>
        <w:jc w:val="center"/>
        <w:rPr>
          <w:rFonts w:ascii="Times New Roman" w:eastAsia="Times New Roman" w:hAnsi="Times New Roman" w:cs="Times New Roman"/>
        </w:rPr>
      </w:pPr>
      <w:r>
        <w:rPr>
          <w:rFonts w:ascii="Times New Roman" w:eastAsia="Times New Roman" w:hAnsi="Times New Roman" w:cs="Times New Roman"/>
          <w:b/>
        </w:rPr>
        <w:t>Abstract</w:t>
      </w:r>
    </w:p>
    <w:p w14:paraId="5E27B54B" w14:textId="442A965F" w:rsidR="00EF1B60" w:rsidRDefault="00EF1B60" w:rsidP="00EF1B60">
      <w:pPr>
        <w:spacing w:after="0" w:line="240" w:lineRule="auto"/>
        <w:jc w:val="both"/>
        <w:rPr>
          <w:rFonts w:ascii="Times New Roman" w:hAnsi="Times New Roman" w:cs="Times New Roman"/>
          <w:lang w:val="en-ID"/>
        </w:rPr>
      </w:pPr>
      <w:bookmarkStart w:id="0" w:name="_Hlk193222038"/>
      <w:r w:rsidRPr="003F21B2">
        <w:rPr>
          <w:rFonts w:ascii="Times New Roman" w:hAnsi="Times New Roman" w:cs="Times New Roman"/>
        </w:rPr>
        <w:t>This study investigates the YukNgaji community’s #LessWaste initiative through Islamic ecotheology and modern educational strategies. Combining community-based education theory, internalization principles, virtual ethnography, and the Living Qur’an-Hadith approach, it analyzes how Islamic environmental teachings are integrated via social media, public campaigns, and real-world practices. Findings highlight that activities like waste donation (</w:t>
      </w:r>
      <w:r w:rsidRPr="00EF1B60">
        <w:rPr>
          <w:rFonts w:ascii="Times New Roman" w:hAnsi="Times New Roman" w:cs="Times New Roman"/>
          <w:i/>
          <w:iCs/>
        </w:rPr>
        <w:t>sedekah sampah</w:t>
      </w:r>
      <w:r w:rsidRPr="003F21B2">
        <w:rPr>
          <w:rFonts w:ascii="Times New Roman" w:hAnsi="Times New Roman" w:cs="Times New Roman"/>
        </w:rPr>
        <w:t>), personal tumbler</w:t>
      </w:r>
      <w:r>
        <w:rPr>
          <w:rFonts w:ascii="Times New Roman" w:hAnsi="Times New Roman" w:cs="Times New Roman"/>
        </w:rPr>
        <w:t xml:space="preserve"> (</w:t>
      </w:r>
      <w:r w:rsidRPr="00EF1B60">
        <w:rPr>
          <w:rFonts w:ascii="Times New Roman" w:hAnsi="Times New Roman" w:cs="Times New Roman"/>
          <w:i/>
          <w:iCs/>
        </w:rPr>
        <w:t>tumbler minum kajian</w:t>
      </w:r>
      <w:r>
        <w:rPr>
          <w:rFonts w:ascii="Times New Roman" w:hAnsi="Times New Roman" w:cs="Times New Roman"/>
        </w:rPr>
        <w:t>)</w:t>
      </w:r>
      <w:r w:rsidRPr="003F21B2">
        <w:rPr>
          <w:rFonts w:ascii="Times New Roman" w:hAnsi="Times New Roman" w:cs="Times New Roman"/>
        </w:rPr>
        <w:t xml:space="preserve"> use during study sessions, and decluttering show strong member adherence, becoming ingrained lifestyle habits. The research also reveals that the campaign extends beyond ecological goals, functioning as an adaptive post-HTI educational strategy. By leveraging contemporary issues, exponents employ #LessWaste to expand outreach and sustain influence through context-responsive methods, positioning it as both an eco-theological movement and a tool for flexible community engagement. This dual approach underscores the intersection of religious ethics, environmental action, and strategic education in modern Islamic communities.</w:t>
      </w:r>
    </w:p>
    <w:bookmarkEnd w:id="0"/>
    <w:p w14:paraId="78C11066" w14:textId="77777777" w:rsidR="00EF1B60" w:rsidRPr="00EF1B60" w:rsidRDefault="00EF1B60" w:rsidP="00EF1B60">
      <w:pPr>
        <w:spacing w:after="0" w:line="240" w:lineRule="auto"/>
        <w:jc w:val="both"/>
        <w:rPr>
          <w:rFonts w:ascii="Times New Roman" w:eastAsia="Times New Roman" w:hAnsi="Times New Roman" w:cs="Times New Roman"/>
          <w:sz w:val="6"/>
          <w:szCs w:val="6"/>
        </w:rPr>
      </w:pPr>
    </w:p>
    <w:p w14:paraId="6BEDFFDB" w14:textId="77777777" w:rsidR="008B3EE8" w:rsidRDefault="00303DE3" w:rsidP="00EF1B60">
      <w:pPr>
        <w:spacing w:after="0" w:line="240" w:lineRule="auto"/>
        <w:jc w:val="both"/>
        <w:rPr>
          <w:rFonts w:ascii="Times New Roman" w:hAnsi="Times New Roman" w:cs="Times New Roman"/>
          <w:i/>
          <w:iCs/>
          <w:lang w:val="en-ID"/>
        </w:rPr>
      </w:pPr>
      <w:r>
        <w:rPr>
          <w:rFonts w:ascii="Times New Roman" w:eastAsia="Times New Roman" w:hAnsi="Times New Roman" w:cs="Times New Roman"/>
          <w:b/>
        </w:rPr>
        <w:t>Keywords</w:t>
      </w:r>
      <w:r>
        <w:rPr>
          <w:rFonts w:ascii="Times New Roman" w:eastAsia="Times New Roman" w:hAnsi="Times New Roman" w:cs="Times New Roman"/>
        </w:rPr>
        <w:t xml:space="preserve">: </w:t>
      </w:r>
      <w:r w:rsidR="004D4CA5" w:rsidRPr="00FA17C9">
        <w:rPr>
          <w:rFonts w:ascii="Times New Roman" w:hAnsi="Times New Roman" w:cs="Times New Roman"/>
          <w:i/>
          <w:iCs/>
          <w:lang w:val="en-ID"/>
        </w:rPr>
        <w:t>YukNgaji club, less waste, Islamic ecotheology, education, hybrid activism</w:t>
      </w:r>
    </w:p>
    <w:p w14:paraId="573E8F1C" w14:textId="1604F7F8" w:rsidR="00EF1B60" w:rsidRDefault="00EF1B60" w:rsidP="00EF1B60">
      <w:pPr>
        <w:spacing w:before="240" w:after="0" w:line="240" w:lineRule="auto"/>
        <w:jc w:val="center"/>
        <w:rPr>
          <w:rFonts w:ascii="Times New Roman" w:hAnsi="Times New Roman" w:cs="Times New Roman"/>
          <w:b/>
          <w:bCs/>
          <w:i/>
          <w:iCs/>
          <w:lang w:val="en-ID"/>
        </w:rPr>
      </w:pPr>
      <w:r w:rsidRPr="00EF1B60">
        <w:rPr>
          <w:rFonts w:ascii="Times New Roman" w:hAnsi="Times New Roman" w:cs="Times New Roman"/>
          <w:b/>
          <w:bCs/>
          <w:i/>
          <w:iCs/>
          <w:lang w:val="en-ID"/>
        </w:rPr>
        <w:t>Abstrak</w:t>
      </w:r>
    </w:p>
    <w:p w14:paraId="3642AE5E" w14:textId="34EBFE6B" w:rsidR="00E37FDE" w:rsidRDefault="00E37FDE" w:rsidP="00E37FDE">
      <w:pPr>
        <w:spacing w:after="0" w:line="240" w:lineRule="auto"/>
        <w:jc w:val="both"/>
        <w:rPr>
          <w:rFonts w:ascii="Times New Roman" w:hAnsi="Times New Roman" w:cs="Times New Roman"/>
          <w:i/>
          <w:iCs/>
        </w:rPr>
      </w:pPr>
      <w:r w:rsidRPr="00E37FDE">
        <w:rPr>
          <w:rFonts w:ascii="Times New Roman" w:hAnsi="Times New Roman" w:cs="Times New Roman"/>
          <w:i/>
          <w:iCs/>
        </w:rPr>
        <w:t>Penelitian ini mengkaji inisiatif #LessWaste komunitas YukNgaji melalui lensa ekoteologi Islam dan strategi pendidikan kontemporer. Dengan menggabungkan teori pendidikan berbasis komunitas, prinsip internalisasi, etnografi virtual, dan pendekatan Living Qur’an-Hadits, studi ini menganalisis integrasi ajaran Islam tentang tanggung jawab lingkungan melalui media sosial, kampanye publik, serta praktik nyata. Temuan menunjukkan bahwa aktivitas seperti sedekah sampah, penggunaan tumbler minum kajian, dan decluttering memiliki tingkat kepatuhan anggota yang tinggi, serta telah menjadi kebiasaan gaya hidup yang mengakar. Hasil penelitian juga mengungkap bahwa kampanye ini tidak hanya bertujuan ekologis, tetapi juga berfungsi sebagai strategi pendidikan adaptif pasca-pembubaran HTI, di mana para eksponennya memanfaatkan isu-isu kontemporer. Melalui #LessWaste, mereka memperluas jangkauan edukasi dan mempertahankan pengaruh komunitas dengan metode yang kontekstual. Pendekatan ganda ini menegaskan pertemuan antara etika religius, aksi lingkungan, dan pendidikan strategis dalam komunitas Islam modern, menempatkan gerakan ini sebagai sarana perluasan keterlibatan komunitas yang fleksibel sekaligus manifestasi ekoteologi berbasis nilai-nilai keislaman</w:t>
      </w:r>
    </w:p>
    <w:p w14:paraId="54800A04" w14:textId="77777777" w:rsidR="00EF1B60" w:rsidRPr="00EF1B60" w:rsidRDefault="00EF1B60" w:rsidP="00EF1B60">
      <w:pPr>
        <w:spacing w:after="0" w:line="240" w:lineRule="auto"/>
        <w:jc w:val="both"/>
        <w:rPr>
          <w:rFonts w:ascii="Times New Roman" w:hAnsi="Times New Roman" w:cs="Times New Roman"/>
          <w:i/>
          <w:iCs/>
          <w:sz w:val="6"/>
          <w:szCs w:val="6"/>
        </w:rPr>
      </w:pPr>
    </w:p>
    <w:p w14:paraId="57D3A076" w14:textId="5C8C2842" w:rsidR="00EF1B60" w:rsidRPr="00E37FDE" w:rsidRDefault="00EF1B60" w:rsidP="00E37FDE">
      <w:pPr>
        <w:spacing w:after="0" w:line="240" w:lineRule="auto"/>
        <w:jc w:val="both"/>
        <w:rPr>
          <w:rFonts w:ascii="Times New Roman" w:hAnsi="Times New Roman" w:cs="Times New Roman"/>
          <w:i/>
          <w:iCs/>
        </w:rPr>
      </w:pPr>
      <w:r w:rsidRPr="00EF1B60">
        <w:rPr>
          <w:rFonts w:ascii="Times New Roman" w:hAnsi="Times New Roman" w:cs="Times New Roman"/>
          <w:b/>
          <w:bCs/>
          <w:i/>
          <w:iCs/>
          <w:lang w:val="en-ID"/>
        </w:rPr>
        <w:t>Kata Kunci</w:t>
      </w:r>
      <w:r>
        <w:rPr>
          <w:rFonts w:ascii="Times New Roman" w:hAnsi="Times New Roman" w:cs="Times New Roman"/>
          <w:i/>
          <w:iCs/>
          <w:lang w:val="en-ID"/>
        </w:rPr>
        <w:t>:</w:t>
      </w:r>
      <w:r w:rsidRPr="00EF1B60">
        <w:t xml:space="preserve"> </w:t>
      </w:r>
      <w:r w:rsidRPr="00EF1B60">
        <w:rPr>
          <w:rFonts w:ascii="Times New Roman" w:hAnsi="Times New Roman" w:cs="Times New Roman"/>
          <w:i/>
          <w:iCs/>
        </w:rPr>
        <w:t>Komunitas YukNgaji, less waste, ekoteologi Islam, pendidikan, aktivisme hibrid</w:t>
      </w:r>
    </w:p>
    <w:p w14:paraId="247D6567" w14:textId="77777777" w:rsidR="008B3EE8" w:rsidRDefault="00303DE3">
      <w:pP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b/>
          <w:i/>
          <w:sz w:val="20"/>
          <w:szCs w:val="20"/>
        </w:rPr>
        <w:t>How to Cite</w:t>
      </w:r>
      <w:r>
        <w:rPr>
          <w:rFonts w:ascii="Times New Roman" w:eastAsia="Times New Roman" w:hAnsi="Times New Roman" w:cs="Times New Roman"/>
          <w:sz w:val="20"/>
          <w:szCs w:val="20"/>
        </w:rPr>
        <w:t xml:space="preserve"> : xxx</w:t>
      </w:r>
    </w:p>
    <w:p w14:paraId="79A7E92C" w14:textId="77777777" w:rsidR="008B3EE8" w:rsidRDefault="00303DE3">
      <w:pPr>
        <w:spacing w:before="120" w:after="480" w:line="240" w:lineRule="auto"/>
        <w:rPr>
          <w:rFonts w:ascii="Times New Roman" w:eastAsia="Times New Roman" w:hAnsi="Times New Roman" w:cs="Times New Roman"/>
          <w:sz w:val="20"/>
          <w:szCs w:val="20"/>
        </w:rPr>
        <w:sectPr w:rsidR="008B3EE8">
          <w:headerReference w:type="even" r:id="rId9"/>
          <w:headerReference w:type="default" r:id="rId10"/>
          <w:footerReference w:type="even" r:id="rId11"/>
          <w:footerReference w:type="default" r:id="rId12"/>
          <w:pgSz w:w="11907" w:h="16839"/>
          <w:pgMar w:top="1418" w:right="1418" w:bottom="1418" w:left="1418" w:header="1134" w:footer="851" w:gutter="0"/>
          <w:pgNumType w:start="1"/>
          <w:cols w:space="720" w:equalWidth="0">
            <w:col w:w="9069" w:space="0"/>
          </w:cols>
          <w:titlePg/>
        </w:sectPr>
      </w:pPr>
      <w:r>
        <w:rPr>
          <w:rFonts w:ascii="Times New Roman" w:eastAsia="Times New Roman" w:hAnsi="Times New Roman" w:cs="Times New Roman"/>
          <w:b/>
          <w:i/>
          <w:sz w:val="20"/>
          <w:szCs w:val="20"/>
        </w:rPr>
        <w:t xml:space="preserve">Permalink/DOI: </w:t>
      </w:r>
      <w:r>
        <w:rPr>
          <w:rFonts w:ascii="Times New Roman" w:eastAsia="Times New Roman" w:hAnsi="Times New Roman" w:cs="Times New Roman"/>
          <w:sz w:val="20"/>
          <w:szCs w:val="20"/>
        </w:rPr>
        <w:t>xxx</w:t>
      </w:r>
    </w:p>
    <w:p w14:paraId="6E35AE55" w14:textId="77777777" w:rsidR="008B3EE8" w:rsidRDefault="00303DE3">
      <w:pPr>
        <w:spacing w:after="120"/>
        <w:rPr>
          <w:rFonts w:ascii="Kozuka Gothic Pro B" w:eastAsia="Kozuka Gothic Pro B" w:hAnsi="Kozuka Gothic Pro B" w:cs="Kozuka Gothic Pro B"/>
          <w:sz w:val="24"/>
          <w:szCs w:val="24"/>
        </w:rPr>
      </w:pPr>
      <w:r>
        <w:rPr>
          <w:rFonts w:ascii="Kozuka Gothic Pro B" w:eastAsia="Kozuka Gothic Pro B" w:hAnsi="Kozuka Gothic Pro B" w:cs="Kozuka Gothic Pro B"/>
          <w:b/>
          <w:sz w:val="24"/>
          <w:szCs w:val="24"/>
        </w:rPr>
        <w:lastRenderedPageBreak/>
        <w:t>Introduction</w:t>
      </w:r>
    </w:p>
    <w:p w14:paraId="1C6DF45C" w14:textId="07F50057" w:rsidR="007779A2" w:rsidRP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 xml:space="preserve">Following the dissolution of Hizbut Tahrir Indonesia (HTI), its affiliated </w:t>
      </w:r>
      <w:r w:rsidR="00424379">
        <w:rPr>
          <w:rFonts w:ascii="Times New Roman" w:hAnsi="Times New Roman" w:cs="Times New Roman"/>
          <w:sz w:val="24"/>
          <w:szCs w:val="24"/>
          <w:lang w:val="en-ID"/>
        </w:rPr>
        <w:t>club established</w:t>
      </w:r>
      <w:r w:rsidRPr="007779A2">
        <w:rPr>
          <w:rFonts w:ascii="Times New Roman" w:hAnsi="Times New Roman" w:cs="Times New Roman"/>
          <w:sz w:val="24"/>
          <w:szCs w:val="24"/>
          <w:lang w:val="en-ID"/>
        </w:rPr>
        <w:t xml:space="preserve"> YukNgaji c</w:t>
      </w:r>
      <w:r w:rsidR="00424379">
        <w:rPr>
          <w:rFonts w:ascii="Times New Roman" w:hAnsi="Times New Roman" w:cs="Times New Roman"/>
          <w:sz w:val="24"/>
          <w:szCs w:val="24"/>
          <w:lang w:val="en-ID"/>
        </w:rPr>
        <w:t>ommunity</w:t>
      </w:r>
      <w:r w:rsidRPr="007779A2">
        <w:rPr>
          <w:rFonts w:ascii="Times New Roman" w:hAnsi="Times New Roman" w:cs="Times New Roman"/>
          <w:sz w:val="24"/>
          <w:szCs w:val="24"/>
          <w:lang w:val="en-ID"/>
        </w:rPr>
        <w:t>, where they advocate Islamic teachings in more substantive approach through community-based education on natural conservation.</w:t>
      </w:r>
    </w:p>
    <w:p w14:paraId="41441C1A" w14:textId="77777777" w:rsidR="007779A2" w:rsidRP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 xml:space="preserve">David Wallace-Wells, in </w:t>
      </w:r>
      <w:r w:rsidRPr="007779A2">
        <w:rPr>
          <w:rFonts w:ascii="Times New Roman" w:hAnsi="Times New Roman" w:cs="Times New Roman"/>
          <w:i/>
          <w:iCs/>
          <w:sz w:val="24"/>
          <w:szCs w:val="24"/>
          <w:lang w:val="en-ID"/>
        </w:rPr>
        <w:t>The Uninhabitable Earth</w:t>
      </w:r>
      <w:r w:rsidRPr="007779A2">
        <w:rPr>
          <w:rFonts w:ascii="Times New Roman" w:hAnsi="Times New Roman" w:cs="Times New Roman"/>
          <w:sz w:val="24"/>
          <w:szCs w:val="24"/>
          <w:lang w:val="en-ID"/>
        </w:rPr>
        <w:t>, notes that ecological disasters that once occurred over decades or centuries are now happening more frequently and intensely</w:t>
      </w:r>
      <w:r w:rsidR="003F44E5">
        <w:rPr>
          <w:rFonts w:ascii="Times New Roman" w:hAnsi="Times New Roman" w:cs="Times New Roman"/>
          <w:sz w:val="24"/>
          <w:szCs w:val="24"/>
          <w:lang w:val="en-ID"/>
        </w:rPr>
        <w:t xml:space="preserve"> </w:t>
      </w:r>
      <w:r w:rsidR="003F44E5">
        <w:rPr>
          <w:rFonts w:ascii="Times New Roman" w:hAnsi="Times New Roman" w:cs="Times New Roman"/>
          <w:sz w:val="24"/>
          <w:szCs w:val="24"/>
          <w:lang w:val="en-ID"/>
        </w:rPr>
        <w:fldChar w:fldCharType="begin" w:fldLock="1"/>
      </w:r>
      <w:r w:rsidR="003F44E5">
        <w:rPr>
          <w:rFonts w:ascii="Times New Roman" w:hAnsi="Times New Roman" w:cs="Times New Roman"/>
          <w:sz w:val="24"/>
          <w:szCs w:val="24"/>
          <w:lang w:val="en-ID"/>
        </w:rPr>
        <w:instrText>ADDIN CSL_CITATION {"citationItems":[{"id":"ITEM-1","itemData":{"DOI":"2018051268","ISBN":"9780525576709","author":[{"dropping-particle":"","family":"Wallace-Wells","given":"David","non-dropping-particle":"","parse-names":false,"suffix":""}],"id":"ITEM-1","issued":{"date-parts":[["2019"]]},"publisher":"Crown Publishing Group","publisher-place":"New York","title":"The Uninhabitable Earth: Life After Warming","type":"book"},"uris":["http://www.mendeley.com/documents/?uuid=4822e4ba-4268-4714-bbc3-48a3c32ea291"]}],"mendeley":{"formattedCitation":"(Wallace-Wells, 2019)","plainTextFormattedCitation":"(Wallace-Wells, 2019)","previouslyFormattedCitation":"(Wallace-Wells, 2019)"},"properties":{"noteIndex":0},"schema":"https://github.com/citation-style-language/schema/raw/master/csl-citation.json"}</w:instrText>
      </w:r>
      <w:r w:rsidR="003F44E5">
        <w:rPr>
          <w:rFonts w:ascii="Times New Roman" w:hAnsi="Times New Roman" w:cs="Times New Roman"/>
          <w:sz w:val="24"/>
          <w:szCs w:val="24"/>
          <w:lang w:val="en-ID"/>
        </w:rPr>
        <w:fldChar w:fldCharType="separate"/>
      </w:r>
      <w:r w:rsidR="003F44E5" w:rsidRPr="003F44E5">
        <w:rPr>
          <w:rFonts w:ascii="Times New Roman" w:hAnsi="Times New Roman" w:cs="Times New Roman"/>
          <w:noProof/>
          <w:sz w:val="24"/>
          <w:szCs w:val="24"/>
          <w:lang w:val="en-ID"/>
        </w:rPr>
        <w:t>(Wallace-Wells, 2019)</w:t>
      </w:r>
      <w:r w:rsidR="003F44E5">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Phenomena such as major floods, extreme heat waves, wildfires, and rapid glacier melt illustrate that environmental changes are unfolding at an unprecedented pace. The interval between one disaster and the next is shrinking, creating a new reality in which the impacts of the environmental crisis are more tangible and urgently need to be addressed.</w:t>
      </w:r>
    </w:p>
    <w:p w14:paraId="6CF6F180" w14:textId="77777777" w:rsidR="007779A2" w:rsidRP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Research indicates that during the COVID-19 pandemic, when human activities drastically decreased, the environment experienced significant improvement. For example, in China, lockdowns and reduced industrial activity led to a 25% drop in carbon emissions and up to a 50% reduction in nitrogen oxide emissions. Scientists estimate that this reduction in emissions saved approximately 77,000 lives in the first two months of the pandemic</w:t>
      </w:r>
      <w:r w:rsidR="003F44E5">
        <w:rPr>
          <w:rFonts w:ascii="Times New Roman" w:hAnsi="Times New Roman" w:cs="Times New Roman"/>
          <w:sz w:val="24"/>
          <w:szCs w:val="24"/>
          <w:lang w:val="en-ID"/>
        </w:rPr>
        <w:t xml:space="preserve"> </w:t>
      </w:r>
      <w:r w:rsidR="003F44E5">
        <w:rPr>
          <w:rFonts w:ascii="Times New Roman" w:hAnsi="Times New Roman" w:cs="Times New Roman"/>
          <w:sz w:val="24"/>
          <w:szCs w:val="24"/>
          <w:lang w:val="en-ID"/>
        </w:rPr>
        <w:fldChar w:fldCharType="begin" w:fldLock="1"/>
      </w:r>
      <w:r w:rsidR="003F44E5">
        <w:rPr>
          <w:rFonts w:ascii="Times New Roman" w:hAnsi="Times New Roman" w:cs="Times New Roman"/>
          <w:sz w:val="24"/>
          <w:szCs w:val="24"/>
          <w:lang w:val="en-ID"/>
        </w:rPr>
        <w:instrText>ADDIN CSL_CITATION {"citationItems":[{"id":"ITEM-1","itemData":{"DOI":"10.3390/ATMOS11040433","ISSN":"20734433","abstract":"Since its first confirmed case at the end of 2019, COVID-19 has become a global pandemic in three months with more than 1.4 million confirmed cases worldwide, as of early April 2020. Quantifying the changes of pollutant emissions due to COVID-19 and associated governmental control measures is crucial to understand its impacts on economy, air pollution, and society. We used the WRF-GC model and the tropospheric NO2 column observations retrieved by the TROPOMI instrument to derive the top-down NOx emission change estimation between the three periods: P1 (January 1st to January 22nd, 2020), P2 (January 23rd, Wuhan lockdown, to February 9th, 2020), and P3 (February 10th, back-to-work day, to March 12th, 2020). We found that NOx emissions in East China averaged during P2 decreased by 50% compared to those averaged during P1. The NOx emissions averaged during P3 increased by 26% compared to those during P2. Most provinces in East China gradually regained some of their NOx emissions after February 10, the official back-to-work day, but NOx emissions in most provinces have not yet to return to their previous levels in early January. NOx emissions in Wuhan, the first epicenter of COVID-19, had no sign of emission recovering by March 12. A few provinces, such as Zhejiang and Shanxi, have recovered fast, with their averaged NOx emissions during P3 almost back to pre-lockdown levels.","author":[{"dropping-particle":"","family":"Zhang","given":"Ruixiong","non-dropping-particle":"","parse-names":false,"suffix":""},{"dropping-particle":"","family":"Zhang","given":"Yuzhong","non-dropping-particle":"","parse-names":false,"suffix":""},{"dropping-particle":"","family":"Lin","given":"Haipeng","non-dropping-particle":"","parse-names":false,"suffix":""},{"dropping-particle":"","family":"Feng","given":"Xu","non-dropping-particle":"","parse-names":false,"suffix":""},{"dropping-particle":"","family":"Fu","given":"Tzung May","non-dropping-particle":"","parse-names":false,"suffix":""},{"dropping-particle":"","family":"Wang","given":"Yuhang","non-dropping-particle":"","parse-names":false,"suffix":""}],"container-title":"Atmosphere","id":"ITEM-1","issue":"4","issued":{"date-parts":[["2020"]]},"page":"1-15","title":"NOx emission reduction and recovery during COVID-19 in East China","type":"article-journal","volume":"11"},"uris":["http://www.mendeley.com/documents/?uuid=8bcce764-4cff-40c9-b0a3-0bcca6f8b3ae"]}],"mendeley":{"formattedCitation":"(Zhang et al., 2020)","plainTextFormattedCitation":"(Zhang et al., 2020)","previouslyFormattedCitation":"(Zhang et al., 2020)"},"properties":{"noteIndex":0},"schema":"https://github.com/citation-style-language/schema/raw/master/csl-citation.json"}</w:instrText>
      </w:r>
      <w:r w:rsidR="003F44E5">
        <w:rPr>
          <w:rFonts w:ascii="Times New Roman" w:hAnsi="Times New Roman" w:cs="Times New Roman"/>
          <w:sz w:val="24"/>
          <w:szCs w:val="24"/>
          <w:lang w:val="en-ID"/>
        </w:rPr>
        <w:fldChar w:fldCharType="separate"/>
      </w:r>
      <w:r w:rsidR="003F44E5" w:rsidRPr="003F44E5">
        <w:rPr>
          <w:rFonts w:ascii="Times New Roman" w:hAnsi="Times New Roman" w:cs="Times New Roman"/>
          <w:noProof/>
          <w:sz w:val="24"/>
          <w:szCs w:val="24"/>
          <w:lang w:val="en-ID"/>
        </w:rPr>
        <w:t>(Zhang et al., 2020)</w:t>
      </w:r>
      <w:r w:rsidR="003F44E5">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This phenomenon demonstrates that nature would remain evergreen without human interference, but not the other way around. Therefore, all forms of excessive exploitation of nature can only lead to two scenarios: 1) nature reacts with its defense mechanisms, potentially endangering humans, or 2) environmental degradation becomes so severe that it threatens the survival of both humanity and the ecosystem itself</w:t>
      </w:r>
      <w:r w:rsidR="003F44E5">
        <w:rPr>
          <w:rFonts w:ascii="Times New Roman" w:hAnsi="Times New Roman" w:cs="Times New Roman"/>
          <w:sz w:val="24"/>
          <w:szCs w:val="24"/>
          <w:lang w:val="en-ID"/>
        </w:rPr>
        <w:t xml:space="preserve"> </w:t>
      </w:r>
      <w:r w:rsidR="003F44E5">
        <w:rPr>
          <w:rFonts w:ascii="Times New Roman" w:hAnsi="Times New Roman" w:cs="Times New Roman"/>
          <w:sz w:val="24"/>
          <w:szCs w:val="24"/>
          <w:lang w:val="en-ID"/>
        </w:rPr>
        <w:fldChar w:fldCharType="begin" w:fldLock="1"/>
      </w:r>
      <w:r w:rsidR="007B344E">
        <w:rPr>
          <w:rFonts w:ascii="Times New Roman" w:hAnsi="Times New Roman" w:cs="Times New Roman"/>
          <w:sz w:val="24"/>
          <w:szCs w:val="24"/>
          <w:lang w:val="en-ID"/>
        </w:rPr>
        <w:instrText>ADDIN CSL_CITATION {"citationItems":[{"id":"ITEM-1","itemData":{"DOI":"10.30588/jo.v4i1.732","abstract":"&lt;p&gt;Kegiatan penambangan minyak dan gas bumi di Tuban Jawa Timur, menghasilkan limbah padat dan cair (air terproduksi) memberikan dampak pada lingkungan. Penelitian ini bertujuan untuk: (1) menganalisis kondisi kualitas air  permukaan di Sukowati, Mudi dan CPA (&lt;em&gt;Central Processing Area&lt;/em&gt;); dan (2) menganalisis Parameter biota perairan jenis dan indeks keanekaragaman biota di perairan yang ada di sekitar lokasi. Metode pengumpulan data air sungai dan air &lt;em&gt;drainase&lt;/em&gt;, menggunakan pengukuran langsung di lapangan (&lt;em&gt;in-situ&lt;/em&gt;). Pengarnbilan &lt;em&gt;sampling&lt;/em&gt; menggunakan cara &lt;em&gt;grab sampling&lt;/em&gt;. Data hasil analisa laboratorium selanjutnya dilakukan dibandingkan dengan baku mutu sesuai Peraturan Gubernur Jatim No. 72 Tahun 2013 Tentang Baku Mutu Air Limbah Bagi Industri dan/atau Kegiatan Usaha Lainnya. Parameter biota perairan pengumpulan data dilakukan dengan pengambilan contoh plankton dan bentos dìsungai, contoh plankton kemudian dianalisis di laboratorium. Data hasil analisis contoh air laut di laboratorium kernudian dibandingkan dengan tolok ukur yaitu indeks keanekaragaman (H’) Shannon dan Wiener. Hasil perbandingan diuraikan secara deskriptif. Hasil penelitian menunjukkan bahwa air permukaan menimbulkan dampak yang meyebabkan penurunan kualitas air permukaan di area plan Sukowati, Mudi, Lengowangi, dan CPA. Biota perairan di Sukowati hasil analisis menunjukan indeks diversity antara 0,9039 - 2,9728. Beberapa lokasi menunjukan hasil indeks diversity berada di antara nilai 0 – 2, dimana menunjukan adanya tekanan terhadap lingkungan. Hal ini karena adanya perubahan suhu musiman yang menyebabkan biota perarian kembali pada kondisi awal pada saat kajian Initial Enviromnetal Examination (IEE). Penanggulangan dilakukan untuk meminimalisir terjadinya pencemaran air permukaan di lokasi minyak dan gas bumi Tuban Jawa Timur. Mengatasi penurunan air permukaan dengan konservasi ekosistem air permukaan di area plan Sukowati, Mudi, Lengowangi dan CPA secara teknis dan ekologi. Merupakan upaya dalam memperbaiki daerah aliran sungai dan daerah sekitarnya agar dapat dimanfaatkan serta menjadi produktif.&lt;/p&gt;&lt;p&gt;&lt;strong&gt;Kata Kunci : sungai, air terproduksi, biota perairan, drainase, plankton&lt;/strong&gt;&lt;/p&gt;&lt;p&gt;Oil and gas mining activities in Tuban, East Java, produce solid and liquid waste (produced water) that has an impact on the environtment. This research has in view to: (1) investigate the surface water quality in Sukowati, Mudi and CPA (Central Proce…","author":[{"dropping-particle":"","family":"Fatimah","given":"Ai Siti","non-dropping-particle":"","parse-names":false,"suffix":""},{"dropping-particle":"","family":".","given":"Suratman","non-dropping-particle":"","parse-names":false,"suffix":""}],"container-title":"Jurnal Offshore: Oil, Production Facilities and Renewable Energy","id":"ITEM-1","issue":"1","issued":{"date-parts":[["2020"]]},"page":"17-27","title":"Dampak Eksploitasi Minyak Dan Gas Bumi Pada Degradasi Biota Perairan Dan Penurunan Kualitas Air Permukaan","type":"article-journal","volume":"4"},"uris":["http://www.mendeley.com/documents/?uuid=6d186294-fce3-4cf7-813d-18c40d79315c"]},{"id":"ITEM-2","itemData":{"DOI":"10.58812/jgws.v2i03.1676","author":[{"dropping-particle":"","family":"Judijanto","given":"Loso","non-dropping-particle":"","parse-names":false,"suffix":""},{"dropping-particle":"","family":"Adiwjaya","given":"Saputra","non-dropping-particle":"","parse-names":false,"suffix":""}],"container-title":"Jurnal Geosains West Science","id":"ITEM-2","issue":"3","issued":{"date-parts":[["2024"]]},"page":"103-111","title":"Dampak Eksplorasi Sumber Daya Alam Terhadap Keberlanjutan Ekosistem Hutan Tropis di Kalimantan","type":"article-journal","volume":"2"},"uris":["http://www.mendeley.com/documents/?uuid=354d0038-715b-4672-aa3a-1d3b54b86301"]}],"mendeley":{"formattedCitation":"(Fatimah &amp; ., 2020; Judijanto &amp; Adiwjaya, 2024)","plainTextFormattedCitation":"(Fatimah &amp; ., 2020; Judijanto &amp; Adiwjaya, 2024)","previouslyFormattedCitation":"(Fatimah &amp; ., 2020; Judijanto &amp; Adiwjaya, 2024)"},"properties":{"noteIndex":0},"schema":"https://github.com/citation-style-language/schema/raw/master/csl-citation.json"}</w:instrText>
      </w:r>
      <w:r w:rsidR="003F44E5">
        <w:rPr>
          <w:rFonts w:ascii="Times New Roman" w:hAnsi="Times New Roman" w:cs="Times New Roman"/>
          <w:sz w:val="24"/>
          <w:szCs w:val="24"/>
          <w:lang w:val="en-ID"/>
        </w:rPr>
        <w:fldChar w:fldCharType="separate"/>
      </w:r>
      <w:r w:rsidR="003F44E5" w:rsidRPr="003F44E5">
        <w:rPr>
          <w:rFonts w:ascii="Times New Roman" w:hAnsi="Times New Roman" w:cs="Times New Roman"/>
          <w:noProof/>
          <w:sz w:val="24"/>
          <w:szCs w:val="24"/>
          <w:lang w:val="en-ID"/>
        </w:rPr>
        <w:t>(Fatimah &amp; ., 2020; Judijanto &amp; Adiwjaya, 2024)</w:t>
      </w:r>
      <w:r w:rsidR="003F44E5">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There is no third option where humans can thrive while nature deteriorates, as human existence is intrinsically dependent on the balance and health of natural ecosystems.</w:t>
      </w:r>
    </w:p>
    <w:p w14:paraId="589BB675" w14:textId="77777777" w:rsidR="007779A2" w:rsidRP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The environmental crisis is not merely a scientific issue but also a moral and spiritual matter that demands deep reflection. Seyyed Hossein Nasr argues that the triumph of humanism, which absolutizes human power over the Earth, has led to massive and colossal exploitation of nature in the name of human rights</w:t>
      </w:r>
      <w:r w:rsidR="007B344E">
        <w:rPr>
          <w:rFonts w:ascii="Times New Roman" w:hAnsi="Times New Roman" w:cs="Times New Roman"/>
          <w:sz w:val="24"/>
          <w:szCs w:val="24"/>
          <w:lang w:val="en-ID"/>
        </w:rPr>
        <w:t xml:space="preserve"> </w:t>
      </w:r>
      <w:r w:rsidR="007B344E">
        <w:rPr>
          <w:rFonts w:ascii="Times New Roman" w:hAnsi="Times New Roman" w:cs="Times New Roman"/>
          <w:sz w:val="24"/>
          <w:szCs w:val="24"/>
          <w:lang w:val="en-ID"/>
        </w:rPr>
        <w:fldChar w:fldCharType="begin" w:fldLock="1"/>
      </w:r>
      <w:r w:rsidR="007B344E">
        <w:rPr>
          <w:rFonts w:ascii="Times New Roman" w:hAnsi="Times New Roman" w:cs="Times New Roman"/>
          <w:sz w:val="24"/>
          <w:szCs w:val="24"/>
          <w:lang w:val="en-ID"/>
        </w:rPr>
        <w:instrText>ADDIN CSL_CITATION {"citationItems":[{"id":"ITEM-1","itemData":{"author":[{"dropping-particle":"","family":"Nasr","given":"Seyyed Hossein","non-dropping-particle":"","parse-names":false,"suffix":""}],"container-title":"Islamic Quarterly: London","id":"ITEM-1","issue":"4","issued":{"date-parts":[["1990"]]},"title":"Islam and The Environmental Crisis","type":"article-journal","volume":"34"},"uris":["http://www.mendeley.com/documents/?uuid=52b8e5aa-9461-4678-a0f6-b1ddedb92cb9"]}],"mendeley":{"formattedCitation":"(Nasr, 1990)","plainTextFormattedCitation":"(Nasr, 1990)","previouslyFormattedCitation":"(Nasr, 1990)"},"properties":{"noteIndex":0},"schema":"https://github.com/citation-style-language/schema/raw/master/csl-citation.json"}</w:instrText>
      </w:r>
      <w:r w:rsidR="007B344E">
        <w:rPr>
          <w:rFonts w:ascii="Times New Roman" w:hAnsi="Times New Roman" w:cs="Times New Roman"/>
          <w:sz w:val="24"/>
          <w:szCs w:val="24"/>
          <w:lang w:val="en-ID"/>
        </w:rPr>
        <w:fldChar w:fldCharType="separate"/>
      </w:r>
      <w:r w:rsidR="007B344E" w:rsidRPr="007B344E">
        <w:rPr>
          <w:rFonts w:ascii="Times New Roman" w:hAnsi="Times New Roman" w:cs="Times New Roman"/>
          <w:noProof/>
          <w:sz w:val="24"/>
          <w:szCs w:val="24"/>
          <w:lang w:val="en-ID"/>
        </w:rPr>
        <w:t>(Nasr, 1990)</w:t>
      </w:r>
      <w:r w:rsidR="007B344E">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In the tradition of Islamic thought, the relationship between humans and nature is not only understood within an ecological framework but also within a broader theological dimension. This perspective has fostered the development of eco-theological studies, which reflectively link environmental issues with the concept of servitude to God. Muslim scholars have extensively explored this idea, emphasizing that preserving the balance of ecosystems is not merely a social responsibility but also a religious obligation deeply rooted in Islamic sacred texts</w:t>
      </w:r>
      <w:r w:rsidR="007B344E">
        <w:rPr>
          <w:rFonts w:ascii="Times New Roman" w:hAnsi="Times New Roman" w:cs="Times New Roman"/>
          <w:sz w:val="24"/>
          <w:szCs w:val="24"/>
          <w:lang w:val="en-ID"/>
        </w:rPr>
        <w:t xml:space="preserve"> </w:t>
      </w:r>
      <w:r w:rsidR="007B344E">
        <w:rPr>
          <w:rFonts w:ascii="Times New Roman" w:hAnsi="Times New Roman" w:cs="Times New Roman"/>
          <w:sz w:val="24"/>
          <w:szCs w:val="24"/>
          <w:lang w:val="en-ID"/>
        </w:rPr>
        <w:fldChar w:fldCharType="begin" w:fldLock="1"/>
      </w:r>
      <w:r w:rsidR="00EB48D7">
        <w:rPr>
          <w:rFonts w:ascii="Times New Roman" w:hAnsi="Times New Roman" w:cs="Times New Roman"/>
          <w:sz w:val="24"/>
          <w:szCs w:val="24"/>
          <w:lang w:val="en-ID"/>
        </w:rPr>
        <w:instrText>ADDIN CSL_CITATION {"citationItems":[{"id":"ITEM-1","itemData":{"abstract":"The environmental crisis is no longer a national problem, but has become a global problem that is occurring today. Seeing the huge impact caused by this crisis, the world at the 2015 UN general assembly included addressing this environmental crisis in the SDGs goals. In the Islamic view, natural damage occurs due to external factors, namely due to human activity. The Qur'an strongly criticizes all damage caused by human actions on earth, such as Q.S Al-A'raf verse 56. On the other hand, in Q.S Hud verse 61, Allah determines humans as caliphs and prosperers on earth. If studied in depth, many verses from the Qur'an provide solutions to deal with the problem of environmental damage. Through qualitative descriptive methods, the author analyzes the verses of the Al-Qur'an. So the author formulates an action plan to overcome the environmental crisis by creating an educational book that is integrated with the Qur’an. This education aims to create a society that is wise towards nature, cares and is able to preserve nature. This society is what the author calls an intelligent living society. Keywords:","author":[{"dropping-particle":"","family":"Manik","given":"Wagiman","non-dropping-particle":"","parse-names":false,"suffix":""}],"container-title":"Al-Fatih: Jurnal Pendidikan dan Keislaman","id":"ITEM-1","issue":"2","issued":{"date-parts":[["2023"]]},"page":"165-185","title":"Reinterpretasi Ayat-Ayat Ekologi dalam Al-Qur’an: Perumusan Rencana Aksi Berbasis Konservasi Lingkungan, Masyarakat Cerdas Berkehidupan","type":"article-journal","volume":"VI"},"uris":["http://www.mendeley.com/documents/?uuid=a6bde307-37d2-41bf-b842-5907c669d546"]},{"id":"ITEM-2","itemData":{"ISBN":"2013206534","abstract":"Seiring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Kata","author":[{"dropping-particle":"","family":"Sholihin","given":"Abdu Salafush","non-dropping-particle":"","parse-names":false,"suffix":""}],"container-title":"Iqtishaduna: Jurnal Ilmiah Mahasiswa Jurusan Hukum Ekonomi Syariah","id":"ITEM-2","issue":"3","issued":{"date-parts":[["2025"]]},"page":"637-646","title":"Menelisik Urgensitas Fikih Ekologi terhadap Pelestarian Lingkungan Hidup","type":"article-journal","volume":"6"},"uris":["http://www.mendeley.com/documents/?uuid=76401711-9b4d-4646-85c7-af741d2e1eb0"]},{"id":"ITEM-3","itemData":{"DOI":"10.51925/inc.v8i02.69","ISSN":"2621-4938","abstract":"Pondok Pesantren is the oldest educational institution in Indonesia. With various kinds of dynamics and problems in it, pesantren can still survive today. Pesantren in the modern era as it is today cannot only be an educational institution that is normative, equitable or even jumud to the conditions of the surrounding environment, especially the pesantren environment itself. In this article, the author is specifically interested in discussing the problem of environmental care of pesantren which has been the author's second home for the past 10 years or so. The author sees environmental problems in pesantren that are not taken care of with research in writing this article based on the author's concern about the environmental sustainability of pesantren. The author sees the behavior of students who do not pay attention to cleanliness so as to produce a negative stigma of dirty islamic boarding schools, the amount of waste that overflows and the lack of responsiveness of most islamic boarding schools in the use and management of waste waste in them. In addition, the vulnerability of pesantren to become a place for disease outbreaks, and of course how to instill love and care for the pesantren environment towards students so that they can then be used as sustainable habbits and practiced in the community in the future. Therefore, this article will specifically discuss how sharia perceives the surrounding environment by examining verses from the Qur'an that contain mutual relationships between living beings and the surrounding (ecological) nature. This is expected to produce recommendations for environmental jurisprudence (fiqh bi'ah) which will then be linked and implemented specifically in an effort to maintain the pesantren environment so that it becomes a comfortable and safe place for students in it.\r Pondok pesantren merupakan lembaga pendidikan tertua di Indonesia. Dengan berbagai macam dinamika dan problematika di dalamnya, pesantren masih bisa bertahan hingga sekarang. Pesantren di era modern seperti sekarang ini tidak bisa hanya menjadi lembaga pendidikan yang normatif, ekual atau bahkan jumud terhadap kondisi lingkugan sekitar, terlebih  lingkungan pesantrennya sendiri. Dalam artikel ini, penulis secara khusus tertarik membahas permasalahan perawatan lingkungan pesantren yang menjadi rumah kedua penulis selama kurang-lebih 10 tahun terakhir. Penulis melihat problematika lingkungan di dalam pesantren yang kurang terurus dengan penelitian dalam penu…","author":[{"dropping-particle":"","family":"Ubab","given":"Alwi Jamalulel","non-dropping-particle":"","parse-names":false,"suffix":""}],"container-title":"The International Journal of Pegon : Islam Nusantara civilization","id":"ITEM-3","issue":"02","issued":{"date-parts":[["2022"]]},"page":"93-106","title":"Penerapan Tafsir Ekologis Dalam Usaha Merawat Lingkungan Pesantren","type":"article-journal","volume":"8"},"uris":["http://www.mendeley.com/documents/?uuid=c1f76eb8-f8ba-4c4d-bae6-35bd8937ad24"]}],"mendeley":{"formattedCitation":"(Manik, 2023; Sholihin, 2025; Ubab, 2022)","plainTextFormattedCitation":"(Manik, 2023; Sholihin, 2025; Ubab, 2022)","previouslyFormattedCitation":"(Manik, 2023; Sholihin, 2025; Ubab, 2022)"},"properties":{"noteIndex":0},"schema":"https://github.com/citation-style-language/schema/raw/master/csl-citation.json"}</w:instrText>
      </w:r>
      <w:r w:rsidR="007B344E">
        <w:rPr>
          <w:rFonts w:ascii="Times New Roman" w:hAnsi="Times New Roman" w:cs="Times New Roman"/>
          <w:sz w:val="24"/>
          <w:szCs w:val="24"/>
          <w:lang w:val="en-ID"/>
        </w:rPr>
        <w:fldChar w:fldCharType="separate"/>
      </w:r>
      <w:r w:rsidR="007B344E" w:rsidRPr="007B344E">
        <w:rPr>
          <w:rFonts w:ascii="Times New Roman" w:hAnsi="Times New Roman" w:cs="Times New Roman"/>
          <w:noProof/>
          <w:sz w:val="24"/>
          <w:szCs w:val="24"/>
          <w:lang w:val="en-ID"/>
        </w:rPr>
        <w:t>(Manik, 2023; Sholihin, 2025; Ubab, 2022)</w:t>
      </w:r>
      <w:r w:rsidR="007B344E">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w:t>
      </w:r>
    </w:p>
    <w:p w14:paraId="68B38330" w14:textId="77777777" w:rsid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The enthusiasm of Muslim scholars regarding environmental issues extends beyond theoretical discussions and reinterpretations of Qur'anic verses and Hadiths. It is also reflected in tangible actions that promote ecological awareness and concrete contributions to environmental conservation. This effort is evident in various Muslim communities that promote community-based education. It integrates Islamic values with ecological movements.</w:t>
      </w:r>
    </w:p>
    <w:p w14:paraId="49BCBCBA" w14:textId="0FCE89CD" w:rsidR="00217439" w:rsidRDefault="00217439" w:rsidP="00217439">
      <w:pPr>
        <w:spacing w:after="120"/>
        <w:ind w:firstLine="567"/>
        <w:jc w:val="both"/>
        <w:rPr>
          <w:rFonts w:ascii="Times New Roman" w:hAnsi="Times New Roman" w:cs="Times New Roman"/>
          <w:sz w:val="24"/>
          <w:szCs w:val="24"/>
        </w:rPr>
      </w:pPr>
      <w:r w:rsidRPr="00217439">
        <w:rPr>
          <w:rFonts w:ascii="Times New Roman" w:hAnsi="Times New Roman" w:cs="Times New Roman"/>
          <w:sz w:val="24"/>
          <w:szCs w:val="24"/>
        </w:rPr>
        <w:lastRenderedPageBreak/>
        <w:t xml:space="preserve">The concept is rooted in the philosophy of John Dewey, a progressive philosopher and educator who emphasized the significance of experiential learning. In his seminal work </w:t>
      </w:r>
      <w:r w:rsidRPr="00217439">
        <w:rPr>
          <w:rFonts w:ascii="Times New Roman" w:hAnsi="Times New Roman" w:cs="Times New Roman"/>
          <w:i/>
          <w:iCs/>
          <w:sz w:val="24"/>
          <w:szCs w:val="24"/>
        </w:rPr>
        <w:t>Democracy and Education</w:t>
      </w:r>
      <w:r w:rsidRPr="00217439">
        <w:rPr>
          <w:rFonts w:ascii="Times New Roman" w:hAnsi="Times New Roman" w:cs="Times New Roman"/>
          <w:sz w:val="24"/>
          <w:szCs w:val="24"/>
        </w:rPr>
        <w:t>, Dewey argued that education should be practical and directly relevant to real-life contexts, enabling students to comprehend their societal roles. He posited that schools should not function as isolated institutions but rather integrate into the broader community, where students engage in direct interactions and address real social problems. Dewey further asserted that education must adopt a democratic framework, empowering learners to participate in decision-making processes and cultivate critical thinking skills. Through this approach, Competency-Based Education extends beyond academic mastery to foster character development, social skills, and an awareness of individual responsibilities within communities. Dewey's ideas laid the foundation for participatory educational methodologies that prioritize community engagement in learning processes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21389">
        <w:rPr>
          <w:rFonts w:ascii="Times New Roman" w:hAnsi="Times New Roman" w:cs="Times New Roman"/>
          <w:sz w:val="24"/>
          <w:szCs w:val="24"/>
        </w:rPr>
        <w:instrText>ADDIN CSL_CITATION {"citationItems":[{"id":"ITEM-1","itemData":{"author":[{"dropping-particle":"","family":"Dewey","given":"John","non-dropping-particle":"","parse-names":false,"suffix":""}],"editor":[{"dropping-particle":"","family":"Tampio","given":"Nicholas","non-dropping-particle":"","parse-names":false,"suffix":""}],"id":"ITEM-1","issued":{"date-parts":[["2024"]]},"publisher":"Columbia University Press","publisher-place":"New York","title":"Democracy and Education","type":"book"},"uris":["http://www.mendeley.com/documents/?uuid=531be4a5-fc07-4cbf-a512-e682296ab74a","http://www.mendeley.com/documents/?uuid=1668e95a-1af4-45a4-b944-b2f1efa14a02"]}],"mendeley":{"formattedCitation":"(Dewey, 2024)","plainTextFormattedCitation":"(Dewey, 2024)","previouslyFormattedCitation":"(Dewey, 2024)"},"properties":{"noteIndex":0},"schema":"https://github.com/citation-style-language/schema/raw/master/csl-citation.json"}</w:instrText>
      </w:r>
      <w:r>
        <w:rPr>
          <w:rFonts w:ascii="Times New Roman" w:hAnsi="Times New Roman" w:cs="Times New Roman"/>
          <w:sz w:val="24"/>
          <w:szCs w:val="24"/>
        </w:rPr>
        <w:fldChar w:fldCharType="separate"/>
      </w:r>
      <w:r w:rsidRPr="00217439">
        <w:rPr>
          <w:rFonts w:ascii="Times New Roman" w:hAnsi="Times New Roman" w:cs="Times New Roman"/>
          <w:noProof/>
          <w:sz w:val="24"/>
          <w:szCs w:val="24"/>
        </w:rPr>
        <w:t>(Dewey, 2024)</w:t>
      </w:r>
      <w:r>
        <w:rPr>
          <w:rFonts w:ascii="Times New Roman" w:hAnsi="Times New Roman" w:cs="Times New Roman"/>
          <w:sz w:val="24"/>
          <w:szCs w:val="24"/>
        </w:rPr>
        <w:fldChar w:fldCharType="end"/>
      </w:r>
      <w:r w:rsidRPr="00217439">
        <w:rPr>
          <w:rFonts w:ascii="Times New Roman" w:hAnsi="Times New Roman" w:cs="Times New Roman"/>
          <w:sz w:val="24"/>
          <w:szCs w:val="24"/>
        </w:rPr>
        <w:t>.</w:t>
      </w:r>
    </w:p>
    <w:p w14:paraId="68A101D0" w14:textId="037738E9" w:rsidR="00FA17C9" w:rsidRDefault="00217439" w:rsidP="00FA17C9">
      <w:pPr>
        <w:spacing w:after="120"/>
        <w:ind w:firstLine="567"/>
        <w:jc w:val="both"/>
        <w:rPr>
          <w:rFonts w:ascii="Times New Roman" w:hAnsi="Times New Roman" w:cs="Times New Roman"/>
          <w:sz w:val="24"/>
          <w:szCs w:val="24"/>
          <w:lang w:val="id-ID"/>
        </w:rPr>
      </w:pPr>
      <w:r>
        <w:rPr>
          <w:rFonts w:ascii="Times New Roman" w:hAnsi="Times New Roman" w:cs="Times New Roman"/>
          <w:sz w:val="24"/>
          <w:szCs w:val="24"/>
        </w:rPr>
        <w:t>Similar to Rabindranath Tagore, an Indian philosopher, poet, and educator</w:t>
      </w:r>
      <w:r w:rsidR="00F13AFE">
        <w:rPr>
          <w:rFonts w:ascii="Times New Roman" w:hAnsi="Times New Roman" w:cs="Times New Roman"/>
          <w:sz w:val="24"/>
          <w:szCs w:val="24"/>
        </w:rPr>
        <w:t>, who develope</w:t>
      </w:r>
      <w:r w:rsidR="00A90526">
        <w:rPr>
          <w:rFonts w:ascii="Times New Roman" w:hAnsi="Times New Roman" w:cs="Times New Roman"/>
          <w:sz w:val="24"/>
          <w:szCs w:val="24"/>
        </w:rPr>
        <w:t xml:space="preserve">d a community-based educational concept emphasizing freedom, creativity, and the intrinsic connection between humanity and nature. In his approach, implemented at Visva-Bharati – the institution he founded in 1921 – Tagore rejected the rigid colonial education system centered on rote memorization. He Advocated for an organic, interactive educational framework rooted in the daily life of communities </w:t>
      </w:r>
      <w:r w:rsidR="00F13AFE">
        <w:rPr>
          <w:rFonts w:ascii="Times New Roman" w:hAnsi="Times New Roman" w:cs="Times New Roman"/>
          <w:sz w:val="24"/>
          <w:szCs w:val="24"/>
          <w:lang w:val="id-ID"/>
        </w:rPr>
        <w:fldChar w:fldCharType="begin" w:fldLock="1"/>
      </w:r>
      <w:r w:rsidR="00221389">
        <w:rPr>
          <w:rFonts w:ascii="Times New Roman" w:hAnsi="Times New Roman" w:cs="Times New Roman"/>
          <w:sz w:val="24"/>
          <w:szCs w:val="24"/>
          <w:lang w:val="id-ID"/>
        </w:rPr>
        <w:instrText>ADDIN CSL_CITATION {"citationItems":[{"id":"ITEM-1","itemData":{"ISBN":"9780190264093","ISSN":"2202493X","abstract":"This special issue is the outcome of an international research symposium with the same title, \"Other ways of knowing and doing\": Globalizing social science knowledge in higher education\", organized by the Centre for Comparative and Global Education at the International Institute for Higher Education Research and Capacity Building, O.P. Jindal Global University, India, during December 2017, in collaboration with the Oceania Comparative and International Education Society, Indian Ocean Comparative Education Society, World Council of Comparative Education Societies and the UNESCO-Chairs in Community-based Research and Social Responsibility in Higher Education.","author":[{"dropping-particle":"","family":"Mukherjee","given":"Mousumi","non-dropping-particle":"","parse-names":false,"suffix":""},{"dropping-particle":"","family":"Koshal","given":"Nandita","non-dropping-particle":"","parse-names":false,"suffix":""}],"container-title":"International Education Journal","id":"ITEM-1","issue":"1","issued":{"date-parts":[["2020"]]},"page":"1-57","title":"\"Other Ways of Knowing and Doing\": Globalizing Social Science Knowledge in Higher Education","type":"article-journal","volume":"19"},"uris":["http://www.mendeley.com/documents/?uuid=73252c4a-a94c-46a3-99ec-acbd36b10934","http://www.mendeley.com/documents/?uuid=026de7d9-72d3-4e58-a0e8-50c8a8b1f17d"]}],"mendeley":{"formattedCitation":"(Mukherjee &amp; Koshal, 2020)","plainTextFormattedCitation":"(Mukherjee &amp; Koshal, 2020)","previouslyFormattedCitation":"(Mukherjee &amp; Koshal, 2020)"},"properties":{"noteIndex":0},"schema":"https://github.com/citation-style-language/schema/raw/master/csl-citation.json"}</w:instrText>
      </w:r>
      <w:r w:rsidR="00F13AFE">
        <w:rPr>
          <w:rFonts w:ascii="Times New Roman" w:hAnsi="Times New Roman" w:cs="Times New Roman"/>
          <w:sz w:val="24"/>
          <w:szCs w:val="24"/>
          <w:lang w:val="id-ID"/>
        </w:rPr>
        <w:fldChar w:fldCharType="separate"/>
      </w:r>
      <w:r w:rsidR="00F13AFE" w:rsidRPr="00F13AFE">
        <w:rPr>
          <w:rFonts w:ascii="Times New Roman" w:hAnsi="Times New Roman" w:cs="Times New Roman"/>
          <w:noProof/>
          <w:sz w:val="24"/>
          <w:szCs w:val="24"/>
          <w:lang w:val="id-ID"/>
        </w:rPr>
        <w:t>(Mukherjee &amp; Koshal, 2020)</w:t>
      </w:r>
      <w:r w:rsidR="00F13AFE">
        <w:rPr>
          <w:rFonts w:ascii="Times New Roman" w:hAnsi="Times New Roman" w:cs="Times New Roman"/>
          <w:sz w:val="24"/>
          <w:szCs w:val="24"/>
          <w:lang w:val="id-ID"/>
        </w:rPr>
        <w:fldChar w:fldCharType="end"/>
      </w:r>
      <w:r w:rsidRPr="00217439">
        <w:rPr>
          <w:rFonts w:ascii="Times New Roman" w:hAnsi="Times New Roman" w:cs="Times New Roman"/>
          <w:sz w:val="24"/>
          <w:szCs w:val="24"/>
          <w:lang w:val="id-ID"/>
        </w:rPr>
        <w:t>.</w:t>
      </w:r>
    </w:p>
    <w:p w14:paraId="03CF6507" w14:textId="683E65B9" w:rsidR="00217439" w:rsidRPr="00217439" w:rsidRDefault="00FA17C9" w:rsidP="00FA17C9">
      <w:pPr>
        <w:spacing w:after="120"/>
        <w:ind w:firstLine="567"/>
        <w:jc w:val="both"/>
        <w:rPr>
          <w:rFonts w:ascii="Times New Roman" w:hAnsi="Times New Roman" w:cs="Times New Roman"/>
          <w:sz w:val="24"/>
          <w:szCs w:val="24"/>
          <w:lang w:val="id-ID"/>
        </w:rPr>
      </w:pPr>
      <w:r>
        <w:rPr>
          <w:rFonts w:ascii="Times New Roman" w:hAnsi="Times New Roman" w:cs="Times New Roman"/>
          <w:sz w:val="24"/>
          <w:szCs w:val="24"/>
          <w:lang w:val="en-ID"/>
        </w:rPr>
        <w:t>Tagore argued that schools should not operate as isolated institutions but rather serve as community hubs fostering lifelong learning through arts, cultural practices, and environmental exploration. He emphasized cultivating harmony between humans and nature, teaching students to derive knowledge from direct experiential engagement rather that relying solely on textbooks. Thus, the Com</w:t>
      </w:r>
      <w:r w:rsidR="00BC717F">
        <w:rPr>
          <w:rFonts w:ascii="Times New Roman" w:hAnsi="Times New Roman" w:cs="Times New Roman"/>
          <w:sz w:val="24"/>
          <w:szCs w:val="24"/>
          <w:lang w:val="en-ID"/>
        </w:rPr>
        <w:t>munity</w:t>
      </w:r>
      <w:r>
        <w:rPr>
          <w:rFonts w:ascii="Times New Roman" w:hAnsi="Times New Roman" w:cs="Times New Roman"/>
          <w:sz w:val="24"/>
          <w:szCs w:val="24"/>
          <w:lang w:val="en-ID"/>
        </w:rPr>
        <w:t>-Based Education model advanced by Tagore not only nurtured intellectual development but also instilled profound social and spiritual consciousness, aligning with progressive educational philosophies that prioritize equilibrium between individual autonomy and societal responsibility</w:t>
      </w:r>
      <w:r w:rsidR="00A90526">
        <w:rPr>
          <w:rFonts w:ascii="Times New Roman" w:hAnsi="Times New Roman" w:cs="Times New Roman"/>
          <w:sz w:val="24"/>
          <w:szCs w:val="24"/>
          <w:lang w:val="id-ID"/>
        </w:rPr>
        <w:t xml:space="preserve"> </w:t>
      </w:r>
      <w:r w:rsidR="00A90526">
        <w:rPr>
          <w:rFonts w:ascii="Times New Roman" w:hAnsi="Times New Roman" w:cs="Times New Roman"/>
          <w:sz w:val="24"/>
          <w:szCs w:val="24"/>
          <w:lang w:val="id-ID"/>
        </w:rPr>
        <w:fldChar w:fldCharType="begin" w:fldLock="1"/>
      </w:r>
      <w:r w:rsidR="00221389">
        <w:rPr>
          <w:rFonts w:ascii="Times New Roman" w:hAnsi="Times New Roman" w:cs="Times New Roman"/>
          <w:sz w:val="24"/>
          <w:szCs w:val="24"/>
          <w:lang w:val="id-ID"/>
        </w:rPr>
        <w:instrText>ADDIN CSL_CITATION {"citationItems":[{"id":"ITEM-1","itemData":{"ISBN":"8175201649","author":[{"dropping-particle":"","family":"Choudhary","given":"Ravindra K S","non-dropping-particle":"","parse-names":false,"suffix":""},{"dropping-particle":"","family":"Gopalakhrisnan","given":"G","non-dropping-particle":"","parse-names":false,"suffix":""},{"dropping-particle":"","family":"Khushalani","given":"Bharat","non-dropping-particle":"","parse-names":false,"suffix":""},{"dropping-particle":"","family":"Ghadge","given":"Atul Krishna","non-dropping-particle":"","parse-names":false,"suffix":""},{"dropping-particle":"","family":"Mani","given":"Mangala","non-dropping-particle":"","parse-names":false,"suffix":""}],"id":"ITEM-1","issue":"26","issued":{"date-parts":[["2024"]]},"publisher":"Association of Indian Universities","title":"UNIVERSITIES HANDBOOK – 35 th EDITION ( 2024 )","type":"book","volume":"62"},"uris":["http://www.mendeley.com/documents/?uuid=bb3daaa3-3639-4b96-8fa3-e1453545e5ca","http://www.mendeley.com/documents/?uuid=60ba7734-4bc3-47de-8b3c-11f993d14b33"]}],"mendeley":{"formattedCitation":"(Choudhary et al., 2024)","plainTextFormattedCitation":"(Choudhary et al., 2024)","previouslyFormattedCitation":"(Choudhary et al., 2024)"},"properties":{"noteIndex":0},"schema":"https://github.com/citation-style-language/schema/raw/master/csl-citation.json"}</w:instrText>
      </w:r>
      <w:r w:rsidR="00A90526">
        <w:rPr>
          <w:rFonts w:ascii="Times New Roman" w:hAnsi="Times New Roman" w:cs="Times New Roman"/>
          <w:sz w:val="24"/>
          <w:szCs w:val="24"/>
          <w:lang w:val="id-ID"/>
        </w:rPr>
        <w:fldChar w:fldCharType="separate"/>
      </w:r>
      <w:r w:rsidR="00A90526" w:rsidRPr="00A90526">
        <w:rPr>
          <w:rFonts w:ascii="Times New Roman" w:hAnsi="Times New Roman" w:cs="Times New Roman"/>
          <w:noProof/>
          <w:sz w:val="24"/>
          <w:szCs w:val="24"/>
          <w:lang w:val="id-ID"/>
        </w:rPr>
        <w:t>(Choudhary et al., 2024)</w:t>
      </w:r>
      <w:r w:rsidR="00A90526">
        <w:rPr>
          <w:rFonts w:ascii="Times New Roman" w:hAnsi="Times New Roman" w:cs="Times New Roman"/>
          <w:sz w:val="24"/>
          <w:szCs w:val="24"/>
          <w:lang w:val="id-ID"/>
        </w:rPr>
        <w:fldChar w:fldCharType="end"/>
      </w:r>
      <w:r w:rsidR="00217439" w:rsidRPr="00217439">
        <w:rPr>
          <w:rFonts w:ascii="Times New Roman" w:hAnsi="Times New Roman" w:cs="Times New Roman"/>
          <w:sz w:val="24"/>
          <w:szCs w:val="24"/>
          <w:lang w:val="id-ID"/>
        </w:rPr>
        <w:t>.</w:t>
      </w:r>
    </w:p>
    <w:p w14:paraId="46637690" w14:textId="2A0F8C48" w:rsidR="007779A2" w:rsidRPr="007779A2" w:rsidRDefault="00BC717F" w:rsidP="007779A2">
      <w:pPr>
        <w:spacing w:after="12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One</w:t>
      </w:r>
      <w:r w:rsidR="004D4CA5" w:rsidRPr="007779A2">
        <w:rPr>
          <w:rFonts w:ascii="Times New Roman" w:hAnsi="Times New Roman" w:cs="Times New Roman"/>
          <w:sz w:val="24"/>
          <w:szCs w:val="24"/>
          <w:lang w:val="en-ID"/>
        </w:rPr>
        <w:t xml:space="preserve"> example</w:t>
      </w:r>
      <w:r>
        <w:rPr>
          <w:rFonts w:ascii="Times New Roman" w:hAnsi="Times New Roman" w:cs="Times New Roman"/>
          <w:sz w:val="24"/>
          <w:szCs w:val="24"/>
          <w:lang w:val="en-ID"/>
        </w:rPr>
        <w:t>s</w:t>
      </w:r>
      <w:r w:rsidR="004D4CA5" w:rsidRPr="007779A2">
        <w:rPr>
          <w:rFonts w:ascii="Times New Roman" w:hAnsi="Times New Roman" w:cs="Times New Roman"/>
          <w:sz w:val="24"/>
          <w:szCs w:val="24"/>
          <w:lang w:val="en-ID"/>
        </w:rPr>
        <w:t xml:space="preserve"> </w:t>
      </w:r>
      <w:r>
        <w:rPr>
          <w:rFonts w:ascii="Times New Roman" w:hAnsi="Times New Roman" w:cs="Times New Roman"/>
          <w:sz w:val="24"/>
          <w:szCs w:val="24"/>
          <w:lang w:val="en-ID"/>
        </w:rPr>
        <w:t>of such a movement is</w:t>
      </w:r>
      <w:r w:rsidR="004D4CA5" w:rsidRPr="007779A2">
        <w:rPr>
          <w:rFonts w:ascii="Times New Roman" w:hAnsi="Times New Roman" w:cs="Times New Roman"/>
          <w:sz w:val="24"/>
          <w:szCs w:val="24"/>
          <w:lang w:val="en-ID"/>
        </w:rPr>
        <w:t xml:space="preserve"> the preacher community </w:t>
      </w:r>
      <w:r w:rsidR="004D4CA5" w:rsidRPr="007779A2">
        <w:rPr>
          <w:rFonts w:ascii="Times New Roman" w:hAnsi="Times New Roman" w:cs="Times New Roman"/>
          <w:i/>
          <w:iCs/>
          <w:sz w:val="24"/>
          <w:szCs w:val="24"/>
          <w:lang w:val="en-ID"/>
        </w:rPr>
        <w:t>CariUstadz.id</w:t>
      </w:r>
      <w:r w:rsidR="004D4CA5" w:rsidRPr="007779A2">
        <w:rPr>
          <w:rFonts w:ascii="Times New Roman" w:hAnsi="Times New Roman" w:cs="Times New Roman"/>
          <w:sz w:val="24"/>
          <w:szCs w:val="24"/>
          <w:lang w:val="en-ID"/>
        </w:rPr>
        <w:t>, which collaborates with Greenpeace—a global environmental organization focused on environmental protection and sustainability—to educate preachers so that the pulpit is not only a space for religious counsel but also a medium for promoting "green da'wah"</w:t>
      </w:r>
      <w:r w:rsidR="00EB48D7">
        <w:rPr>
          <w:rFonts w:ascii="Times New Roman" w:hAnsi="Times New Roman" w:cs="Times New Roman"/>
          <w:sz w:val="24"/>
          <w:szCs w:val="24"/>
          <w:lang w:val="en-ID"/>
        </w:rPr>
        <w:t xml:space="preserve"> </w:t>
      </w:r>
      <w:r w:rsidR="00EB48D7">
        <w:rPr>
          <w:rFonts w:ascii="Times New Roman" w:hAnsi="Times New Roman" w:cs="Times New Roman"/>
          <w:sz w:val="24"/>
          <w:szCs w:val="24"/>
          <w:lang w:val="en-ID"/>
        </w:rPr>
        <w:fldChar w:fldCharType="begin" w:fldLock="1"/>
      </w:r>
      <w:r w:rsidR="00EB48D7">
        <w:rPr>
          <w:rFonts w:ascii="Times New Roman" w:hAnsi="Times New Roman" w:cs="Times New Roman"/>
          <w:sz w:val="24"/>
          <w:szCs w:val="24"/>
          <w:lang w:val="en-ID"/>
        </w:rPr>
        <w:instrText>ADDIN CSL_CITATION {"citationItems":[{"id":"ITEM-1","itemData":{"author":[{"dropping-particle":"","family":"Choironi","given":"M. Alvin Nur","non-dropping-particle":"","parse-names":false,"suffix":""},{"dropping-particle":"","family":"Ferdiansyah","given":"Hengki","non-dropping-particle":"","parse-names":false,"suffix":""}],"id":"ITEM-1","issued":{"date-parts":[["2023"]]},"publisher":"Islami Digital Indonesia","publisher-place":"Jakarta","title":"Khotbah Hijau","type":"book"},"uris":["http://www.mendeley.com/documents/?uuid=70694924-85b5-4aa5-aa09-e71ec1e28aa8"]}],"mendeley":{"formattedCitation":"(Choironi &amp; Ferdiansyah, 2023)","plainTextFormattedCitation":"(Choironi &amp; Ferdiansyah, 2023)","previouslyFormattedCitation":"(Choironi &amp; Ferdiansyah, 2023)"},"properties":{"noteIndex":0},"schema":"https://github.com/citation-style-language/schema/raw/master/csl-citation.json"}</w:instrText>
      </w:r>
      <w:r w:rsidR="00EB48D7">
        <w:rPr>
          <w:rFonts w:ascii="Times New Roman" w:hAnsi="Times New Roman" w:cs="Times New Roman"/>
          <w:sz w:val="24"/>
          <w:szCs w:val="24"/>
          <w:lang w:val="en-ID"/>
        </w:rPr>
        <w:fldChar w:fldCharType="separate"/>
      </w:r>
      <w:r w:rsidR="00EB48D7" w:rsidRPr="00EB48D7">
        <w:rPr>
          <w:rFonts w:ascii="Times New Roman" w:hAnsi="Times New Roman" w:cs="Times New Roman"/>
          <w:noProof/>
          <w:sz w:val="24"/>
          <w:szCs w:val="24"/>
          <w:lang w:val="en-ID"/>
        </w:rPr>
        <w:t>(Choironi &amp; Ferdiansyah, 2023)</w:t>
      </w:r>
      <w:r w:rsidR="00EB48D7">
        <w:rPr>
          <w:rFonts w:ascii="Times New Roman" w:hAnsi="Times New Roman" w:cs="Times New Roman"/>
          <w:sz w:val="24"/>
          <w:szCs w:val="24"/>
          <w:lang w:val="en-ID"/>
        </w:rPr>
        <w:fldChar w:fldCharType="end"/>
      </w:r>
      <w:r w:rsidR="00EB48D7">
        <w:rPr>
          <w:rFonts w:ascii="Times New Roman" w:hAnsi="Times New Roman" w:cs="Times New Roman"/>
          <w:sz w:val="24"/>
          <w:szCs w:val="24"/>
          <w:lang w:val="en-ID"/>
        </w:rPr>
        <w:t>.</w:t>
      </w:r>
      <w:r w:rsidR="004D4CA5" w:rsidRPr="007779A2">
        <w:rPr>
          <w:rFonts w:ascii="Times New Roman" w:hAnsi="Times New Roman" w:cs="Times New Roman"/>
          <w:sz w:val="24"/>
          <w:szCs w:val="24"/>
          <w:lang w:val="en-ID"/>
        </w:rPr>
        <w:t xml:space="preserve"> A similar initiative is undertaken by </w:t>
      </w:r>
      <w:r w:rsidR="004D4CA5" w:rsidRPr="007779A2">
        <w:rPr>
          <w:rFonts w:ascii="Times New Roman" w:hAnsi="Times New Roman" w:cs="Times New Roman"/>
          <w:i/>
          <w:iCs/>
          <w:sz w:val="24"/>
          <w:szCs w:val="24"/>
          <w:lang w:val="en-ID"/>
        </w:rPr>
        <w:t>Laskar Hijau</w:t>
      </w:r>
      <w:r w:rsidR="004D4CA5" w:rsidRPr="007779A2">
        <w:rPr>
          <w:rFonts w:ascii="Times New Roman" w:hAnsi="Times New Roman" w:cs="Times New Roman"/>
          <w:sz w:val="24"/>
          <w:szCs w:val="24"/>
          <w:lang w:val="en-ID"/>
        </w:rPr>
        <w:t>, a community actively involved in conserving Mount Lemongan in Lumajang, restoring the region's ecological balance through reforestation and environmental education</w:t>
      </w:r>
      <w:r w:rsidR="00EB48D7">
        <w:rPr>
          <w:rFonts w:ascii="Times New Roman" w:hAnsi="Times New Roman" w:cs="Times New Roman"/>
          <w:sz w:val="24"/>
          <w:szCs w:val="24"/>
          <w:lang w:val="en-ID"/>
        </w:rPr>
        <w:t xml:space="preserve"> </w:t>
      </w:r>
      <w:r w:rsidR="00EB48D7">
        <w:rPr>
          <w:rFonts w:ascii="Times New Roman" w:hAnsi="Times New Roman" w:cs="Times New Roman"/>
          <w:sz w:val="24"/>
          <w:szCs w:val="24"/>
          <w:lang w:val="en-ID"/>
        </w:rPr>
        <w:fldChar w:fldCharType="begin" w:fldLock="1"/>
      </w:r>
      <w:r w:rsidR="00EB48D7">
        <w:rPr>
          <w:rFonts w:ascii="Times New Roman" w:hAnsi="Times New Roman" w:cs="Times New Roman"/>
          <w:sz w:val="24"/>
          <w:szCs w:val="24"/>
          <w:lang w:val="en-ID"/>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approach.","author":[{"dropping-particle":"","family":"Thobroni","given":"Ahmad Yusam","non-dropping-particle":"","parse-names":false,"suffix":""},{"dropping-particle":"","family":"Syamsudin","given":"Syamsudin","non-dropping-particle":"","parse-names":false,"suffix":""},{"dropping-particle":"","family":"Rizqiyah","given":"Afi","non-dropping-particle":"","parse-names":false,"suffix":""}],"container-title":"KACA: Karunia Cahaya Allah","id":"ITEM-1","issue":"2","issued":{"date-parts":[["2024"]]},"page":"215-237","title":"Peran Ajaran Agama di Kalangan Komunitas Laskar Hijau dalam Melaksanakan Konservasi Hutan Gunung Lemongan Lumajang: Kajian Living Qur’an","type":"article-journal","volume":"14"},"uris":["http://www.mendeley.com/documents/?uuid=0fa2b519-ce2d-41ad-87d7-2627e034c84c"]}],"mendeley":{"formattedCitation":"(Thobroni et al., 2024)","plainTextFormattedCitation":"(Thobroni et al., 2024)","previouslyFormattedCitation":"(Thobroni et al., 2024)"},"properties":{"noteIndex":0},"schema":"https://github.com/citation-style-language/schema/raw/master/csl-citation.json"}</w:instrText>
      </w:r>
      <w:r w:rsidR="00EB48D7">
        <w:rPr>
          <w:rFonts w:ascii="Times New Roman" w:hAnsi="Times New Roman" w:cs="Times New Roman"/>
          <w:sz w:val="24"/>
          <w:szCs w:val="24"/>
          <w:lang w:val="en-ID"/>
        </w:rPr>
        <w:fldChar w:fldCharType="separate"/>
      </w:r>
      <w:r w:rsidR="00EB48D7" w:rsidRPr="00EB48D7">
        <w:rPr>
          <w:rFonts w:ascii="Times New Roman" w:hAnsi="Times New Roman" w:cs="Times New Roman"/>
          <w:noProof/>
          <w:sz w:val="24"/>
          <w:szCs w:val="24"/>
          <w:lang w:val="en-ID"/>
        </w:rPr>
        <w:t>(Thobroni et al., 2024)</w:t>
      </w:r>
      <w:r w:rsidR="00EB48D7">
        <w:rPr>
          <w:rFonts w:ascii="Times New Roman" w:hAnsi="Times New Roman" w:cs="Times New Roman"/>
          <w:sz w:val="24"/>
          <w:szCs w:val="24"/>
          <w:lang w:val="en-ID"/>
        </w:rPr>
        <w:fldChar w:fldCharType="end"/>
      </w:r>
      <w:r w:rsidR="004D4CA5" w:rsidRPr="007779A2">
        <w:rPr>
          <w:rFonts w:ascii="Times New Roman" w:hAnsi="Times New Roman" w:cs="Times New Roman"/>
          <w:sz w:val="24"/>
          <w:szCs w:val="24"/>
          <w:lang w:val="en-ID"/>
        </w:rPr>
        <w:t xml:space="preserve">. Meanwhile, </w:t>
      </w:r>
      <w:r w:rsidR="004D4CA5" w:rsidRPr="007779A2">
        <w:rPr>
          <w:rFonts w:ascii="Times New Roman" w:hAnsi="Times New Roman" w:cs="Times New Roman"/>
          <w:i/>
          <w:iCs/>
          <w:sz w:val="24"/>
          <w:szCs w:val="24"/>
          <w:lang w:val="en-ID"/>
        </w:rPr>
        <w:t>Masjid Jogokariyan</w:t>
      </w:r>
      <w:r w:rsidR="004D4CA5" w:rsidRPr="007779A2">
        <w:rPr>
          <w:rFonts w:ascii="Times New Roman" w:hAnsi="Times New Roman" w:cs="Times New Roman"/>
          <w:sz w:val="24"/>
          <w:szCs w:val="24"/>
          <w:lang w:val="en-ID"/>
        </w:rPr>
        <w:t xml:space="preserve"> in Yogyakarta has revolutionized mosque management standards with a more sustainable concept, building synergy between the mosque, the community, and the surrounding environment</w:t>
      </w:r>
      <w:r w:rsidR="00EB48D7">
        <w:rPr>
          <w:rFonts w:ascii="Times New Roman" w:hAnsi="Times New Roman" w:cs="Times New Roman"/>
          <w:sz w:val="24"/>
          <w:szCs w:val="24"/>
          <w:lang w:val="en-ID"/>
        </w:rPr>
        <w:t xml:space="preserve"> </w:t>
      </w:r>
      <w:r w:rsidR="00EB48D7">
        <w:rPr>
          <w:rFonts w:ascii="Times New Roman" w:hAnsi="Times New Roman" w:cs="Times New Roman"/>
          <w:sz w:val="24"/>
          <w:szCs w:val="24"/>
          <w:lang w:val="en-ID"/>
        </w:rPr>
        <w:fldChar w:fldCharType="begin" w:fldLock="1"/>
      </w:r>
      <w:r w:rsidR="00EB48D7">
        <w:rPr>
          <w:rFonts w:ascii="Times New Roman" w:hAnsi="Times New Roman" w:cs="Times New Roman"/>
          <w:sz w:val="24"/>
          <w:szCs w:val="24"/>
          <w:lang w:val="en-ID"/>
        </w:rPr>
        <w:instrText>ADDIN CSL_CITATION {"citationItems":[{"id":"ITEM-1","itemData":{"author":[{"dropping-particle":"","family":"Achmad","given":"Amelia Fauzia Ulfa","non-dropping-particle":"","parse-names":false,"suffix":""}],"id":"ITEM-1","issued":{"date-parts":[["2024"]]},"publisher":"UIN Sunan Gunung Djati Bandung","title":"Optimalisasi Manajemen Masjid dalam Meningkatkatan Sinergitas Lingkungan dan Masyarakat","type":"thesis"},"uris":["http://www.mendeley.com/documents/?uuid=89a245ec-9f2c-4571-93b6-0d3cd1b77659"]}],"mendeley":{"formattedCitation":"(Achmad, 2024)","plainTextFormattedCitation":"(Achmad, 2024)","previouslyFormattedCitation":"(Achmad, 2024)"},"properties":{"noteIndex":0},"schema":"https://github.com/citation-style-language/schema/raw/master/csl-citation.json"}</w:instrText>
      </w:r>
      <w:r w:rsidR="00EB48D7">
        <w:rPr>
          <w:rFonts w:ascii="Times New Roman" w:hAnsi="Times New Roman" w:cs="Times New Roman"/>
          <w:sz w:val="24"/>
          <w:szCs w:val="24"/>
          <w:lang w:val="en-ID"/>
        </w:rPr>
        <w:fldChar w:fldCharType="separate"/>
      </w:r>
      <w:r w:rsidR="00EB48D7" w:rsidRPr="00EB48D7">
        <w:rPr>
          <w:rFonts w:ascii="Times New Roman" w:hAnsi="Times New Roman" w:cs="Times New Roman"/>
          <w:noProof/>
          <w:sz w:val="24"/>
          <w:szCs w:val="24"/>
          <w:lang w:val="en-ID"/>
        </w:rPr>
        <w:t>(Achmad, 2024)</w:t>
      </w:r>
      <w:r w:rsidR="00EB48D7">
        <w:rPr>
          <w:rFonts w:ascii="Times New Roman" w:hAnsi="Times New Roman" w:cs="Times New Roman"/>
          <w:sz w:val="24"/>
          <w:szCs w:val="24"/>
          <w:lang w:val="en-ID"/>
        </w:rPr>
        <w:fldChar w:fldCharType="end"/>
      </w:r>
      <w:r w:rsidR="004D4CA5" w:rsidRPr="007779A2">
        <w:rPr>
          <w:rFonts w:ascii="Times New Roman" w:hAnsi="Times New Roman" w:cs="Times New Roman"/>
          <w:sz w:val="24"/>
          <w:szCs w:val="24"/>
          <w:lang w:val="en-ID"/>
        </w:rPr>
        <w:t>.</w:t>
      </w:r>
    </w:p>
    <w:p w14:paraId="70C854EA" w14:textId="77777777" w:rsidR="007779A2" w:rsidRP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Among young people, eco</w:t>
      </w:r>
      <w:r w:rsidR="00F13AFE">
        <w:rPr>
          <w:rFonts w:ascii="Times New Roman" w:hAnsi="Times New Roman" w:cs="Times New Roman"/>
          <w:sz w:val="24"/>
          <w:szCs w:val="24"/>
          <w:lang w:val="en-ID"/>
        </w:rPr>
        <w:t>-</w:t>
      </w:r>
      <w:r w:rsidRPr="007779A2">
        <w:rPr>
          <w:rFonts w:ascii="Times New Roman" w:hAnsi="Times New Roman" w:cs="Times New Roman"/>
          <w:sz w:val="24"/>
          <w:szCs w:val="24"/>
          <w:lang w:val="en-ID"/>
        </w:rPr>
        <w:t xml:space="preserve">theological awareness is increasingly growing through study communities such as YukNgaji, which promote the #LessWaste movement as part of an Islamic lifestyle. With a relevant and social media-based approach, this community encourages the younger generation to be more mindful of the impact of excessive consumption and the importance of sustainability practices in daily life. These various </w:t>
      </w:r>
      <w:r w:rsidRPr="007779A2">
        <w:rPr>
          <w:rFonts w:ascii="Times New Roman" w:hAnsi="Times New Roman" w:cs="Times New Roman"/>
          <w:sz w:val="24"/>
          <w:szCs w:val="24"/>
          <w:lang w:val="en-ID"/>
        </w:rPr>
        <w:lastRenderedPageBreak/>
        <w:t>movements demonstrate that Islamic values regarding environmental care are not only embedded in academic discourse but also translated into tangible practices with broad impact.</w:t>
      </w:r>
    </w:p>
    <w:p w14:paraId="506E96B5" w14:textId="19544D8E" w:rsidR="007779A2" w:rsidRPr="007779A2" w:rsidRDefault="004D4CA5" w:rsidP="00BC717F">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 xml:space="preserve">This </w:t>
      </w:r>
      <w:r w:rsidR="00BC717F">
        <w:rPr>
          <w:rFonts w:ascii="Times New Roman" w:hAnsi="Times New Roman" w:cs="Times New Roman"/>
          <w:sz w:val="24"/>
          <w:szCs w:val="24"/>
          <w:lang w:val="en-ID"/>
        </w:rPr>
        <w:t xml:space="preserve">writing </w:t>
      </w:r>
      <w:r w:rsidRPr="007779A2">
        <w:rPr>
          <w:rFonts w:ascii="Times New Roman" w:hAnsi="Times New Roman" w:cs="Times New Roman"/>
          <w:sz w:val="24"/>
          <w:szCs w:val="24"/>
          <w:lang w:val="en-ID"/>
        </w:rPr>
        <w:t xml:space="preserve">focuses on the #LessWaste ecological movement initiated by the YukNgaji community, employing the </w:t>
      </w:r>
      <w:r w:rsidR="00BC717F">
        <w:rPr>
          <w:rFonts w:ascii="Times New Roman" w:hAnsi="Times New Roman" w:cs="Times New Roman"/>
          <w:sz w:val="24"/>
          <w:szCs w:val="24"/>
          <w:lang w:val="en-ID"/>
        </w:rPr>
        <w:t>John Dewey’s</w:t>
      </w:r>
      <w:r w:rsidRPr="007779A2">
        <w:rPr>
          <w:rFonts w:ascii="Times New Roman" w:hAnsi="Times New Roman" w:cs="Times New Roman"/>
          <w:sz w:val="24"/>
          <w:szCs w:val="24"/>
          <w:lang w:val="en-ID"/>
        </w:rPr>
        <w:t xml:space="preserve"> approach</w:t>
      </w:r>
      <w:r w:rsidR="00BC717F">
        <w:rPr>
          <w:rFonts w:ascii="Times New Roman" w:hAnsi="Times New Roman" w:cs="Times New Roman"/>
          <w:sz w:val="24"/>
          <w:szCs w:val="24"/>
          <w:lang w:val="en-ID"/>
        </w:rPr>
        <w:t>, Rabindranath Tagore’s model of public education as well as Thomas Lickona’s view on the internalisation of values</w:t>
      </w:r>
      <w:r w:rsidRPr="007779A2">
        <w:rPr>
          <w:rFonts w:ascii="Times New Roman" w:hAnsi="Times New Roman" w:cs="Times New Roman"/>
          <w:sz w:val="24"/>
          <w:szCs w:val="24"/>
          <w:lang w:val="en-ID"/>
        </w:rPr>
        <w:t xml:space="preserve"> </w:t>
      </w:r>
      <w:r w:rsidR="007C317B">
        <w:rPr>
          <w:rFonts w:ascii="Times New Roman" w:hAnsi="Times New Roman" w:cs="Times New Roman"/>
          <w:sz w:val="24"/>
          <w:szCs w:val="24"/>
          <w:lang w:val="en-ID"/>
        </w:rPr>
        <w:t xml:space="preserve">in </w:t>
      </w:r>
      <w:r w:rsidRPr="007779A2">
        <w:rPr>
          <w:rFonts w:ascii="Times New Roman" w:hAnsi="Times New Roman" w:cs="Times New Roman"/>
          <w:sz w:val="24"/>
          <w:szCs w:val="24"/>
          <w:lang w:val="en-ID"/>
        </w:rPr>
        <w:t xml:space="preserve"> the</w:t>
      </w:r>
      <w:r w:rsidR="007C317B">
        <w:rPr>
          <w:rFonts w:ascii="Times New Roman" w:hAnsi="Times New Roman" w:cs="Times New Roman"/>
          <w:sz w:val="24"/>
          <w:szCs w:val="24"/>
          <w:lang w:val="en-ID"/>
        </w:rPr>
        <w:t xml:space="preserve"> context of</w:t>
      </w:r>
      <w:r w:rsidRPr="007779A2">
        <w:rPr>
          <w:rFonts w:ascii="Times New Roman" w:hAnsi="Times New Roman" w:cs="Times New Roman"/>
          <w:sz w:val="24"/>
          <w:szCs w:val="24"/>
          <w:lang w:val="en-ID"/>
        </w:rPr>
        <w:t xml:space="preserve"> </w:t>
      </w:r>
      <w:r w:rsidR="00BC717F">
        <w:rPr>
          <w:rFonts w:ascii="Times New Roman" w:hAnsi="Times New Roman" w:cs="Times New Roman"/>
          <w:sz w:val="24"/>
          <w:szCs w:val="24"/>
          <w:lang w:val="en-ID"/>
        </w:rPr>
        <w:t>community based education</w:t>
      </w:r>
      <w:r w:rsidRPr="007779A2">
        <w:rPr>
          <w:rFonts w:ascii="Times New Roman" w:hAnsi="Times New Roman" w:cs="Times New Roman"/>
          <w:sz w:val="24"/>
          <w:szCs w:val="24"/>
          <w:lang w:val="en-ID"/>
        </w:rPr>
        <w:t xml:space="preserve"> as its analytical </w:t>
      </w:r>
      <w:r w:rsidR="007C317B">
        <w:rPr>
          <w:rFonts w:ascii="Times New Roman" w:hAnsi="Times New Roman" w:cs="Times New Roman"/>
          <w:sz w:val="24"/>
          <w:szCs w:val="24"/>
          <w:lang w:val="en-ID"/>
        </w:rPr>
        <w:t xml:space="preserve">theory and </w:t>
      </w:r>
      <w:r w:rsidRPr="007779A2">
        <w:rPr>
          <w:rFonts w:ascii="Times New Roman" w:hAnsi="Times New Roman" w:cs="Times New Roman"/>
          <w:sz w:val="24"/>
          <w:szCs w:val="24"/>
          <w:lang w:val="en-ID"/>
        </w:rPr>
        <w:t>framework. This research adopts a descriptive-qualitative method with a phenomenological lens. Primary data is collected through observations and interviews, involving two types of informants: central administrators and community members of YukNgaji. Meanwhile, secondary data is gathered from previous research reports and various literature related to the research theme accessed through libraries and the internet. The uniqueness of YukNgaji lies in its hybrid activism model that balances digital space and real-world action. Their movement goes beyond mere clicktivism—such as raising awareness through social media campaigns—and is also realized through direct actions in mosques within the community's reach.</w:t>
      </w:r>
    </w:p>
    <w:p w14:paraId="3D9887C7" w14:textId="77777777" w:rsidR="007779A2" w:rsidRP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In addition, YukNgaji has the potential to continuously amplify "green sermons" sustainably. This is supported by their weekly study system, which is attended by a relatively stable and loyal congregation</w:t>
      </w:r>
      <w:r w:rsidR="00EB48D7">
        <w:rPr>
          <w:rFonts w:ascii="Times New Roman" w:hAnsi="Times New Roman" w:cs="Times New Roman"/>
          <w:sz w:val="24"/>
          <w:szCs w:val="24"/>
          <w:lang w:val="en-ID"/>
        </w:rPr>
        <w:t xml:space="preserve"> </w:t>
      </w:r>
      <w:r w:rsidR="00EB48D7">
        <w:rPr>
          <w:rFonts w:ascii="Times New Roman" w:hAnsi="Times New Roman" w:cs="Times New Roman"/>
          <w:sz w:val="24"/>
          <w:szCs w:val="24"/>
          <w:lang w:val="en-ID"/>
        </w:rPr>
        <w:fldChar w:fldCharType="begin" w:fldLock="1"/>
      </w:r>
      <w:r w:rsidR="00E874A4">
        <w:rPr>
          <w:rFonts w:ascii="Times New Roman" w:hAnsi="Times New Roman" w:cs="Times New Roman"/>
          <w:sz w:val="24"/>
          <w:szCs w:val="24"/>
          <w:lang w:val="en-ID"/>
        </w:rPr>
        <w:instrText>ADDIN CSL_CITATION {"citationItems":[{"id":"ITEM-1","itemData":{"DOI":"10.21043/qijis.v9i2.7795","ISSN":"24769304","abstract":"The increase of Islamic populism is in line with a massive spread of popular culture bringing Islamic symbols. This condition has brought a proliferation of Islamic activism which promotes its discourse with popular styles familiar to millennials. YukNgaji community, which is popularly emerging on social media, is one of the Islamic movements arising from this condition. This article examines how popular culture works in creating a discourse of Islamic activism in the YukNgaji online movement. This fieldwork uses a socio-political approach to analyze the proliferation of the YukNgaji movement in various areas driven by millennials. Some of the informants’ field data and experiences were obtained through an ethnographic method. Besides, some data on Islamic activism discourse amplified by YukNgaji was obtained from screenshots in YukNgaji. id movement’s Instagram accounts. This article finds the relationship between Islamic discourse by YukNgaji activists and popular cultural narratives. According to the finding of this article, it reveals that the phenomenon of millennial Islamic movements can be read within the scope of Islamic populism and activism in Indonesia by two important things. First, the YukNgaji movement campaigns for Islamic discourse through popular culture. Second, the YukNgaji movement tends to create a group with a common Islamic identity, which is voiced through the concept of hijra.","author":[{"dropping-particle":"","family":"Abzar Duraesa","given":"M.","non-dropping-particle":"","parse-names":false,"suffix":""},{"dropping-particle":"","family":"Ahyar","given":"Muzayyin","non-dropping-particle":"","parse-names":false,"suffix":""}],"container-title":"Qudus International Journal of Islamic Studies","id":"ITEM-1","issue":"2","issued":{"date-parts":[["2021"]]},"page":"503-534","title":"Islamic Popul[Ar]Ism: Religious Popularism and Activism in the Yukngaji Community","type":"article-journal","volume":"9"},"uris":["http://www.mendeley.com/documents/?uuid=42df7a60-845e-414f-ae18-eceaeed535f3"]}],"mendeley":{"formattedCitation":"(Abzar Duraesa &amp; Ahyar, 2021)","plainTextFormattedCitation":"(Abzar Duraesa &amp; Ahyar, 2021)","previouslyFormattedCitation":"(Abzar Duraesa &amp; Ahyar, 2021)"},"properties":{"noteIndex":0},"schema":"https://github.com/citation-style-language/schema/raw/master/csl-citation.json"}</w:instrText>
      </w:r>
      <w:r w:rsidR="00EB48D7">
        <w:rPr>
          <w:rFonts w:ascii="Times New Roman" w:hAnsi="Times New Roman" w:cs="Times New Roman"/>
          <w:sz w:val="24"/>
          <w:szCs w:val="24"/>
          <w:lang w:val="en-ID"/>
        </w:rPr>
        <w:fldChar w:fldCharType="separate"/>
      </w:r>
      <w:r w:rsidR="00EB48D7" w:rsidRPr="00EB48D7">
        <w:rPr>
          <w:rFonts w:ascii="Times New Roman" w:hAnsi="Times New Roman" w:cs="Times New Roman"/>
          <w:noProof/>
          <w:sz w:val="24"/>
          <w:szCs w:val="24"/>
          <w:lang w:val="en-ID"/>
        </w:rPr>
        <w:t>(Abzar Duraesa &amp; Ahyar, 2021)</w:t>
      </w:r>
      <w:r w:rsidR="00EB48D7">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Before the #LessWaste campaign emerged in early 2020, the community had already built a foundation of collective awareness through studies on monotheism, brotherhood, and other Islamic issues. The structured study patterns and strong bonds among community members are factors that enable ecological ideas within YukNgaji to develop consistently and sustainably.</w:t>
      </w:r>
    </w:p>
    <w:p w14:paraId="1F9DB7F5" w14:textId="4D16B9B5" w:rsidR="007779A2" w:rsidRDefault="004D4CA5" w:rsidP="007779A2">
      <w:pPr>
        <w:spacing w:after="120"/>
        <w:ind w:firstLine="567"/>
        <w:jc w:val="both"/>
        <w:rPr>
          <w:rFonts w:ascii="Times New Roman" w:hAnsi="Times New Roman" w:cs="Times New Roman"/>
          <w:sz w:val="24"/>
          <w:szCs w:val="24"/>
          <w:lang w:val="en-ID"/>
        </w:rPr>
      </w:pPr>
      <w:r w:rsidRPr="00FC4DFF">
        <w:rPr>
          <w:rFonts w:ascii="Times New Roman" w:hAnsi="Times New Roman" w:cs="Times New Roman"/>
          <w:sz w:val="24"/>
          <w:szCs w:val="24"/>
          <w:lang w:val="en-ID"/>
        </w:rPr>
        <w:t>A literature</w:t>
      </w:r>
      <w:r w:rsidRPr="007779A2">
        <w:rPr>
          <w:rFonts w:ascii="Times New Roman" w:hAnsi="Times New Roman" w:cs="Times New Roman"/>
          <w:sz w:val="24"/>
          <w:szCs w:val="24"/>
          <w:lang w:val="en-ID"/>
        </w:rPr>
        <w:t xml:space="preserve"> review reveals that studies on the Living Qur'an-Hadith approach in eco-theological issues have been widely conducted by previous scholars. To mention a few recent ones: Faisol Nasar and Moh. Barmawi conducted a study on living Qur'an, highlighting ecological verses that contribute to raising awareness in flood-prone areas</w:t>
      </w:r>
      <w:r w:rsidR="00E874A4">
        <w:rPr>
          <w:rFonts w:ascii="Times New Roman" w:hAnsi="Times New Roman" w:cs="Times New Roman"/>
          <w:sz w:val="24"/>
          <w:szCs w:val="24"/>
          <w:lang w:val="en-ID"/>
        </w:rPr>
        <w:t xml:space="preserve"> </w:t>
      </w:r>
      <w:r w:rsidR="00E874A4">
        <w:rPr>
          <w:rFonts w:ascii="Times New Roman" w:hAnsi="Times New Roman" w:cs="Times New Roman"/>
          <w:sz w:val="24"/>
          <w:szCs w:val="24"/>
          <w:lang w:val="en-ID"/>
        </w:rPr>
        <w:fldChar w:fldCharType="begin" w:fldLock="1"/>
      </w:r>
      <w:r w:rsidR="00E874A4">
        <w:rPr>
          <w:rFonts w:ascii="Times New Roman" w:hAnsi="Times New Roman" w:cs="Times New Roman"/>
          <w:sz w:val="24"/>
          <w:szCs w:val="24"/>
          <w:lang w:val="en-ID"/>
        </w:rPr>
        <w:instrText>ADDIN CSL_CITATION {"citationItems":[{"id":"ITEM-1","itemData":{"abstract":"… kesadaran menjaga lingkungan, b) pemahaman tokoh agama atas ayatayat spiritual … lingkungan, b) Pemahaman tokoh agama tentang al-Qur’an terkait penjagaan terhadap lingkungan …","author":[{"dropping-particle":"bin","family":"Madi","given":"Faisol Nasar","non-dropping-particle":"","parse-names":false,"suffix":""},{"dropping-particle":"","family":"Barmawi","given":"Moh.","non-dropping-particle":"","parse-names":false,"suffix":""}],"container-title":"Islamika Inside …","id":"ITEM-1","issue":"2","issued":{"date-parts":[["2022"]]},"page":"233-251","title":"Ayat-Ayat Spiritual Ekologi (Eco-Spirituality) dan Kontribusianya Pada Lingkungan Rawan Bencana Banjir (Studi Living Al-Qur'an)","type":"article-journal","volume":"8"},"uris":["http://www.mendeley.com/documents/?uuid=dab342cc-2155-4254-9886-6d22ca44ab6e"]}],"mendeley":{"formattedCitation":"(Madi &amp; Barmawi, 2022)","plainTextFormattedCitation":"(Madi &amp; Barmawi, 2022)","previouslyFormattedCitation":"(Madi &amp; Barmawi, 2022)"},"properties":{"noteIndex":0},"schema":"https://github.com/citation-style-language/schema/raw/master/csl-citation.json"}</w:instrText>
      </w:r>
      <w:r w:rsidR="00E874A4">
        <w:rPr>
          <w:rFonts w:ascii="Times New Roman" w:hAnsi="Times New Roman" w:cs="Times New Roman"/>
          <w:sz w:val="24"/>
          <w:szCs w:val="24"/>
          <w:lang w:val="en-ID"/>
        </w:rPr>
        <w:fldChar w:fldCharType="separate"/>
      </w:r>
      <w:r w:rsidR="00E874A4" w:rsidRPr="00E874A4">
        <w:rPr>
          <w:rFonts w:ascii="Times New Roman" w:hAnsi="Times New Roman" w:cs="Times New Roman"/>
          <w:noProof/>
          <w:sz w:val="24"/>
          <w:szCs w:val="24"/>
          <w:lang w:val="en-ID"/>
        </w:rPr>
        <w:t>(Madi &amp; Barmawi, 2022)</w:t>
      </w:r>
      <w:r w:rsidR="00E874A4">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Nur Tata, Fatimah, and Umi Aflaha examined the implementation of the eco-theological paradigm at An-Nur Islamic Boarding School in Yogyakarta, with findings including the establishment of an independent waste management unit (UPT ASRI) and a ban on bringing plastic waste into the boarding school environment</w:t>
      </w:r>
      <w:r w:rsidR="00E874A4">
        <w:rPr>
          <w:rFonts w:ascii="Times New Roman" w:hAnsi="Times New Roman" w:cs="Times New Roman"/>
          <w:sz w:val="24"/>
          <w:szCs w:val="24"/>
          <w:lang w:val="en-ID"/>
        </w:rPr>
        <w:t xml:space="preserve"> </w:t>
      </w:r>
      <w:r w:rsidR="00E874A4">
        <w:rPr>
          <w:rFonts w:ascii="Times New Roman" w:hAnsi="Times New Roman" w:cs="Times New Roman"/>
          <w:sz w:val="24"/>
          <w:szCs w:val="24"/>
          <w:lang w:val="en-ID"/>
        </w:rPr>
        <w:fldChar w:fldCharType="begin" w:fldLock="1"/>
      </w:r>
      <w:r w:rsidR="00F61737">
        <w:rPr>
          <w:rFonts w:ascii="Times New Roman" w:hAnsi="Times New Roman" w:cs="Times New Roman"/>
          <w:sz w:val="24"/>
          <w:szCs w:val="24"/>
          <w:lang w:val="en-ID"/>
        </w:rPr>
        <w:instrText>ADDIN CSL_CITATION {"citationItems":[{"id":"ITEM-1","itemData":{"author":[{"dropping-particle":"","family":"Tata","given":"Nur","non-dropping-particle":"","parse-names":false,"suffix":""},{"dropping-particle":"","family":"Fatmawati","given":"Fatimah","non-dropping-particle":"","parse-names":false,"suffix":""},{"dropping-particle":"","family":"Aflaha","given":"Umi","non-dropping-particle":"","parse-names":false,"suffix":""}],"container-title":"al-i'jaz: Jurnal Studi Al-Qur'an, Falsafah dan Keislaman","id":"ITEM-1","issue":"2","issued":{"date-parts":[["2024"]]},"page":"111-134","title":"Respon Agama terhadap Krisis Lingkungan: Studi Implementasi Paradigma Eco-Theology di Pondok Pesantren An-Nur Yogyakarta","type":"article-journal","volume":"6"},"uris":["http://www.mendeley.com/documents/?uuid=cfaee088-3311-49e8-bb7d-eb47122e04ba"]}],"mendeley":{"formattedCitation":"(Tata et al., 2024)","plainTextFormattedCitation":"(Tata et al., 2024)","previouslyFormattedCitation":"(Tata et al., 2024)"},"properties":{"noteIndex":0},"schema":"https://github.com/citation-style-language/schema/raw/master/csl-citation.json"}</w:instrText>
      </w:r>
      <w:r w:rsidR="00E874A4">
        <w:rPr>
          <w:rFonts w:ascii="Times New Roman" w:hAnsi="Times New Roman" w:cs="Times New Roman"/>
          <w:sz w:val="24"/>
          <w:szCs w:val="24"/>
          <w:lang w:val="en-ID"/>
        </w:rPr>
        <w:fldChar w:fldCharType="separate"/>
      </w:r>
      <w:r w:rsidR="00E874A4" w:rsidRPr="00E874A4">
        <w:rPr>
          <w:rFonts w:ascii="Times New Roman" w:hAnsi="Times New Roman" w:cs="Times New Roman"/>
          <w:noProof/>
          <w:sz w:val="24"/>
          <w:szCs w:val="24"/>
          <w:lang w:val="en-ID"/>
        </w:rPr>
        <w:t>(Tata et al., 2024)</w:t>
      </w:r>
      <w:r w:rsidR="00E874A4">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Zainun Lutfiah conducted a similar study on a hadith narrated by Muslim, which was promoted by the Fadlun Minalloh Islamic Boarding School as part of environmental preservation efforts</w:t>
      </w:r>
      <w:r w:rsidR="00875E05">
        <w:rPr>
          <w:rFonts w:ascii="Times New Roman" w:hAnsi="Times New Roman" w:cs="Times New Roman"/>
          <w:sz w:val="24"/>
          <w:szCs w:val="24"/>
          <w:lang w:val="en-ID"/>
        </w:rPr>
        <w:t xml:space="preserve"> </w:t>
      </w:r>
      <w:r w:rsidR="00875E05">
        <w:rPr>
          <w:rFonts w:ascii="Times New Roman" w:hAnsi="Times New Roman" w:cs="Times New Roman"/>
          <w:sz w:val="24"/>
          <w:szCs w:val="24"/>
          <w:lang w:val="en-ID"/>
        </w:rPr>
        <w:fldChar w:fldCharType="begin" w:fldLock="1"/>
      </w:r>
      <w:r w:rsidR="00221389">
        <w:rPr>
          <w:rFonts w:ascii="Times New Roman" w:hAnsi="Times New Roman" w:cs="Times New Roman"/>
          <w:sz w:val="24"/>
          <w:szCs w:val="24"/>
          <w:lang w:val="en-ID"/>
        </w:rPr>
        <w:instrText>ADDIN CSL_CITATION {"citationItems":[{"id":"ITEM-1","itemData":{"author":[{"dropping-particle":"","family":"Lutfiah","given":"Zainun","non-dropping-particle":"","parse-names":false,"suffix":""}],"id":"ITEM-1","issued":{"date-parts":[["2022"]]},"publisher":"UIN Sunan Kalijaga Yogyakarta","title":"Budaya Peduli Lingkungan di Pondok (Studi Living Hadis di Pondok Pesantren Fadlun Minalloh, Wonokromo)","type":"thesis"},"uris":["http://www.mendeley.com/documents/?uuid=56a6cddc-6fb8-4089-8ac2-cb52d89384d4","http://www.mendeley.com/documents/?uuid=b9f0b2a5-cdbb-48c6-b780-9dff8b1a92dc"]}],"mendeley":{"formattedCitation":"(Lutfiah, 2022)","plainTextFormattedCitation":"(Lutfiah, 2022)","previouslyFormattedCitation":"(Lutfiah, 2022)"},"properties":{"noteIndex":0},"schema":"https://github.com/citation-style-language/schema/raw/master/csl-citation.json"}</w:instrText>
      </w:r>
      <w:r w:rsidR="00875E05">
        <w:rPr>
          <w:rFonts w:ascii="Times New Roman" w:hAnsi="Times New Roman" w:cs="Times New Roman"/>
          <w:sz w:val="24"/>
          <w:szCs w:val="24"/>
          <w:lang w:val="en-ID"/>
        </w:rPr>
        <w:fldChar w:fldCharType="separate"/>
      </w:r>
      <w:r w:rsidR="00875E05" w:rsidRPr="00875E05">
        <w:rPr>
          <w:rFonts w:ascii="Times New Roman" w:hAnsi="Times New Roman" w:cs="Times New Roman"/>
          <w:noProof/>
          <w:sz w:val="24"/>
          <w:szCs w:val="24"/>
          <w:lang w:val="en-ID"/>
        </w:rPr>
        <w:t>(Lutfiah, 2022)</w:t>
      </w:r>
      <w:r w:rsidR="00875E05">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These studies generally focus on how Islamic values in the Qur'an and hadith are practiced in environmental movements, both individually and collectively, and how Islamic teachings encourage ecological awareness within various Muslim communities.</w:t>
      </w:r>
    </w:p>
    <w:p w14:paraId="00A7039B" w14:textId="78982C95" w:rsidR="00E70CBA" w:rsidRDefault="00E70CBA" w:rsidP="007779A2">
      <w:pPr>
        <w:spacing w:after="120"/>
        <w:ind w:firstLine="567"/>
        <w:jc w:val="both"/>
        <w:rPr>
          <w:rFonts w:ascii="Times New Roman" w:hAnsi="Times New Roman" w:cs="Times New Roman"/>
          <w:sz w:val="24"/>
          <w:szCs w:val="24"/>
        </w:rPr>
      </w:pPr>
      <w:r w:rsidRPr="00E70CBA">
        <w:rPr>
          <w:rFonts w:ascii="Times New Roman" w:hAnsi="Times New Roman" w:cs="Times New Roman"/>
          <w:sz w:val="24"/>
          <w:szCs w:val="24"/>
        </w:rPr>
        <w:t>A case study from Millburn, New Jersey, demonstrates that community-based programs can address environmental education challenges during the COVID-19 pandemic by leveraging informal networks and local organizations to enhance environmental awareness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21389">
        <w:rPr>
          <w:rFonts w:ascii="Times New Roman" w:hAnsi="Times New Roman" w:cs="Times New Roman"/>
          <w:sz w:val="24"/>
          <w:szCs w:val="24"/>
        </w:rPr>
        <w:instrText>ADDIN CSL_CITATION {"citationItems":[{"id":"ITEM-1","itemData":{"DOI":"10.1007/s11125-020-09467-0","ISBN":"1112502009","ISSN":"15739090","PMID":"32836417","abstract":"Contextual and social realities must be built into any educational program for activism to take place. This case study examines an education and environment program which has adapted to the social distancing measures of COVID-19, resulting in an even more community-reliant and community-driven program than the program designers initially intended. The Eco Ambassador Program uses environmental activism within a space that supports mental health during COVID-19 social isolation. While community engagement and action have been elements of the program, the program has transformed to utilize new levels of social capital in the program’s network, to overcome the obstacles presented in regular programming. Many aspects of the critical pedagogy of space are utilized to conceptualize this educational program during the pandemic. The limitations of in-person interactions in defined learning spaces led to more technology-reliant programming, hence broadening the space of place-based learning, while enabling personal spaces and personal environments to become new learning spaces.","author":[{"dropping-particle":"","family":"Iyengar","given":"Radhika","non-dropping-particle":"","parse-names":false,"suffix":""},{"dropping-particle":"","family":"Shin","given":"Haein","non-dropping-particle":"","parse-names":false,"suffix":""}],"container-title":"Prospects","id":"ITEM-1","issue":"4","issued":{"date-parts":[["2022"]]},"page":"643-653","publisher":"Springer Netherlands","title":"Community-Based Programs to Tackle Environmental Education and COVID-19: A Case Study from Millburn, New Jersey","type":"article-journal","volume":"51"},"uris":["http://www.mendeley.com/documents/?uuid=000db1aa-3999-49b6-bd13-f521c83f683c","http://www.mendeley.com/documents/?uuid=5b1d1110-f4f5-4639-926d-440492ff4742"]}],"mendeley":{"formattedCitation":"(Iyengar &amp; Shin, 2022)","plainTextFormattedCitation":"(Iyengar &amp; Shin, 2022)","previouslyFormattedCitation":"(Iyengar &amp; Shin, 2022)"},"properties":{"noteIndex":0},"schema":"https://github.com/citation-style-language/schema/raw/master/csl-citation.json"}</w:instrText>
      </w:r>
      <w:r>
        <w:rPr>
          <w:rFonts w:ascii="Times New Roman" w:hAnsi="Times New Roman" w:cs="Times New Roman"/>
          <w:sz w:val="24"/>
          <w:szCs w:val="24"/>
        </w:rPr>
        <w:fldChar w:fldCharType="separate"/>
      </w:r>
      <w:r w:rsidRPr="00E70CBA">
        <w:rPr>
          <w:rFonts w:ascii="Times New Roman" w:hAnsi="Times New Roman" w:cs="Times New Roman"/>
          <w:noProof/>
          <w:sz w:val="24"/>
          <w:szCs w:val="24"/>
        </w:rPr>
        <w:t>(Iyengar &amp; Shin, 2022)</w:t>
      </w:r>
      <w:r>
        <w:rPr>
          <w:rFonts w:ascii="Times New Roman" w:hAnsi="Times New Roman" w:cs="Times New Roman"/>
          <w:sz w:val="24"/>
          <w:szCs w:val="24"/>
        </w:rPr>
        <w:fldChar w:fldCharType="end"/>
      </w:r>
      <w:r w:rsidRPr="00E70CBA">
        <w:rPr>
          <w:rFonts w:ascii="Times New Roman" w:hAnsi="Times New Roman" w:cs="Times New Roman"/>
          <w:sz w:val="24"/>
          <w:szCs w:val="24"/>
        </w:rPr>
        <w:t>.</w:t>
      </w:r>
      <w:r>
        <w:rPr>
          <w:rFonts w:ascii="Times New Roman" w:hAnsi="Times New Roman" w:cs="Times New Roman"/>
          <w:sz w:val="24"/>
          <w:szCs w:val="24"/>
        </w:rPr>
        <w:t xml:space="preserve"> </w:t>
      </w:r>
      <w:r w:rsidRPr="00E70CBA">
        <w:rPr>
          <w:rFonts w:ascii="Times New Roman" w:hAnsi="Times New Roman" w:cs="Times New Roman"/>
          <w:sz w:val="24"/>
          <w:szCs w:val="24"/>
        </w:rPr>
        <w:t>By actively engaging communities in environmental education and initiatives, this approach not only enhances ecological literacy but also strengthens social cohesion and collective responsibility toward environmental sustainability.</w:t>
      </w:r>
    </w:p>
    <w:p w14:paraId="2241FD5E" w14:textId="736FF8EB" w:rsidR="00E70CBA" w:rsidRPr="007779A2" w:rsidRDefault="00E70CBA" w:rsidP="007779A2">
      <w:pPr>
        <w:spacing w:after="120"/>
        <w:ind w:firstLine="567"/>
        <w:jc w:val="both"/>
        <w:rPr>
          <w:rFonts w:ascii="Times New Roman" w:hAnsi="Times New Roman" w:cs="Times New Roman"/>
          <w:sz w:val="24"/>
          <w:szCs w:val="24"/>
          <w:lang w:val="en-ID"/>
        </w:rPr>
      </w:pPr>
      <w:r w:rsidRPr="00E70CBA">
        <w:rPr>
          <w:rFonts w:ascii="Times New Roman" w:hAnsi="Times New Roman" w:cs="Times New Roman"/>
          <w:sz w:val="24"/>
          <w:szCs w:val="24"/>
        </w:rPr>
        <w:lastRenderedPageBreak/>
        <w:t>Moreover, community-based initiatives involving university students and local residents in community-based learning have demonstrated effectiveness in enhancing environmental awareness and fostering behavioral changes that support healthy lifestyles and harmony with nature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21389">
        <w:rPr>
          <w:rFonts w:ascii="Times New Roman" w:hAnsi="Times New Roman" w:cs="Times New Roman"/>
          <w:sz w:val="24"/>
          <w:szCs w:val="24"/>
        </w:rPr>
        <w:instrText>ADDIN CSL_CITATION {"citationItems":[{"id":"ITEM-1","itemData":{"DOI":"10.3390/ijerph19063528","ISSN":"16604601","PMID":"35329212","abstract":"This study uses qualitative research methods of text mining to elucidate the potential and prospects for community-based learning opportunities for raising environmental awareness and bringing about healthy behaviour change among university students and local residents. In particular, we focus on the importance of community-based learning in raising environmental awareness and inspiring action to support healthy living and harmony with nature. The three groups were triangulated using semi-structured questionnaires to model the ways in which education for sustainable development (ESD) can contribute to the promotion of environmental education in local communities. In order to collect in-depth data, the authors themselves were present at the study sites and collected textual data based on semi-structured questionnaires in a participatory observation framework, where they had a common experience to understand the observations. Analysis was carried out using NVivo12. The two community learning initiatives studied were in Okayama and Tokyo, which are leading ESD policy areas. The two case studies are both university student-led projects that aim to raise environmental awareness in local communities through environmentally conscious behaviour change and the creation of a foundation for healthy living. This study focuses on “youth” and “community” among the five priority areas proposed in the 2015 ESD report and discusses the potential and prospects for community learning initiatives and the triggering of the nudge effect on environmentally conscious behaviour change and health behaviours. The results of the textual analysis with triangulation show that, while policymakers and teachers and leaders driving the initiative acknowledge the importance of ESD in a comprehensive way, their attention is more focused on the design of specific projects and curricula. In contrast, university students engaged in ESD activities rated the social education facilities (local community centres, community learning centres) as “lively” and “motivating”. It was found that there are high expectations for “public living rooms”, which are important as a base for learning to promote healthy and sustainable communities and environmentally conscious behaviour change.","author":[{"dropping-particle":"","family":"Oe","given":"Hiroko","non-dropping-particle":"","parse-names":false,"suffix":""},{"dropping-particle":"","family":"Yamaoka","given":"Yasuyuki","non-dropping-particle":"","parse-names":false,"suffix":""},{"dropping-particle":"","family":"Ochiai","given":"Hiroko","non-dropping-particle":"","parse-names":false,"suffix":""}],"container-title":"International Journal of Environmental Research and Public Health","id":"ITEM-1","issue":"6","issued":{"date-parts":[["2022"]]},"title":"A Qualitative Assessment of Community Learning Initiatives for Environmental Awareness and Behaviour Change: Applying UNESCO Education for Sustainable Development(ESD) Framework","type":"article-journal","volume":"19"},"uris":["http://www.mendeley.com/documents/?uuid=af2924fc-9a6f-422f-a8dc-ac5df05601ce","http://www.mendeley.com/documents/?uuid=2ea054fb-6e8c-4ea8-bd17-6e750bb5ed1c"]}],"mendeley":{"formattedCitation":"(Oe et al., 2022)","plainTextFormattedCitation":"(Oe et al., 2022)","previouslyFormattedCitation":"(Oe et al., 2022)"},"properties":{"noteIndex":0},"schema":"https://github.com/citation-style-language/schema/raw/master/csl-citation.json"}</w:instrText>
      </w:r>
      <w:r>
        <w:rPr>
          <w:rFonts w:ascii="Times New Roman" w:hAnsi="Times New Roman" w:cs="Times New Roman"/>
          <w:sz w:val="24"/>
          <w:szCs w:val="24"/>
        </w:rPr>
        <w:fldChar w:fldCharType="separate"/>
      </w:r>
      <w:r w:rsidRPr="00E70CBA">
        <w:rPr>
          <w:rFonts w:ascii="Times New Roman" w:hAnsi="Times New Roman" w:cs="Times New Roman"/>
          <w:noProof/>
          <w:sz w:val="24"/>
          <w:szCs w:val="24"/>
        </w:rPr>
        <w:t>(Oe et al., 2022)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70CBA">
        <w:rPr>
          <w:rFonts w:ascii="Times New Roman" w:hAnsi="Times New Roman" w:cs="Times New Roman"/>
          <w:sz w:val="24"/>
          <w:szCs w:val="24"/>
        </w:rPr>
        <w:t>Thus, community-based education, particularly when integrating religious values, plays a pivotal role in cultivating environmental consciousness and promoting eco-friendly behaviors within Muslim communities.</w:t>
      </w:r>
    </w:p>
    <w:p w14:paraId="58A1D17F" w14:textId="77777777" w:rsidR="007779A2" w:rsidRP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As for studies specifically discussing the YukNgaji community, most focus on their da'wah model and strategy</w:t>
      </w:r>
      <w:r w:rsidR="00F61737">
        <w:rPr>
          <w:rFonts w:ascii="Times New Roman" w:hAnsi="Times New Roman" w:cs="Times New Roman"/>
          <w:sz w:val="24"/>
          <w:szCs w:val="24"/>
          <w:lang w:val="en-ID"/>
        </w:rPr>
        <w:t xml:space="preserve"> </w:t>
      </w:r>
      <w:r w:rsidR="00F61737">
        <w:rPr>
          <w:rFonts w:ascii="Times New Roman" w:hAnsi="Times New Roman" w:cs="Times New Roman"/>
          <w:sz w:val="24"/>
          <w:szCs w:val="24"/>
          <w:lang w:val="en-ID"/>
        </w:rPr>
        <w:fldChar w:fldCharType="begin" w:fldLock="1"/>
      </w:r>
      <w:r w:rsidR="00F61737">
        <w:rPr>
          <w:rFonts w:ascii="Times New Roman" w:hAnsi="Times New Roman" w:cs="Times New Roman"/>
          <w:sz w:val="24"/>
          <w:szCs w:val="24"/>
          <w:lang w:val="en-ID"/>
        </w:rPr>
        <w:instrText>ADDIN CSL_CITATION {"citationItems":[{"id":"ITEM-1","itemData":{"author":[{"dropping-particle":"","family":"Suciati","given":"Intan","non-dropping-particle":"","parse-names":false,"suffix":""},{"dropping-particle":"","family":"Purwasito","given":"Andrik","non-dropping-particle":"","parse-names":false,"suffix":""},{"dropping-particle":"","family":"Rahmanto","given":"Andre","non-dropping-particle":"","parse-names":false,"suffix":""}],"container-title":"Proceedings of the 3rd International Conference on Indonesian Social &amp; Political Enquiries (ICISPE 2018)","id":"ITEM-1","issue":"Icispe","issued":{"date-parts":[["2019"]]},"page":"14-20","publisher":"ATLANTIS PRESS","title":"Involvement “Yuk Ngaji Solo” Community to Building Youth Morality","type":"paper-conference","volume":"366"},"uris":["http://www.mendeley.com/documents/?uuid=8dad8a22-31b6-4e70-885f-236ff7a5c4ac"]},{"id":"ITEM-2","itemData":{"DOI":"10.18592/alhadharah.v23i1.12614","author":[{"dropping-particle":"","family":"Mutiarani","given":"Afifi","non-dropping-particle":"","parse-names":false,"suffix":""},{"dropping-particle":"","family":"Mufidah","given":"Ghina","non-dropping-particle":"","parse-names":false,"suffix":""},{"dropping-particle":"","family":"Yusuf","given":"Maulana","non-dropping-particle":"","parse-names":false,"suffix":""}],"container-title":"Alhadharah: Jurnal Ilmu Dakwah","id":"ITEM-2","issue":"1","issued":{"date-parts":[["2024"]]},"page":"89-107","title":"Dakwah Strategy of YukNgaji Community Towards Hallyu Fans through Korean Nuanced Content","type":"article-journal","volume":"23"},"uris":["http://www.mendeley.com/documents/?uuid=9c06acc7-a924-4ae3-8536-6830d37e84fc"]},{"id":"ITEM-3","itemData":{"abstract":"The existence of technological developments, in the end, makes all information easily accessible. Likewise with the youth lifestyle, one of which is in the city of Surakarta, whether it refers to the proper use of technology according to the times, or vice versa, falling into a …","author":[{"dropping-particle":"","family":"Aula","given":"Latif Ghufron","non-dropping-particle":"","parse-names":false,"suffix":""},{"dropping-particle":"","family":"Abas","given":"Zainul","non-dropping-particle":"","parse-names":false,"suffix":""}],"container-title":"Academic Journal of Da’wa and Communication","id":"ITEM-3","issue":"2","issued":{"date-parts":[["2020"]]},"page":"463-478","title":"Da’wah Method by Preachers in the “Yuk Ngaji” Community Solo","type":"article-journal","volume":"1"},"uris":["http://www.mendeley.com/documents/?uuid=042a34ba-0ce5-4590-a554-a234f30308c4"]}],"mendeley":{"formattedCitation":"(Aula &amp; Abas, 2020; Mutiarani et al., 2024; Suciati et al., 2019)","plainTextFormattedCitation":"(Aula &amp; Abas, 2020; Mutiarani et al., 2024; Suciati et al., 2019)","previouslyFormattedCitation":"(Aula &amp; Abas, 2020; Mutiarani et al., 2024; Suciati et al., 2019)"},"properties":{"noteIndex":0},"schema":"https://github.com/citation-style-language/schema/raw/master/csl-citation.json"}</w:instrText>
      </w:r>
      <w:r w:rsidR="00F61737">
        <w:rPr>
          <w:rFonts w:ascii="Times New Roman" w:hAnsi="Times New Roman" w:cs="Times New Roman"/>
          <w:sz w:val="24"/>
          <w:szCs w:val="24"/>
          <w:lang w:val="en-ID"/>
        </w:rPr>
        <w:fldChar w:fldCharType="separate"/>
      </w:r>
      <w:r w:rsidR="00F61737" w:rsidRPr="00F61737">
        <w:rPr>
          <w:rFonts w:ascii="Times New Roman" w:hAnsi="Times New Roman" w:cs="Times New Roman"/>
          <w:noProof/>
          <w:sz w:val="24"/>
          <w:szCs w:val="24"/>
          <w:lang w:val="en-ID"/>
        </w:rPr>
        <w:t>(Aula &amp; Abas, 2020; Mutiarani et al., 2024; Suciati et al., 2019)</w:t>
      </w:r>
      <w:r w:rsidR="00F61737">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 Meanwhile, Duraesa and Ahyar propose a thesis that the community's typology is populist and identity-based. YukNgaji particularly appeals to young people who are newly acquainted with Islam (hijrah) and are searching for a stronger religious identity. Their da'wah model, which adapts to digital trends and popular culture, is a key factor in attracting and retaining their congregation</w:t>
      </w:r>
      <w:r w:rsidR="00F61737">
        <w:rPr>
          <w:rFonts w:ascii="Times New Roman" w:hAnsi="Times New Roman" w:cs="Times New Roman"/>
          <w:sz w:val="24"/>
          <w:szCs w:val="24"/>
          <w:lang w:val="en-ID"/>
        </w:rPr>
        <w:t xml:space="preserve"> </w:t>
      </w:r>
      <w:r w:rsidR="00F61737">
        <w:rPr>
          <w:rFonts w:ascii="Times New Roman" w:hAnsi="Times New Roman" w:cs="Times New Roman"/>
          <w:sz w:val="24"/>
          <w:szCs w:val="24"/>
          <w:lang w:val="en-ID"/>
        </w:rPr>
        <w:fldChar w:fldCharType="begin" w:fldLock="1"/>
      </w:r>
      <w:r w:rsidR="00AD142E">
        <w:rPr>
          <w:rFonts w:ascii="Times New Roman" w:hAnsi="Times New Roman" w:cs="Times New Roman"/>
          <w:sz w:val="24"/>
          <w:szCs w:val="24"/>
          <w:lang w:val="en-ID"/>
        </w:rPr>
        <w:instrText>ADDIN CSL_CITATION {"citationItems":[{"id":"ITEM-1","itemData":{"DOI":"10.21043/qijis.v9i2.7795","ISSN":"24769304","abstract":"The increase of Islamic populism is in line with a massive spread of popular culture bringing Islamic symbols. This condition has brought a proliferation of Islamic activism which promotes its discourse with popular styles familiar to millennials. YukNgaji community, which is popularly emerging on social media, is one of the Islamic movements arising from this condition. This article examines how popular culture works in creating a discourse of Islamic activism in the YukNgaji online movement. This fieldwork uses a socio-political approach to analyze the proliferation of the YukNgaji movement in various areas driven by millennials. Some of the informants’ field data and experiences were obtained through an ethnographic method. Besides, some data on Islamic activism discourse amplified by YukNgaji was obtained from screenshots in YukNgaji. id movement’s Instagram accounts. This article finds the relationship between Islamic discourse by YukNgaji activists and popular cultural narratives. According to the finding of this article, it reveals that the phenomenon of millennial Islamic movements can be read within the scope of Islamic populism and activism in Indonesia by two important things. First, the YukNgaji movement campaigns for Islamic discourse through popular culture. Second, the YukNgaji movement tends to create a group with a common Islamic identity, which is voiced through the concept of hijra.","author":[{"dropping-particle":"","family":"Abzar Duraesa","given":"M.","non-dropping-particle":"","parse-names":false,"suffix":""},{"dropping-particle":"","family":"Ahyar","given":"Muzayyin","non-dropping-particle":"","parse-names":false,"suffix":""}],"container-title":"Qudus International Journal of Islamic Studies","id":"ITEM-1","issue":"2","issued":{"date-parts":[["2021"]]},"page":"503-534","title":"Islamic Popul[Ar]Ism: Religious Popularism and Activism in the Yukngaji Community","type":"article-journal","volume":"9"},"uris":["http://www.mendeley.com/documents/?uuid=42df7a60-845e-414f-ae18-eceaeed535f3"]}],"mendeley":{"formattedCitation":"(Abzar Duraesa &amp; Ahyar, 2021)","plainTextFormattedCitation":"(Abzar Duraesa &amp; Ahyar, 2021)","previouslyFormattedCitation":"(Abzar Duraesa &amp; Ahyar, 2021)"},"properties":{"noteIndex":0},"schema":"https://github.com/citation-style-language/schema/raw/master/csl-citation.json"}</w:instrText>
      </w:r>
      <w:r w:rsidR="00F61737">
        <w:rPr>
          <w:rFonts w:ascii="Times New Roman" w:hAnsi="Times New Roman" w:cs="Times New Roman"/>
          <w:sz w:val="24"/>
          <w:szCs w:val="24"/>
          <w:lang w:val="en-ID"/>
        </w:rPr>
        <w:fldChar w:fldCharType="separate"/>
      </w:r>
      <w:r w:rsidR="00F61737" w:rsidRPr="00F61737">
        <w:rPr>
          <w:rFonts w:ascii="Times New Roman" w:hAnsi="Times New Roman" w:cs="Times New Roman"/>
          <w:noProof/>
          <w:sz w:val="24"/>
          <w:szCs w:val="24"/>
          <w:lang w:val="en-ID"/>
        </w:rPr>
        <w:t>(Abzar Duraesa &amp; Ahyar, 2021)</w:t>
      </w:r>
      <w:r w:rsidR="00F61737">
        <w:rPr>
          <w:rFonts w:ascii="Times New Roman" w:hAnsi="Times New Roman" w:cs="Times New Roman"/>
          <w:sz w:val="24"/>
          <w:szCs w:val="24"/>
          <w:lang w:val="en-ID"/>
        </w:rPr>
        <w:fldChar w:fldCharType="end"/>
      </w:r>
      <w:r w:rsidRPr="007779A2">
        <w:rPr>
          <w:rFonts w:ascii="Times New Roman" w:hAnsi="Times New Roman" w:cs="Times New Roman"/>
          <w:sz w:val="24"/>
          <w:szCs w:val="24"/>
          <w:lang w:val="en-ID"/>
        </w:rPr>
        <w:t>.</w:t>
      </w:r>
    </w:p>
    <w:p w14:paraId="52EECC04" w14:textId="5DC7E0BE" w:rsidR="004D4CA5" w:rsidRPr="007779A2" w:rsidRDefault="004D4CA5" w:rsidP="007779A2">
      <w:pPr>
        <w:spacing w:after="120"/>
        <w:ind w:firstLine="567"/>
        <w:jc w:val="both"/>
        <w:rPr>
          <w:rFonts w:ascii="Times New Roman" w:hAnsi="Times New Roman" w:cs="Times New Roman"/>
          <w:sz w:val="24"/>
          <w:szCs w:val="24"/>
          <w:lang w:val="en-ID"/>
        </w:rPr>
      </w:pPr>
      <w:r w:rsidRPr="007779A2">
        <w:rPr>
          <w:rFonts w:ascii="Times New Roman" w:hAnsi="Times New Roman" w:cs="Times New Roman"/>
          <w:sz w:val="24"/>
          <w:szCs w:val="24"/>
          <w:lang w:val="en-ID"/>
        </w:rPr>
        <w:t>B</w:t>
      </w:r>
      <w:r w:rsidR="007C317B">
        <w:rPr>
          <w:rFonts w:ascii="Times New Roman" w:hAnsi="Times New Roman" w:cs="Times New Roman"/>
          <w:sz w:val="24"/>
          <w:szCs w:val="24"/>
          <w:lang w:val="en-ID"/>
        </w:rPr>
        <w:t>ased on such literature review</w:t>
      </w:r>
      <w:r w:rsidRPr="007779A2">
        <w:rPr>
          <w:rFonts w:ascii="Times New Roman" w:hAnsi="Times New Roman" w:cs="Times New Roman"/>
          <w:sz w:val="24"/>
          <w:szCs w:val="24"/>
          <w:lang w:val="en-ID"/>
        </w:rPr>
        <w:t>, th</w:t>
      </w:r>
      <w:r w:rsidR="007C317B">
        <w:rPr>
          <w:rFonts w:ascii="Times New Roman" w:hAnsi="Times New Roman" w:cs="Times New Roman"/>
          <w:sz w:val="24"/>
          <w:szCs w:val="24"/>
          <w:lang w:val="en-ID"/>
        </w:rPr>
        <w:t>is</w:t>
      </w:r>
      <w:r w:rsidRPr="007779A2">
        <w:rPr>
          <w:rFonts w:ascii="Times New Roman" w:hAnsi="Times New Roman" w:cs="Times New Roman"/>
          <w:sz w:val="24"/>
          <w:szCs w:val="24"/>
          <w:lang w:val="en-ID"/>
        </w:rPr>
        <w:t xml:space="preserve"> research identifies a gap in previous studies, particularly concerning the eco-theological campaign promoted by YukNgaji. There has been limited research specifically exploring the verses and hadiths that serve as their references in the #LessWaste campaign, as well as how interpretations of these texts are translated into real practices</w:t>
      </w:r>
      <w:r w:rsidR="007C317B">
        <w:rPr>
          <w:rFonts w:ascii="Times New Roman" w:hAnsi="Times New Roman" w:cs="Times New Roman"/>
          <w:sz w:val="24"/>
          <w:szCs w:val="24"/>
          <w:lang w:val="en-ID"/>
        </w:rPr>
        <w:t xml:space="preserve"> through community-based education</w:t>
      </w:r>
      <w:r w:rsidRPr="007779A2">
        <w:rPr>
          <w:rFonts w:ascii="Times New Roman" w:hAnsi="Times New Roman" w:cs="Times New Roman"/>
          <w:sz w:val="24"/>
          <w:szCs w:val="24"/>
          <w:lang w:val="en-ID"/>
        </w:rPr>
        <w:t>. Therefore, this study seeks to explore how the YukNgaji community interprets and embodies Islamic teachings in fostering ecological awareness among its members.</w:t>
      </w:r>
    </w:p>
    <w:p w14:paraId="2E159391" w14:textId="77777777" w:rsidR="008B3EE8" w:rsidRDefault="006B03C6">
      <w:pPr>
        <w:spacing w:before="360" w:after="120"/>
        <w:jc w:val="both"/>
        <w:rPr>
          <w:rFonts w:ascii="Kozuka Gothic Pro M" w:eastAsia="Kozuka Gothic Pro M" w:hAnsi="Kozuka Gothic Pro M" w:cs="Kozuka Gothic Pro M"/>
          <w:color w:val="000000"/>
          <w:sz w:val="24"/>
          <w:szCs w:val="24"/>
        </w:rPr>
      </w:pPr>
      <w:r>
        <w:rPr>
          <w:rFonts w:ascii="Kozuka Gothic Pro B" w:eastAsia="Kozuka Gothic Pro B" w:hAnsi="Kozuka Gothic Pro B" w:cs="Kozuka Gothic Pro B"/>
          <w:b/>
          <w:color w:val="000000"/>
          <w:sz w:val="24"/>
          <w:szCs w:val="24"/>
        </w:rPr>
        <w:t>Method</w:t>
      </w:r>
    </w:p>
    <w:p w14:paraId="0CCADA8D" w14:textId="55662B00" w:rsidR="00FA17C9" w:rsidRDefault="00FA17C9" w:rsidP="00A37DF8">
      <w:pPr>
        <w:spacing w:after="12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This study employs a qualitative approach utilizing </w:t>
      </w:r>
      <w:r w:rsidR="007C317B">
        <w:rPr>
          <w:rFonts w:ascii="Times New Roman" w:hAnsi="Times New Roman" w:cs="Times New Roman"/>
          <w:sz w:val="24"/>
          <w:szCs w:val="24"/>
          <w:lang w:val="en-ID"/>
        </w:rPr>
        <w:t>community-based education theory and its internalisation theory of Dewey</w:t>
      </w:r>
      <w:r w:rsidR="00221389">
        <w:rPr>
          <w:rFonts w:ascii="Times New Roman" w:hAnsi="Times New Roman" w:cs="Times New Roman"/>
          <w:sz w:val="24"/>
          <w:szCs w:val="24"/>
          <w:lang w:val="en-ID"/>
        </w:rPr>
        <w:t xml:space="preserve"> </w:t>
      </w:r>
      <w:r w:rsidR="00221389" w:rsidRPr="00221389">
        <w:rPr>
          <w:rStyle w:val="FootnoteReference"/>
          <w:rFonts w:asciiTheme="majorBidi" w:hAnsiTheme="majorBidi" w:cstheme="majorBidi"/>
          <w:szCs w:val="24"/>
          <w:lang w:val="en-ID"/>
        </w:rPr>
        <w:fldChar w:fldCharType="begin" w:fldLock="1"/>
      </w:r>
      <w:r w:rsidR="00221389" w:rsidRPr="00221389">
        <w:rPr>
          <w:rFonts w:asciiTheme="majorBidi" w:hAnsiTheme="majorBidi" w:cstheme="majorBidi"/>
          <w:szCs w:val="24"/>
          <w:lang w:val="en-ID"/>
        </w:rPr>
        <w:instrText>ADDIN CSL_CITATION {"citationItems":[{"id":"ITEM-1","itemData":{"DOI":"2366-7672","author":[{"dropping-particle":"","family":"Harfitt","given":"Gary","non-dropping-particle":"","parse-names":false,"suffix":""},{"dropping-particle":"","family":"Chow","given":"Jessie Mei Ling","non-dropping-particle":"","parse-names":false,"suffix":""}],"id":"ITEM-1","issued":{"date-parts":[["2020"]]},"publisher":"Springer","title":"Employing Community-Based Experiential Learning in Teacher Education","type":"book"},"uris":["http://www.mendeley.com/documents/?uuid=2fc0185e-e674-41a9-9264-307dffc80758"]}],"mendeley":{"formattedCitation":"(Harfitt &amp; Chow, 2020)","plainTextFormattedCitation":"(Harfitt &amp; Chow, 2020)"},"properties":{"noteIndex":0},"schema":"https://github.com/citation-style-language/schema/raw/master/csl-citation.json"}</w:instrText>
      </w:r>
      <w:r w:rsidR="00221389" w:rsidRPr="00221389">
        <w:rPr>
          <w:rStyle w:val="FootnoteReference"/>
          <w:rFonts w:asciiTheme="majorBidi" w:hAnsiTheme="majorBidi" w:cstheme="majorBidi"/>
          <w:szCs w:val="24"/>
          <w:lang w:val="en-ID"/>
        </w:rPr>
        <w:fldChar w:fldCharType="separate"/>
      </w:r>
      <w:r w:rsidR="00221389" w:rsidRPr="00221389">
        <w:rPr>
          <w:rFonts w:asciiTheme="majorBidi" w:hAnsiTheme="majorBidi" w:cstheme="majorBidi"/>
          <w:noProof/>
          <w:szCs w:val="24"/>
          <w:lang w:val="en-ID"/>
        </w:rPr>
        <w:t>(Harfitt &amp; Chow, 2020)</w:t>
      </w:r>
      <w:r w:rsidR="00221389" w:rsidRPr="00221389">
        <w:rPr>
          <w:rStyle w:val="FootnoteReference"/>
          <w:rFonts w:asciiTheme="majorBidi" w:hAnsiTheme="majorBidi" w:cstheme="majorBidi"/>
          <w:szCs w:val="24"/>
          <w:lang w:val="en-ID"/>
        </w:rPr>
        <w:fldChar w:fldCharType="end"/>
      </w:r>
      <w:r w:rsidR="00221389">
        <w:rPr>
          <w:rFonts w:ascii="Times New Roman" w:hAnsi="Times New Roman" w:cs="Times New Roman"/>
          <w:sz w:val="24"/>
          <w:szCs w:val="24"/>
          <w:lang w:val="en-ID"/>
        </w:rPr>
        <w:t>,</w:t>
      </w:r>
      <w:r w:rsidR="007C317B">
        <w:rPr>
          <w:rFonts w:ascii="Times New Roman" w:hAnsi="Times New Roman" w:cs="Times New Roman"/>
          <w:sz w:val="24"/>
          <w:szCs w:val="24"/>
          <w:lang w:val="en-ID"/>
        </w:rPr>
        <w:t xml:space="preserve"> Tagore and Lickona with the combination of virtual ethnography</w:t>
      </w:r>
      <w:r>
        <w:rPr>
          <w:rFonts w:ascii="Times New Roman" w:hAnsi="Times New Roman" w:cs="Times New Roman"/>
          <w:sz w:val="24"/>
          <w:szCs w:val="24"/>
          <w:lang w:val="en-ID"/>
        </w:rPr>
        <w:t xml:space="preserve"> to analyze the #Less Waste campaign within the YukNgaji community. </w:t>
      </w:r>
      <w:r w:rsidR="007C317B">
        <w:rPr>
          <w:rFonts w:ascii="Times New Roman" w:hAnsi="Times New Roman" w:cs="Times New Roman"/>
          <w:sz w:val="24"/>
          <w:szCs w:val="24"/>
          <w:lang w:val="en-ID"/>
        </w:rPr>
        <w:t>While community-based education looks critically at social participation and involvement, v</w:t>
      </w:r>
      <w:r>
        <w:rPr>
          <w:rFonts w:ascii="Times New Roman" w:hAnsi="Times New Roman" w:cs="Times New Roman"/>
          <w:sz w:val="24"/>
          <w:szCs w:val="24"/>
          <w:lang w:val="en-ID"/>
        </w:rPr>
        <w:t>irtual ethnography</w:t>
      </w:r>
      <w:r w:rsidR="00EA7189">
        <w:rPr>
          <w:rFonts w:ascii="Times New Roman" w:hAnsi="Times New Roman" w:cs="Times New Roman"/>
          <w:sz w:val="24"/>
          <w:szCs w:val="24"/>
          <w:lang w:val="en-ID"/>
        </w:rPr>
        <w:t xml:space="preserve"> </w:t>
      </w:r>
      <w:r>
        <w:rPr>
          <w:rFonts w:ascii="Times New Roman" w:hAnsi="Times New Roman" w:cs="Times New Roman"/>
          <w:sz w:val="24"/>
          <w:szCs w:val="24"/>
          <w:lang w:val="en-ID"/>
        </w:rPr>
        <w:t>examine</w:t>
      </w:r>
      <w:r w:rsidR="00EA7189">
        <w:rPr>
          <w:rFonts w:ascii="Times New Roman" w:hAnsi="Times New Roman" w:cs="Times New Roman"/>
          <w:sz w:val="24"/>
          <w:szCs w:val="24"/>
          <w:lang w:val="en-ID"/>
        </w:rPr>
        <w:t>s</w:t>
      </w:r>
      <w:r>
        <w:rPr>
          <w:rFonts w:ascii="Times New Roman" w:hAnsi="Times New Roman" w:cs="Times New Roman"/>
          <w:sz w:val="24"/>
          <w:szCs w:val="24"/>
          <w:lang w:val="en-ID"/>
        </w:rPr>
        <w:t xml:space="preserve"> social phenomena in digital environments, enable an in-depth analysis of interaction </w:t>
      </w:r>
      <w:r w:rsidR="00774E58">
        <w:rPr>
          <w:rFonts w:ascii="Times New Roman" w:hAnsi="Times New Roman" w:cs="Times New Roman"/>
          <w:sz w:val="24"/>
          <w:szCs w:val="24"/>
          <w:lang w:val="en-ID"/>
        </w:rPr>
        <w:t>pattern, identity construction, and participatory dynamics within online communities. Th</w:t>
      </w:r>
      <w:r w:rsidR="00EA7189">
        <w:rPr>
          <w:rFonts w:ascii="Times New Roman" w:hAnsi="Times New Roman" w:cs="Times New Roman"/>
          <w:sz w:val="24"/>
          <w:szCs w:val="24"/>
          <w:lang w:val="en-ID"/>
        </w:rPr>
        <w:t>e</w:t>
      </w:r>
      <w:r w:rsidR="00774E58">
        <w:rPr>
          <w:rFonts w:ascii="Times New Roman" w:hAnsi="Times New Roman" w:cs="Times New Roman"/>
          <w:sz w:val="24"/>
          <w:szCs w:val="24"/>
          <w:lang w:val="en-ID"/>
        </w:rPr>
        <w:t>s</w:t>
      </w:r>
      <w:r w:rsidR="00EA7189">
        <w:rPr>
          <w:rFonts w:ascii="Times New Roman" w:hAnsi="Times New Roman" w:cs="Times New Roman"/>
          <w:sz w:val="24"/>
          <w:szCs w:val="24"/>
          <w:lang w:val="en-ID"/>
        </w:rPr>
        <w:t>e</w:t>
      </w:r>
      <w:r w:rsidR="00774E58">
        <w:rPr>
          <w:rFonts w:ascii="Times New Roman" w:hAnsi="Times New Roman" w:cs="Times New Roman"/>
          <w:sz w:val="24"/>
          <w:szCs w:val="24"/>
          <w:lang w:val="en-ID"/>
        </w:rPr>
        <w:t xml:space="preserve"> method</w:t>
      </w:r>
      <w:r w:rsidR="00EA7189">
        <w:rPr>
          <w:rFonts w:ascii="Times New Roman" w:hAnsi="Times New Roman" w:cs="Times New Roman"/>
          <w:sz w:val="24"/>
          <w:szCs w:val="24"/>
          <w:lang w:val="en-ID"/>
        </w:rPr>
        <w:t>s</w:t>
      </w:r>
      <w:r w:rsidR="00774E58">
        <w:rPr>
          <w:rFonts w:ascii="Times New Roman" w:hAnsi="Times New Roman" w:cs="Times New Roman"/>
          <w:sz w:val="24"/>
          <w:szCs w:val="24"/>
          <w:lang w:val="en-ID"/>
        </w:rPr>
        <w:t xml:space="preserve"> w</w:t>
      </w:r>
      <w:r w:rsidR="00EA7189">
        <w:rPr>
          <w:rFonts w:ascii="Times New Roman" w:hAnsi="Times New Roman" w:cs="Times New Roman"/>
          <w:sz w:val="24"/>
          <w:szCs w:val="24"/>
          <w:lang w:val="en-ID"/>
        </w:rPr>
        <w:t>ere</w:t>
      </w:r>
      <w:r w:rsidR="00774E58">
        <w:rPr>
          <w:rFonts w:ascii="Times New Roman" w:hAnsi="Times New Roman" w:cs="Times New Roman"/>
          <w:sz w:val="24"/>
          <w:szCs w:val="24"/>
          <w:lang w:val="en-ID"/>
        </w:rPr>
        <w:t xml:space="preserve"> selected due to YukNgaji’s integration of digital activism with real-world actions to disseminate Islamic eco-theological messages, transcending mere online communication and mobilization. Through th</w:t>
      </w:r>
      <w:r w:rsidR="00EA7189">
        <w:rPr>
          <w:rFonts w:ascii="Times New Roman" w:hAnsi="Times New Roman" w:cs="Times New Roman"/>
          <w:sz w:val="24"/>
          <w:szCs w:val="24"/>
          <w:lang w:val="en-ID"/>
        </w:rPr>
        <w:t>e</w:t>
      </w:r>
      <w:r w:rsidR="00774E58">
        <w:rPr>
          <w:rFonts w:ascii="Times New Roman" w:hAnsi="Times New Roman" w:cs="Times New Roman"/>
          <w:sz w:val="24"/>
          <w:szCs w:val="24"/>
          <w:lang w:val="en-ID"/>
        </w:rPr>
        <w:t>s</w:t>
      </w:r>
      <w:r w:rsidR="00EA7189">
        <w:rPr>
          <w:rFonts w:ascii="Times New Roman" w:hAnsi="Times New Roman" w:cs="Times New Roman"/>
          <w:sz w:val="24"/>
          <w:szCs w:val="24"/>
          <w:lang w:val="en-ID"/>
        </w:rPr>
        <w:t>e</w:t>
      </w:r>
      <w:r w:rsidR="00774E58">
        <w:rPr>
          <w:rFonts w:ascii="Times New Roman" w:hAnsi="Times New Roman" w:cs="Times New Roman"/>
          <w:sz w:val="24"/>
          <w:szCs w:val="24"/>
          <w:lang w:val="en-ID"/>
        </w:rPr>
        <w:t xml:space="preserve"> approach</w:t>
      </w:r>
      <w:r w:rsidR="00EA7189">
        <w:rPr>
          <w:rFonts w:ascii="Times New Roman" w:hAnsi="Times New Roman" w:cs="Times New Roman"/>
          <w:sz w:val="24"/>
          <w:szCs w:val="24"/>
          <w:lang w:val="en-ID"/>
        </w:rPr>
        <w:t>es</w:t>
      </w:r>
      <w:r w:rsidR="00774E58">
        <w:rPr>
          <w:rFonts w:ascii="Times New Roman" w:hAnsi="Times New Roman" w:cs="Times New Roman"/>
          <w:sz w:val="24"/>
          <w:szCs w:val="24"/>
          <w:lang w:val="en-ID"/>
        </w:rPr>
        <w:t>, the research investigates how Islamic eco-theological values are communicated, internalized, and practiced by community</w:t>
      </w:r>
      <w:r w:rsidR="00EA7189">
        <w:rPr>
          <w:rFonts w:ascii="Times New Roman" w:hAnsi="Times New Roman" w:cs="Times New Roman"/>
          <w:sz w:val="24"/>
          <w:szCs w:val="24"/>
          <w:lang w:val="en-ID"/>
        </w:rPr>
        <w:t>-based education</w:t>
      </w:r>
      <w:r w:rsidR="00774E58">
        <w:rPr>
          <w:rFonts w:ascii="Times New Roman" w:hAnsi="Times New Roman" w:cs="Times New Roman"/>
          <w:sz w:val="24"/>
          <w:szCs w:val="24"/>
          <w:lang w:val="en-ID"/>
        </w:rPr>
        <w:t xml:space="preserve"> via social media and offline activities.</w:t>
      </w:r>
    </w:p>
    <w:p w14:paraId="5D2F0187" w14:textId="10DB8CB5" w:rsidR="00194576" w:rsidRDefault="00013A73" w:rsidP="00194576">
      <w:pPr>
        <w:spacing w:after="12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As outlined by</w:t>
      </w:r>
      <w:r w:rsidR="00A37DF8">
        <w:rPr>
          <w:rFonts w:ascii="Times New Roman" w:eastAsia="Times New Roman" w:hAnsi="Times New Roman" w:cs="Times New Roman"/>
          <w:sz w:val="24"/>
          <w:szCs w:val="24"/>
          <w:lang w:val="id-ID"/>
        </w:rPr>
        <w:t xml:space="preserve"> </w:t>
      </w:r>
      <w:r w:rsidR="00E2374A">
        <w:rPr>
          <w:rFonts w:ascii="Times New Roman" w:eastAsia="Times New Roman" w:hAnsi="Times New Roman" w:cs="Times New Roman"/>
          <w:sz w:val="24"/>
          <w:szCs w:val="24"/>
          <w:lang w:val="id-ID"/>
        </w:rPr>
        <w:fldChar w:fldCharType="begin" w:fldLock="1"/>
      </w:r>
      <w:r w:rsidR="00221389">
        <w:rPr>
          <w:rFonts w:ascii="Times New Roman" w:eastAsia="Times New Roman" w:hAnsi="Times New Roman" w:cs="Times New Roman"/>
          <w:sz w:val="24"/>
          <w:szCs w:val="24"/>
          <w:lang w:val="id-ID"/>
        </w:rPr>
        <w:instrText>ADDIN CSL_CITATION {"citationItems":[{"id":"ITEM-1","itemData":{"author":[{"dropping-particle":"","family":"Boellstorff","given":"Tom","non-dropping-particle":"","parse-names":false,"suffix":""},{"dropping-particle":"","family":"Nardi","given":"Bonnie","non-dropping-particle":"","parse-names":false,"suffix":""},{"dropping-particle":"","family":"Pearce","given":"Celia","non-dropping-particle":"","parse-names":false,"suffix":""},{"dropping-particle":"","family":"Taylor","given":"T.L.","non-dropping-particle":"","parse-names":false,"suffix":""}],"id":"ITEM-1","issued":{"date-parts":[["2012"]]},"publisher":"Princeton University Press","title":"Ethnography and Virtual Worlds: A Handbook of Method","type":"book"},"uris":["http://www.mendeley.com/documents/?uuid=71b42d20-ea5e-42f2-b89c-cc34872be200","http://www.mendeley.com/documents/?uuid=b44ddcdc-8286-4da3-b4cd-f0d2d689491d"]}],"mendeley":{"formattedCitation":"(Boellstorff et al., 2012)","plainTextFormattedCitation":"(Boellstorff et al., 2012)","previouslyFormattedCitation":"(Boellstorff et al., 2012)"},"properties":{"noteIndex":0},"schema":"https://github.com/citation-style-language/schema/raw/master/csl-citation.json"}</w:instrText>
      </w:r>
      <w:r w:rsidR="00E2374A">
        <w:rPr>
          <w:rFonts w:ascii="Times New Roman" w:eastAsia="Times New Roman" w:hAnsi="Times New Roman" w:cs="Times New Roman"/>
          <w:sz w:val="24"/>
          <w:szCs w:val="24"/>
          <w:lang w:val="id-ID"/>
        </w:rPr>
        <w:fldChar w:fldCharType="separate"/>
      </w:r>
      <w:r w:rsidR="00E2374A" w:rsidRPr="00E2374A">
        <w:rPr>
          <w:rFonts w:ascii="Times New Roman" w:eastAsia="Times New Roman" w:hAnsi="Times New Roman" w:cs="Times New Roman"/>
          <w:noProof/>
          <w:sz w:val="24"/>
          <w:szCs w:val="24"/>
          <w:lang w:val="id-ID"/>
        </w:rPr>
        <w:t>(Boellstorff et al., 2012)</w:t>
      </w:r>
      <w:r w:rsidR="00E2374A">
        <w:rPr>
          <w:rFonts w:ascii="Times New Roman" w:eastAsia="Times New Roman" w:hAnsi="Times New Roman" w:cs="Times New Roman"/>
          <w:sz w:val="24"/>
          <w:szCs w:val="24"/>
          <w:lang w:val="id-ID"/>
        </w:rPr>
        <w:fldChar w:fldCharType="end"/>
      </w:r>
      <w:r w:rsidR="00A37DF8" w:rsidRPr="00A37DF8">
        <w:rPr>
          <w:rFonts w:ascii="Times New Roman" w:eastAsia="Times New Roman" w:hAnsi="Times New Roman" w:cs="Times New Roman"/>
          <w:sz w:val="24"/>
          <w:szCs w:val="24"/>
          <w:lang w:val="id-ID"/>
        </w:rPr>
        <w:t>, v</w:t>
      </w:r>
      <w:r>
        <w:rPr>
          <w:rFonts w:ascii="Times New Roman" w:hAnsi="Times New Roman" w:cs="Times New Roman"/>
          <w:sz w:val="24"/>
          <w:szCs w:val="24"/>
          <w:lang w:val="en-ID"/>
        </w:rPr>
        <w:t>irtual etnography involves participatory observation in digital spaces, interviews with community members, and analysis of textual and multimedia content produced within online ecosystems. For this study, observation focused on YukNgaji’s official Instagram, including comment interaction</w:t>
      </w:r>
      <w:r w:rsidR="00194576">
        <w:rPr>
          <w:rFonts w:ascii="Times New Roman" w:hAnsi="Times New Roman" w:cs="Times New Roman"/>
          <w:sz w:val="24"/>
          <w:szCs w:val="24"/>
          <w:lang w:val="en-ID"/>
        </w:rPr>
        <w:t xml:space="preserve">, the dissemination of the #LessWaste campaign, and digital community response. Additionally, discussions </w:t>
      </w:r>
      <w:r w:rsidR="00194576">
        <w:rPr>
          <w:rFonts w:ascii="Times New Roman" w:hAnsi="Times New Roman" w:cs="Times New Roman"/>
          <w:sz w:val="24"/>
          <w:szCs w:val="24"/>
          <w:lang w:val="en-ID"/>
        </w:rPr>
        <w:lastRenderedPageBreak/>
        <w:t xml:space="preserve">within YukNgaji’s </w:t>
      </w:r>
      <w:r w:rsidR="004A269C">
        <w:rPr>
          <w:rFonts w:ascii="Times New Roman" w:hAnsi="Times New Roman" w:cs="Times New Roman"/>
          <w:sz w:val="24"/>
          <w:szCs w:val="24"/>
          <w:lang w:val="en-ID"/>
        </w:rPr>
        <w:t>online</w:t>
      </w:r>
      <w:r w:rsidR="00194576">
        <w:rPr>
          <w:rFonts w:ascii="Times New Roman" w:hAnsi="Times New Roman" w:cs="Times New Roman"/>
          <w:sz w:val="24"/>
          <w:szCs w:val="24"/>
          <w:lang w:val="en-ID"/>
        </w:rPr>
        <w:t xml:space="preserve"> groups–primary platform for organizing offline activities and reinforcing campaign values–were analyzed.</w:t>
      </w:r>
    </w:p>
    <w:p w14:paraId="6F5A7B9F" w14:textId="50A99913" w:rsidR="00194576" w:rsidRDefault="00194576" w:rsidP="00D514DC">
      <w:pPr>
        <w:spacing w:after="12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The methodology also incorporates the concept of </w:t>
      </w:r>
      <w:r w:rsidRPr="00194576">
        <w:rPr>
          <w:rFonts w:ascii="Times New Roman" w:hAnsi="Times New Roman" w:cs="Times New Roman"/>
          <w:i/>
          <w:iCs/>
          <w:sz w:val="24"/>
          <w:szCs w:val="24"/>
          <w:lang w:val="en-ID"/>
        </w:rPr>
        <w:t>hybrid activism</w:t>
      </w:r>
      <w:r>
        <w:rPr>
          <w:rFonts w:ascii="Times New Roman" w:hAnsi="Times New Roman" w:cs="Times New Roman"/>
          <w:sz w:val="24"/>
          <w:szCs w:val="24"/>
          <w:lang w:val="en-ID"/>
        </w:rPr>
        <w:t xml:space="preserve">, which bridges online and offline social mobilization </w:t>
      </w:r>
      <w:r w:rsidR="00E2374A">
        <w:rPr>
          <w:rFonts w:ascii="Times New Roman" w:eastAsia="Times New Roman" w:hAnsi="Times New Roman" w:cs="Times New Roman"/>
          <w:sz w:val="24"/>
          <w:szCs w:val="24"/>
          <w:lang w:val="id-ID"/>
        </w:rPr>
        <w:fldChar w:fldCharType="begin" w:fldLock="1"/>
      </w:r>
      <w:r w:rsidR="00221389">
        <w:rPr>
          <w:rFonts w:ascii="Times New Roman" w:eastAsia="Times New Roman" w:hAnsi="Times New Roman" w:cs="Times New Roman"/>
          <w:sz w:val="24"/>
          <w:szCs w:val="24"/>
          <w:lang w:val="id-ID"/>
        </w:rPr>
        <w:instrText>ADDIN CSL_CITATION {"citationItems":[{"id":"ITEM-1","itemData":{"abstract":"Social media has provided a citizen voice, giving rise to grassroots collective action, where users deploy a concerted effort to disseminate online narratives and even carry out offline protests. Sometimes these collective action are aided by inorganic synchronization, which arise from bot actors. It is thus important to identify the synchronicity of emerging discourse on social media and the indications of organic/inorganic activity within the conversations. This provides a way of profiling an event for possibility of offline protests and violence. In this study, we build on past definitions of synchronous activity on social media -- simultaneous user action -- and develop a Combined Synchronization Index (CSI) which adopts a hierarchical approach in measuring user synchronicity. We apply this index on six political and social activism events on Twitter and analyzed three action types: synchronicity by hashtag, URL and @mentions.The CSI provides an overall quantification of synchronization across all action types within an event, which allows ranking of a spectrum of synchronicity across the six events. Human users have higher synchronous scores than bot users in most events; and bots and humans exhibits the most synchronized activities across all events as compared to other pairs (i.e., bot-bot and human-human). We further rely on the harmony and dissonance of CSI-Network scores with network centrality metrics to observe the presence of organic/inorganic synchronization. We hope this work aids in investigating synchronized action within social media in a collective manner.","author":[{"dropping-particle":"","family":"Ng","given":"Lynnette Hui Xian","non-dropping-particle":"","parse-names":false,"suffix":""},{"dropping-particle":"","family":"Carley","given":"Kathleen M.","non-dropping-particle":"","parse-names":false,"suffix":""}],"id":"ITEM-1","issued":{"date-parts":[["2022"]]},"title":"A Combined Synchronization Index for Grassroots Activism on Social Media","type":"article-journal"},"uris":["http://www.mendeley.com/documents/?uuid=624f9dae-56c5-49c5-8134-22af6b3ca8a1","http://www.mendeley.com/documents/?uuid=4b900a21-69b3-4224-afdd-56c5dc4bb66b"]}],"mendeley":{"formattedCitation":"(Ng &amp; Carley, 2022)","plainTextFormattedCitation":"(Ng &amp; Carley, 2022)","previouslyFormattedCitation":"(Ng &amp; Carley, 2022)"},"properties":{"noteIndex":0},"schema":"https://github.com/citation-style-language/schema/raw/master/csl-citation.json"}</w:instrText>
      </w:r>
      <w:r w:rsidR="00E2374A">
        <w:rPr>
          <w:rFonts w:ascii="Times New Roman" w:eastAsia="Times New Roman" w:hAnsi="Times New Roman" w:cs="Times New Roman"/>
          <w:sz w:val="24"/>
          <w:szCs w:val="24"/>
          <w:lang w:val="id-ID"/>
        </w:rPr>
        <w:fldChar w:fldCharType="separate"/>
      </w:r>
      <w:r w:rsidR="00E2374A" w:rsidRPr="00E2374A">
        <w:rPr>
          <w:rFonts w:ascii="Times New Roman" w:eastAsia="Times New Roman" w:hAnsi="Times New Roman" w:cs="Times New Roman"/>
          <w:noProof/>
          <w:sz w:val="24"/>
          <w:szCs w:val="24"/>
          <w:lang w:val="id-ID"/>
        </w:rPr>
        <w:t>(Ng &amp; Carley, 2022)</w:t>
      </w:r>
      <w:r w:rsidR="00E2374A">
        <w:rPr>
          <w:rFonts w:ascii="Times New Roman" w:eastAsia="Times New Roman" w:hAnsi="Times New Roman" w:cs="Times New Roman"/>
          <w:sz w:val="24"/>
          <w:szCs w:val="24"/>
          <w:lang w:val="id-ID"/>
        </w:rPr>
        <w:fldChar w:fldCharType="end"/>
      </w:r>
      <w:r w:rsidR="00A37DF8" w:rsidRPr="00A37DF8">
        <w:rPr>
          <w:rFonts w:ascii="Times New Roman" w:eastAsia="Times New Roman" w:hAnsi="Times New Roman" w:cs="Times New Roman"/>
          <w:sz w:val="24"/>
          <w:szCs w:val="24"/>
          <w:lang w:val="id-ID"/>
        </w:rPr>
        <w:t>. YukNgaji’s #LessWaste</w:t>
      </w:r>
      <w:r w:rsidR="00D514DC">
        <w:rPr>
          <w:rFonts w:ascii="Times New Roman" w:eastAsia="Times New Roman" w:hAnsi="Times New Roman" w:cs="Times New Roman"/>
          <w:sz w:val="24"/>
          <w:szCs w:val="24"/>
          <w:lang w:val="id-ID"/>
        </w:rPr>
        <w:t xml:space="preserve"> </w:t>
      </w:r>
      <w:r>
        <w:rPr>
          <w:rFonts w:ascii="Times New Roman" w:hAnsi="Times New Roman" w:cs="Times New Roman"/>
          <w:sz w:val="24"/>
          <w:szCs w:val="24"/>
          <w:lang w:val="en-ID"/>
        </w:rPr>
        <w:t xml:space="preserve">campaign exemplifies how social media serves not only as a messaging platform but also as a tool for organizing tangible initiatives, </w:t>
      </w:r>
      <w:r w:rsidR="00D514DC">
        <w:rPr>
          <w:rFonts w:ascii="Times New Roman" w:hAnsi="Times New Roman" w:cs="Times New Roman"/>
          <w:sz w:val="24"/>
          <w:szCs w:val="24"/>
          <w:lang w:val="en-ID"/>
        </w:rPr>
        <w:t>such as waste charity programs, environmental-themed studies, and mosque-based waste reduction efforts. By leveraging interactive social media features, the community has cultivated sustained active participation and fostered strong emotional among members.</w:t>
      </w:r>
    </w:p>
    <w:p w14:paraId="7D456BF5" w14:textId="0B28EC52" w:rsidR="004611D7" w:rsidRDefault="00D514DC" w:rsidP="004611D7">
      <w:pPr>
        <w:spacing w:after="12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Futhermore, virtual ethnography facilitates an understanding of how Islamic environmental teachings are contextualized digitally and how the concept of </w:t>
      </w:r>
      <w:r w:rsidRPr="004611D7">
        <w:rPr>
          <w:rFonts w:ascii="Times New Roman" w:hAnsi="Times New Roman" w:cs="Times New Roman"/>
          <w:i/>
          <w:iCs/>
          <w:sz w:val="24"/>
          <w:szCs w:val="24"/>
          <w:lang w:val="en-ID"/>
        </w:rPr>
        <w:t>khalifah fil ardh</w:t>
      </w:r>
      <w:r>
        <w:rPr>
          <w:rFonts w:ascii="Times New Roman" w:hAnsi="Times New Roman" w:cs="Times New Roman"/>
          <w:sz w:val="24"/>
          <w:szCs w:val="24"/>
          <w:lang w:val="en-ID"/>
        </w:rPr>
        <w:t xml:space="preserve"> (</w:t>
      </w:r>
      <w:r w:rsidR="004611D7">
        <w:rPr>
          <w:rFonts w:ascii="Times New Roman" w:hAnsi="Times New Roman" w:cs="Times New Roman"/>
          <w:sz w:val="24"/>
          <w:szCs w:val="24"/>
          <w:lang w:val="en-ID"/>
        </w:rPr>
        <w:t>stewardship of the earth) underpins this eco-theological campaign. By analyzing YukNgaji’s communication patterns and social media content, the study identifies da’wah strategies employed to instill environmental consciousness among young Muslim. Narrative analysis of campaign materials, such as the Guardians of the Earth comic series and digital porters, highlights how Islamic eco-theological representations are constructed in accessible and engaging formats for target audiences.</w:t>
      </w:r>
    </w:p>
    <w:p w14:paraId="6B4B971A" w14:textId="77777777" w:rsidR="004611D7" w:rsidRPr="004611D7" w:rsidRDefault="004611D7" w:rsidP="004611D7">
      <w:pPr>
        <w:spacing w:after="120"/>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Aligned with virtual ethnography principles, this research emphasizes active engagement within the digital community to gain a comprehensive understanding of YukNgaji members’ experiences and perceptions of the #LessWaste campaign. Beyond observation and media analysis</w:t>
      </w:r>
      <w:r w:rsidR="004A269C">
        <w:rPr>
          <w:rFonts w:ascii="Times New Roman" w:hAnsi="Times New Roman" w:cs="Times New Roman"/>
          <w:sz w:val="24"/>
          <w:szCs w:val="24"/>
          <w:lang w:val="en-ID"/>
        </w:rPr>
        <w:t>.</w:t>
      </w:r>
      <w:r>
        <w:rPr>
          <w:rFonts w:ascii="Times New Roman" w:hAnsi="Times New Roman" w:cs="Times New Roman"/>
          <w:sz w:val="24"/>
          <w:szCs w:val="24"/>
          <w:lang w:val="en-ID"/>
        </w:rPr>
        <w:t xml:space="preserve"> This approach offers broader insights into how modern Muslim communities adopt and implement eco-theological principles in the digital age.</w:t>
      </w:r>
    </w:p>
    <w:p w14:paraId="4DF0BF73" w14:textId="77777777" w:rsidR="008B3EE8" w:rsidRDefault="00303DE3">
      <w:pPr>
        <w:spacing w:before="360" w:after="120"/>
        <w:jc w:val="both"/>
        <w:rPr>
          <w:rFonts w:ascii="Kozuka Gothic Pro B" w:eastAsia="Kozuka Gothic Pro B" w:hAnsi="Kozuka Gothic Pro B" w:cs="Kozuka Gothic Pro B"/>
          <w:sz w:val="24"/>
          <w:szCs w:val="24"/>
        </w:rPr>
      </w:pPr>
      <w:r>
        <w:rPr>
          <w:rFonts w:ascii="Kozuka Gothic Pro B" w:eastAsia="Kozuka Gothic Pro B" w:hAnsi="Kozuka Gothic Pro B" w:cs="Kozuka Gothic Pro B"/>
          <w:b/>
          <w:sz w:val="24"/>
          <w:szCs w:val="24"/>
        </w:rPr>
        <w:t xml:space="preserve">Results and Discussion </w:t>
      </w:r>
    </w:p>
    <w:p w14:paraId="27ED741F" w14:textId="77777777" w:rsidR="00F61737" w:rsidRPr="00F61737" w:rsidRDefault="00F61737" w:rsidP="00F61737">
      <w:pPr>
        <w:pStyle w:val="ListParagraph"/>
        <w:numPr>
          <w:ilvl w:val="0"/>
          <w:numId w:val="1"/>
        </w:numPr>
        <w:tabs>
          <w:tab w:val="left" w:pos="360"/>
        </w:tabs>
        <w:spacing w:after="120"/>
        <w:ind w:left="360"/>
        <w:jc w:val="both"/>
        <w:rPr>
          <w:rFonts w:ascii="Times New Roman" w:eastAsia="Times New Roman" w:hAnsi="Times New Roman" w:cs="Times New Roman"/>
          <w:sz w:val="24"/>
          <w:szCs w:val="24"/>
        </w:rPr>
      </w:pPr>
      <w:r w:rsidRPr="00F61737">
        <w:rPr>
          <w:rFonts w:ascii="Times New Roman" w:eastAsia="Times New Roman" w:hAnsi="Times New Roman" w:cs="Times New Roman"/>
          <w:sz w:val="24"/>
          <w:szCs w:val="24"/>
        </w:rPr>
        <w:t>Islamic Ecotheology Discourse</w:t>
      </w:r>
    </w:p>
    <w:p w14:paraId="5B8C9ED4" w14:textId="77777777" w:rsidR="00F61737" w:rsidRP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Ecology is generally defined as the science that studies the reciprocal relationship between living beings and their environment. Over time, ecological approaches have often been structural and tend to be anthropocentric, positioning humans as the center and primary purpose of nature's existence. This perspective leads to the assumption that nature is merely created to serve human needs, ultimately paving the way for environmental exploitation and destruction without considering ecological balance. In response to this paradigm, the discourse of ecotheology emerged, aiming to view nature more fairly—not only as an object for human use but also as an entity with rights to be protected and preserved. Ecotheology emphasizes that humans have a moral and spiritual responsibility to care for nature as part of their devotion to God</w:t>
      </w:r>
      <w:r w:rsidR="00AD142E">
        <w:rPr>
          <w:rFonts w:ascii="Times New Roman" w:hAnsi="Times New Roman" w:cs="Times New Roman"/>
          <w:sz w:val="24"/>
          <w:szCs w:val="24"/>
          <w:lang w:val="en-ID"/>
        </w:rPr>
        <w:t xml:space="preserve"> </w:t>
      </w:r>
      <w:r w:rsidR="00AD142E">
        <w:rPr>
          <w:rFonts w:ascii="Times New Roman" w:hAnsi="Times New Roman" w:cs="Times New Roman"/>
          <w:sz w:val="24"/>
          <w:szCs w:val="24"/>
          <w:lang w:val="en-ID"/>
        </w:rPr>
        <w:fldChar w:fldCharType="begin" w:fldLock="1"/>
      </w:r>
      <w:r w:rsidR="00B92E45">
        <w:rPr>
          <w:rFonts w:ascii="Times New Roman" w:hAnsi="Times New Roman" w:cs="Times New Roman"/>
          <w:sz w:val="24"/>
          <w:szCs w:val="24"/>
          <w:lang w:val="en-ID"/>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Kata","author":[{"dropping-particle":"","family":"Sholihin","given":"Abdu Salafush","non-dropping-particle":"","parse-names":false,"suffix":""}],"container-title":"Iqtishaduna: Jurnal Ilmiah Mahasiswa Jurusan Hukum Ekonomi Syariah","id":"ITEM-1","issue":"3","issued":{"date-parts":[["2025"]]},"page":"637-646","title":"Menelisik Urgensitas Fikih Ekologi terhadap Pelestarian Lingkungan Hidup","type":"article-journal","volume":"6"},"uris":["http://www.mendeley.com/documents/?uuid=76401711-9b4d-4646-85c7-af741d2e1eb0"]}],"mendeley":{"formattedCitation":"(Sholihin, 2025)","plainTextFormattedCitation":"(Sholihin, 2025)","previouslyFormattedCitation":"(Sholihin, 2025)"},"properties":{"noteIndex":0},"schema":"https://github.com/citation-style-language/schema/raw/master/csl-citation.json"}</w:instrText>
      </w:r>
      <w:r w:rsidR="00AD142E">
        <w:rPr>
          <w:rFonts w:ascii="Times New Roman" w:hAnsi="Times New Roman" w:cs="Times New Roman"/>
          <w:sz w:val="24"/>
          <w:szCs w:val="24"/>
          <w:lang w:val="en-ID"/>
        </w:rPr>
        <w:fldChar w:fldCharType="separate"/>
      </w:r>
      <w:r w:rsidR="00AD142E" w:rsidRPr="00AD142E">
        <w:rPr>
          <w:rFonts w:ascii="Times New Roman" w:hAnsi="Times New Roman" w:cs="Times New Roman"/>
          <w:noProof/>
          <w:sz w:val="24"/>
          <w:szCs w:val="24"/>
          <w:lang w:val="en-ID"/>
        </w:rPr>
        <w:t>(Sholihin, 2025)</w:t>
      </w:r>
      <w:r w:rsidR="00AD142E">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w:t>
      </w:r>
    </w:p>
    <w:p w14:paraId="3CB6157D" w14:textId="77777777" w:rsidR="00F61737" w:rsidRP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According to Fazlur Rahman, the awareness that nature is God's creation given to humans not merely as a resource but also as a place to live, a means of worship, and a field of good deeds in preparation for the afterlife, is part of piety</w:t>
      </w:r>
      <w:r w:rsidR="00B92E45">
        <w:rPr>
          <w:rFonts w:ascii="Times New Roman" w:hAnsi="Times New Roman" w:cs="Times New Roman"/>
          <w:sz w:val="24"/>
          <w:szCs w:val="24"/>
          <w:lang w:val="en-ID"/>
        </w:rPr>
        <w:t xml:space="preserve"> </w:t>
      </w:r>
      <w:r w:rsidR="00B92E45">
        <w:rPr>
          <w:rFonts w:ascii="Times New Roman" w:hAnsi="Times New Roman" w:cs="Times New Roman"/>
          <w:sz w:val="24"/>
          <w:szCs w:val="24"/>
          <w:lang w:val="en-ID"/>
        </w:rPr>
        <w:fldChar w:fldCharType="begin" w:fldLock="1"/>
      </w:r>
      <w:r w:rsidR="00B92E45">
        <w:rPr>
          <w:rFonts w:ascii="Times New Roman" w:hAnsi="Times New Roman" w:cs="Times New Roman"/>
          <w:sz w:val="24"/>
          <w:szCs w:val="24"/>
          <w:lang w:val="en-ID"/>
        </w:rPr>
        <w:instrText>ADDIN CSL_CITATION {"citationItems":[{"id":"ITEM-1","itemData":{"author":[{"dropping-particle":"","family":"Firas","given":"Muhammad Farhan","non-dropping-particle":"","parse-names":false,"suffix":""},{"dropping-particle":"","family":"Andriansyah","given":"Wiza Atholla","non-dropping-particle":"","parse-names":false,"suffix":""},{"dropping-particle":"","family":"Saifullah","given":"","non-dropping-particle":"","parse-names":false,"suffix":""}],"container-title":"Journal of Humanities Issue","id":"ITEM-1","issue":"2","issued":{"date-parts":[["2024"]]},"page":"105-115","title":"Deep Ecology : Telaah Atas Pandangan Ekologi Fazlur Rahman dengan lingkungan sekitarnya . 1 Menurut ajaran Islam , Allah SWT telah menciptakan segala Pemahaman tentang keterjalinan hubungan antara manusia dengan lingkungannya melalui pendekatan struktural","type":"article-journal","volume":"2"},"uris":["http://www.mendeley.com/documents/?uuid=e6579fc9-f8fe-4abf-b8b8-162322951e10"]}],"mendeley":{"formattedCitation":"(Firas et al., 2024)","plainTextFormattedCitation":"(Firas et al., 2024)","previouslyFormattedCitation":"(Firas et al., 2024)"},"properties":{"noteIndex":0},"schema":"https://github.com/citation-style-language/schema/raw/master/csl-citation.json"}</w:instrText>
      </w:r>
      <w:r w:rsidR="00B92E45">
        <w:rPr>
          <w:rFonts w:ascii="Times New Roman" w:hAnsi="Times New Roman" w:cs="Times New Roman"/>
          <w:sz w:val="24"/>
          <w:szCs w:val="24"/>
          <w:lang w:val="en-ID"/>
        </w:rPr>
        <w:fldChar w:fldCharType="separate"/>
      </w:r>
      <w:r w:rsidR="00B92E45" w:rsidRPr="00B92E45">
        <w:rPr>
          <w:rFonts w:ascii="Times New Roman" w:hAnsi="Times New Roman" w:cs="Times New Roman"/>
          <w:noProof/>
          <w:sz w:val="24"/>
          <w:szCs w:val="24"/>
          <w:lang w:val="en-ID"/>
        </w:rPr>
        <w:t>(Firas et al., 2024)</w:t>
      </w:r>
      <w:r w:rsidR="00B92E45">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 xml:space="preserve">. In the perspective of Islamic ecotheology, preserving nature is not only an ecological responsibility but also a form of spiritual obedience. Humans are expected not only to utilize nature but also </w:t>
      </w:r>
      <w:r w:rsidRPr="00F61737">
        <w:rPr>
          <w:rFonts w:ascii="Times New Roman" w:hAnsi="Times New Roman" w:cs="Times New Roman"/>
          <w:sz w:val="24"/>
          <w:szCs w:val="24"/>
          <w:lang w:val="en-ID"/>
        </w:rPr>
        <w:lastRenderedPageBreak/>
        <w:t xml:space="preserve">to care for it as a trust from God, in line with the principle of </w:t>
      </w:r>
      <w:r w:rsidRPr="00F61737">
        <w:rPr>
          <w:rFonts w:ascii="Times New Roman" w:hAnsi="Times New Roman" w:cs="Times New Roman"/>
          <w:i/>
          <w:iCs/>
          <w:sz w:val="24"/>
          <w:szCs w:val="24"/>
          <w:lang w:val="en-ID"/>
        </w:rPr>
        <w:t>khalifah fil ardh</w:t>
      </w:r>
      <w:r w:rsidRPr="00F61737">
        <w:rPr>
          <w:rFonts w:ascii="Times New Roman" w:hAnsi="Times New Roman" w:cs="Times New Roman"/>
          <w:sz w:val="24"/>
          <w:szCs w:val="24"/>
          <w:lang w:val="en-ID"/>
        </w:rPr>
        <w:t xml:space="preserve"> (stewardship of the earth) inherent in humanity.</w:t>
      </w:r>
    </w:p>
    <w:p w14:paraId="30633A85" w14:textId="77777777" w:rsidR="00F61737" w:rsidRP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 xml:space="preserve">The narrative of ecotheology in Islam generally refers to verses that emphasize human responsibility towards nature. The verse about humans as </w:t>
      </w:r>
      <w:r w:rsidRPr="00F61737">
        <w:rPr>
          <w:rFonts w:ascii="Times New Roman" w:hAnsi="Times New Roman" w:cs="Times New Roman"/>
          <w:i/>
          <w:iCs/>
          <w:sz w:val="24"/>
          <w:szCs w:val="24"/>
          <w:lang w:val="en-ID"/>
        </w:rPr>
        <w:t>khalifah</w:t>
      </w:r>
      <w:r w:rsidRPr="00F61737">
        <w:rPr>
          <w:rFonts w:ascii="Times New Roman" w:hAnsi="Times New Roman" w:cs="Times New Roman"/>
          <w:sz w:val="24"/>
          <w:szCs w:val="24"/>
          <w:lang w:val="en-ID"/>
        </w:rPr>
        <w:t xml:space="preserve"> on earth (QS. Al-Baqarah: 30) is often cited to affirm the role of humans as responsible managers of the ecosystem. Additionally, the prohibition against damaging nature (QS. Al-A’raf: 56) and the warning that corruption on land and sea is due to human actions (QS. Ar-Rum: 41) provide strong theological foundations for building ecological awareness. The Qur'an also emphasizes the principle of balance by commanding not to be excessive in utilizing natural resources (QS. Al-An’am: 141). This verse lays the foundation for the concept of sustainability and wise resource management to avoid disrupting the balance that Allah has established in the universe</w:t>
      </w:r>
      <w:r w:rsidR="00B92E45">
        <w:rPr>
          <w:rFonts w:ascii="Times New Roman" w:hAnsi="Times New Roman" w:cs="Times New Roman"/>
          <w:sz w:val="24"/>
          <w:szCs w:val="24"/>
          <w:lang w:val="en-ID"/>
        </w:rPr>
        <w:t xml:space="preserve"> </w:t>
      </w:r>
      <w:r w:rsidR="00B92E45">
        <w:rPr>
          <w:rFonts w:ascii="Times New Roman" w:hAnsi="Times New Roman" w:cs="Times New Roman"/>
          <w:sz w:val="24"/>
          <w:szCs w:val="24"/>
          <w:lang w:val="en-ID"/>
        </w:rPr>
        <w:fldChar w:fldCharType="begin" w:fldLock="1"/>
      </w:r>
      <w:r w:rsidR="00B92E45">
        <w:rPr>
          <w:rFonts w:ascii="Times New Roman" w:hAnsi="Times New Roman" w:cs="Times New Roman"/>
          <w:sz w:val="24"/>
          <w:szCs w:val="24"/>
          <w:lang w:val="en-ID"/>
        </w:rPr>
        <w:instrText>ADDIN CSL_CITATION {"citationItems":[{"id":"ITEM-1","itemData":{"abstract":"This article discusses Qur'an-based environmental conservation counseling and strengthening Qur'anic values on ecology and conservation verses in Sembalun Bumbung, East Lombok, West Nusa Tenggra. The purpose of this activity is to raise public awareness of the importance of preserving the environment and provide an understanding of how the Qur'an provides guidance in protecting nature. The methods used in this extension activity are lectures and group discussions. The results showed that this activity succeeded in increasing people's knowledge and awareness about the importance of environmental conservation and encouraging them to implement Qur'anic values in their daily lives to preserve the environment. Abstract Artikel ini membahas tentang penyuluhan konservasi lingkungan berbasis Al Qur'an dan penguatan nilai-nilai Qur'ani terhadap ayat-ayat ekologi dan konservasi di Sembalun Bumbung, Lombok Timur, NTB. Tujuan dari kegiatan ini adalah untuk meningkatkan kesadaran masyarakat akan pentingnya menjaga kelestarian lingkungan dan memberikan pemahaman tentang bagaimana Al Qur'an memberikan panduan dalam menjaga alam. Metode yang digunakan dalam kegiatan penyuluhan ini adalah ceramah dan diskusi kelompok. Hasilnya menunjukkan bahwa kegiatan ini berhasil meningkatkan pengetahuan dan kesadaran masyarakat tentang pentingnya konservasi lingkungan serta mendorong mereka untuk mengimplementasikan nilai-nilai Qur'ani dalam kehidupan sehari-hari untuk menjaga kelestarian lingkungan. Kata Kunci: penyuluhan, konservasi, ayat ekologi, nilai qur;ani.","author":[{"dropping-particle":"","family":"Said","given":"Muhammad","non-dropping-particle":"","parse-names":false,"suffix":""},{"dropping-particle":"","family":"Yunus","given":"Muhammad","non-dropping-particle":"","parse-names":false,"suffix":""},{"dropping-particle":"","family":"Rahman","given":"Abd","non-dropping-particle":"","parse-names":false,"suffix":""},{"dropping-particle":"","family":"Asiah","given":"Siti","non-dropping-particle":"","parse-names":false,"suffix":""},{"dropping-particle":"","family":"Tahir","given":"Muh Tarmizi","non-dropping-particle":"","parse-names":false,"suffix":""},{"dropping-particle":"","family":"Paizin","given":"Khaerul","non-dropping-particle":"","parse-names":false,"suffix":""},{"dropping-particle":"","family":"Wulandari","given":"Suci","non-dropping-particle":"","parse-names":false,"suffix":""}],"container-title":"Empowerment: Jurnal Pengabdian Kepada Masyarakat","id":"ITEM-1","issue":"1","issued":{"date-parts":[["2023"]]},"page":"30-38","title":"PENYULUHAN KONSERVASI LINGKUNGAN BERBASIS AL QUR’AN(Living Qur’an dan Penguatan Nilai-Nilai Qur’ani Pada Masyarakat Sembalun Bumbung Terhadap Ayat-Ayat Ekologi dan Konservasi)","type":"article-journal","volume":"3"},"uris":["http://www.mendeley.com/documents/?uuid=673daccc-8853-4e36-acf3-2138bf2bfdb6"]},{"id":"ITEM-2","itemData":{"DOI":"10.46870/jstain.v6i1.963","abstract":"The interaction of humans and the environment is inseparable. Human dependence on natural resources for their survival is threatened as a result of poor management and exploitation actions making environmental damage worse. The purpose of this interpretation research is so that readers better understand the nature of ecological awareness, verses about ecological awareness, and the urgency of ecological awareness. In this study, a qualitative approach is used with the Maudhu'i interpretation method. As for the results of the research conducted, that ecology is a science about the interaction of living things with their living environment. In Arabic the environment means al-bī'ah. Some verses that explain about ecological awareness are QS. Āli 'Imrān/3: 191; QS. al-Anbiyā'/21: 31; QS. al-A'rāf /7: 10; Qs. al-Qaṣaṣ/28:77; Qs. al-Baqarah/2: 60 Then in Qs. al-A'rāf /7: 56-58. The importance of increasing environmental awareness for humans, because we were created as caliphs (leaders on earth) managers who are responsible for the sustainability of life on earth, not only utilizing but also guarding nature as the mandate given by Allah.","author":[{"dropping-particle":"","family":"Andi Eki Dwi Wahyuni","given":"","non-dropping-particle":"","parse-names":false,"suffix":""},{"dropping-particle":"","family":"Mardan","given":"","non-dropping-particle":"","parse-names":false,"suffix":""},{"dropping-particle":"","family":"Muhammad Yusuf","given":"","non-dropping-particle":"","parse-names":false,"suffix":""}],"container-title":"Al-Mutsla: Jurnal Ilmu-Ilmu Keislaman dan Kemasyarakatan","id":"ITEM-2","issue":"1","issued":{"date-parts":[["2024"]]},"page":"125-139","title":"Kesadaran Ekologis; Pelestarian Lingkungan Dalam Al-Qur’an","type":"article-journal","volume":"6"},"uris":["http://www.mendeley.com/documents/?uuid=2fd60b5d-8274-441f-b938-d3e47f3ebb60"]}],"mendeley":{"formattedCitation":"(Andi Eki Dwi Wahyuni et al., 2024; Said et al., 2023)","plainTextFormattedCitation":"(Andi Eki Dwi Wahyuni et al., 2024; Said et al., 2023)","previouslyFormattedCitation":"(Andi Eki Dwi Wahyuni et al., 2024; Said et al., 2023)"},"properties":{"noteIndex":0},"schema":"https://github.com/citation-style-language/schema/raw/master/csl-citation.json"}</w:instrText>
      </w:r>
      <w:r w:rsidR="00B92E45">
        <w:rPr>
          <w:rFonts w:ascii="Times New Roman" w:hAnsi="Times New Roman" w:cs="Times New Roman"/>
          <w:sz w:val="24"/>
          <w:szCs w:val="24"/>
          <w:lang w:val="en-ID"/>
        </w:rPr>
        <w:fldChar w:fldCharType="separate"/>
      </w:r>
      <w:r w:rsidR="00B92E45" w:rsidRPr="00B92E45">
        <w:rPr>
          <w:rFonts w:ascii="Times New Roman" w:hAnsi="Times New Roman" w:cs="Times New Roman"/>
          <w:noProof/>
          <w:sz w:val="24"/>
          <w:szCs w:val="24"/>
          <w:lang w:val="en-ID"/>
        </w:rPr>
        <w:t>(Andi Eki Dwi Wahyuni et al., 2024; Said et al., 2023)</w:t>
      </w:r>
      <w:r w:rsidR="00B92E45">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w:t>
      </w:r>
    </w:p>
    <w:p w14:paraId="69C8DF8C" w14:textId="68FC0773" w:rsidR="00F61737" w:rsidRP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 xml:space="preserve">Among the collections of hadiths often used as references in eco-theological campaigns are those emphasizing cleanliness, sustainability, and environmental care. One frequently quoted hadith is </w:t>
      </w:r>
      <w:r w:rsidRPr="00F61737">
        <w:rPr>
          <w:rFonts w:ascii="Times New Roman" w:hAnsi="Times New Roman" w:cs="Times New Roman"/>
          <w:i/>
          <w:iCs/>
          <w:sz w:val="24"/>
          <w:szCs w:val="24"/>
          <w:lang w:val="en-ID"/>
        </w:rPr>
        <w:t>“Purity is part of faith”</w:t>
      </w:r>
      <w:r w:rsidRPr="00F61737">
        <w:rPr>
          <w:rFonts w:ascii="Times New Roman" w:hAnsi="Times New Roman" w:cs="Times New Roman"/>
          <w:sz w:val="24"/>
          <w:szCs w:val="24"/>
          <w:lang w:val="en-ID"/>
        </w:rPr>
        <w:t>, a narration from Muslim that emphasizes cleanliness—both physical and environmental—as a fundamental aspect of Islamic teachings</w:t>
      </w:r>
      <w:r w:rsidR="006A3A39">
        <w:rPr>
          <w:rFonts w:ascii="Times New Roman" w:hAnsi="Times New Roman" w:cs="Times New Roman"/>
          <w:sz w:val="24"/>
          <w:szCs w:val="24"/>
          <w:lang w:val="en-ID"/>
        </w:rPr>
        <w:t xml:space="preserve"> </w:t>
      </w:r>
      <w:r w:rsidR="006A3A39">
        <w:rPr>
          <w:rFonts w:ascii="Times New Roman" w:hAnsi="Times New Roman" w:cs="Times New Roman"/>
          <w:sz w:val="24"/>
          <w:szCs w:val="24"/>
          <w:lang w:val="en-ID"/>
        </w:rPr>
        <w:fldChar w:fldCharType="begin" w:fldLock="1"/>
      </w:r>
      <w:r w:rsidR="00221389">
        <w:rPr>
          <w:rFonts w:ascii="Times New Roman" w:hAnsi="Times New Roman" w:cs="Times New Roman"/>
          <w:sz w:val="24"/>
          <w:szCs w:val="24"/>
          <w:lang w:val="en-ID"/>
        </w:rPr>
        <w:instrText>ADDIN CSL_CITATION {"citationItems":[{"id":"ITEM-1","itemData":{"author":[{"dropping-particle":"","family":"an naisaburi","given":"Qusyairi","non-dropping-particle":"","parse-names":false,"suffix":""}],"edition":"Hadits no.","id":"ITEM-1","issued":{"date-parts":[["2006"]]},"number-of-pages":"140","publisher":"Dar Thayyiba","publisher-place":"Istanbul","title":"Muslim bin al-Ḥajjāj, Ṣaḥīḥ Muslim","type":"book"},"uris":["http://www.mendeley.com/documents/?uuid=8be8fcfd-4e29-4b55-b7b0-161676f9d55e","http://www.mendeley.com/documents/?uuid=6d3ac742-f64b-45d0-aa7e-f030b5945004"]}],"mendeley":{"formattedCitation":"(an naisaburi, 2006)","manualFormatting":"(Annaisaburi, 2006)","plainTextFormattedCitation":"(an naisaburi, 2006)","previouslyFormattedCitation":"(an naisaburi, 2006)"},"properties":{"noteIndex":0},"schema":"https://github.com/citation-style-language/schema/raw/master/csl-citation.json"}</w:instrText>
      </w:r>
      <w:r w:rsidR="006A3A39">
        <w:rPr>
          <w:rFonts w:ascii="Times New Roman" w:hAnsi="Times New Roman" w:cs="Times New Roman"/>
          <w:sz w:val="24"/>
          <w:szCs w:val="24"/>
          <w:lang w:val="en-ID"/>
        </w:rPr>
        <w:fldChar w:fldCharType="separate"/>
      </w:r>
      <w:r w:rsidR="006A3A39" w:rsidRPr="006A3A39">
        <w:rPr>
          <w:rFonts w:ascii="Times New Roman" w:hAnsi="Times New Roman" w:cs="Times New Roman"/>
          <w:noProof/>
          <w:sz w:val="24"/>
          <w:szCs w:val="24"/>
          <w:lang w:val="en-ID"/>
        </w:rPr>
        <w:t>(</w:t>
      </w:r>
      <w:r w:rsidR="006A3A39">
        <w:rPr>
          <w:rFonts w:ascii="Times New Roman" w:hAnsi="Times New Roman" w:cs="Times New Roman"/>
          <w:noProof/>
          <w:sz w:val="24"/>
          <w:szCs w:val="24"/>
          <w:lang w:val="en-ID"/>
        </w:rPr>
        <w:t>A</w:t>
      </w:r>
      <w:r w:rsidR="006A3A39" w:rsidRPr="006A3A39">
        <w:rPr>
          <w:rFonts w:ascii="Times New Roman" w:hAnsi="Times New Roman" w:cs="Times New Roman"/>
          <w:noProof/>
          <w:sz w:val="24"/>
          <w:szCs w:val="24"/>
          <w:lang w:val="en-ID"/>
        </w:rPr>
        <w:t>n</w:t>
      </w:r>
      <w:r w:rsidR="006A3A39">
        <w:rPr>
          <w:rFonts w:ascii="Times New Roman" w:hAnsi="Times New Roman" w:cs="Times New Roman"/>
          <w:noProof/>
          <w:sz w:val="24"/>
          <w:szCs w:val="24"/>
          <w:lang w:val="en-ID"/>
        </w:rPr>
        <w:t>n</w:t>
      </w:r>
      <w:r w:rsidR="006A3A39" w:rsidRPr="006A3A39">
        <w:rPr>
          <w:rFonts w:ascii="Times New Roman" w:hAnsi="Times New Roman" w:cs="Times New Roman"/>
          <w:noProof/>
          <w:sz w:val="24"/>
          <w:szCs w:val="24"/>
          <w:lang w:val="en-ID"/>
        </w:rPr>
        <w:t>aisaburi, 2006)</w:t>
      </w:r>
      <w:r w:rsidR="006A3A39">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 xml:space="preserve">. Additionally, Prophet Muhammad (peace be upon him) reminded not to waste water, even when performing ablution by a flowing river, reflecting the principle of resource </w:t>
      </w:r>
      <w:r w:rsidR="000A10D4">
        <w:rPr>
          <w:rFonts w:ascii="Times New Roman" w:hAnsi="Times New Roman" w:cs="Times New Roman"/>
          <w:sz w:val="24"/>
          <w:szCs w:val="24"/>
          <w:lang w:val="en-ID"/>
        </w:rPr>
        <w:t xml:space="preserve">conservation </w:t>
      </w:r>
      <w:r w:rsidR="000A10D4">
        <w:rPr>
          <w:rFonts w:ascii="Times New Roman" w:hAnsi="Times New Roman" w:cs="Times New Roman"/>
          <w:sz w:val="24"/>
          <w:szCs w:val="24"/>
          <w:lang w:val="en-ID"/>
        </w:rPr>
        <w:fldChar w:fldCharType="begin" w:fldLock="1"/>
      </w:r>
      <w:r w:rsidR="00221389">
        <w:rPr>
          <w:rFonts w:ascii="Times New Roman" w:hAnsi="Times New Roman" w:cs="Times New Roman"/>
          <w:sz w:val="24"/>
          <w:szCs w:val="24"/>
          <w:lang w:val="en-ID"/>
        </w:rPr>
        <w:instrText>ADDIN CSL_CITATION {"citationItems":[{"id":"ITEM-1","itemData":{"author":[{"dropping-particle":"","family":"Majah","given":"Muhammad bin Yazid Ibnu","non-dropping-particle":"","parse-names":false,"suffix":""}],"edition":"No. Hadis ","id":"ITEM-1","issued":{"date-parts":[["2020"]]},"number-of-pages":"147","publisher":"Dar Ihya At-Turots","publisher-place":"Beirut","title":"Sunan Ibnu Majah","type":"book"},"uris":["http://www.mendeley.com/documents/?uuid=6c04565f-e52e-446b-89d6-198882640115","http://www.mendeley.com/documents/?uuid=1c613d8c-34de-4f29-9da1-99d453676679"]}],"mendeley":{"formattedCitation":"(Majah, 2020)","plainTextFormattedCitation":"(Majah, 2020)","previouslyFormattedCitation":"(Majah, 2020)"},"properties":{"noteIndex":0},"schema":"https://github.com/citation-style-language/schema/raw/master/csl-citation.json"}</w:instrText>
      </w:r>
      <w:r w:rsidR="000A10D4">
        <w:rPr>
          <w:rFonts w:ascii="Times New Roman" w:hAnsi="Times New Roman" w:cs="Times New Roman"/>
          <w:sz w:val="24"/>
          <w:szCs w:val="24"/>
          <w:lang w:val="en-ID"/>
        </w:rPr>
        <w:fldChar w:fldCharType="separate"/>
      </w:r>
      <w:r w:rsidR="000A10D4" w:rsidRPr="000A10D4">
        <w:rPr>
          <w:rFonts w:ascii="Times New Roman" w:hAnsi="Times New Roman" w:cs="Times New Roman"/>
          <w:noProof/>
          <w:sz w:val="24"/>
          <w:szCs w:val="24"/>
          <w:lang w:val="en-ID"/>
        </w:rPr>
        <w:t>(Majah, 2020)</w:t>
      </w:r>
      <w:r w:rsidR="000A10D4">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w:t>
      </w:r>
      <w:r w:rsidRPr="00F61737">
        <w:rPr>
          <w:rStyle w:val="FootnoteReference"/>
          <w:rFonts w:cs="Times New Roman"/>
          <w:i/>
          <w:iCs/>
          <w:szCs w:val="24"/>
          <w:lang w:val="en-ID"/>
        </w:rPr>
        <w:t xml:space="preserve"> </w:t>
      </w:r>
      <w:r w:rsidRPr="00F61737">
        <w:rPr>
          <w:rFonts w:ascii="Times New Roman" w:hAnsi="Times New Roman" w:cs="Times New Roman"/>
          <w:sz w:val="24"/>
          <w:szCs w:val="24"/>
          <w:lang w:val="en-ID"/>
        </w:rPr>
        <w:t xml:space="preserve">Another relevant hadith encourages planting trees as part of </w:t>
      </w:r>
      <w:r w:rsidRPr="00F61737">
        <w:rPr>
          <w:rFonts w:ascii="Times New Roman" w:hAnsi="Times New Roman" w:cs="Times New Roman"/>
          <w:i/>
          <w:iCs/>
          <w:sz w:val="24"/>
          <w:szCs w:val="24"/>
          <w:lang w:val="en-ID"/>
        </w:rPr>
        <w:t>sadaqah jariyah</w:t>
      </w:r>
      <w:r w:rsidRPr="00F61737">
        <w:rPr>
          <w:rFonts w:ascii="Times New Roman" w:hAnsi="Times New Roman" w:cs="Times New Roman"/>
          <w:sz w:val="24"/>
          <w:szCs w:val="24"/>
          <w:lang w:val="en-ID"/>
        </w:rPr>
        <w:t xml:space="preserve"> (ongoing charity). The Prophet (pbuh) said: </w:t>
      </w:r>
      <w:r w:rsidRPr="00F61737">
        <w:rPr>
          <w:rFonts w:ascii="Times New Roman" w:hAnsi="Times New Roman" w:cs="Times New Roman"/>
          <w:i/>
          <w:iCs/>
          <w:sz w:val="24"/>
          <w:szCs w:val="24"/>
          <w:lang w:val="en-ID"/>
        </w:rPr>
        <w:t>"Whenever a Muslim plants a tree or sows seeds, and a human, animal, or bird eats from it, it is regarded as a charity for him"</w:t>
      </w:r>
      <w:r w:rsidR="00E67B92">
        <w:rPr>
          <w:rFonts w:ascii="Times New Roman" w:hAnsi="Times New Roman" w:cs="Times New Roman"/>
          <w:i/>
          <w:iCs/>
          <w:sz w:val="24"/>
          <w:szCs w:val="24"/>
          <w:lang w:val="en-ID"/>
        </w:rPr>
        <w:t xml:space="preserve"> </w:t>
      </w:r>
      <w:r w:rsidR="00E67B92">
        <w:rPr>
          <w:rFonts w:ascii="Times New Roman" w:hAnsi="Times New Roman" w:cs="Times New Roman"/>
          <w:i/>
          <w:iCs/>
          <w:sz w:val="24"/>
          <w:szCs w:val="24"/>
          <w:lang w:val="en-ID"/>
        </w:rPr>
        <w:fldChar w:fldCharType="begin" w:fldLock="1"/>
      </w:r>
      <w:r w:rsidR="00221389">
        <w:rPr>
          <w:rFonts w:ascii="Times New Roman" w:hAnsi="Times New Roman" w:cs="Times New Roman"/>
          <w:i/>
          <w:iCs/>
          <w:sz w:val="24"/>
          <w:szCs w:val="24"/>
          <w:lang w:val="en-ID"/>
        </w:rPr>
        <w:instrText>ADDIN CSL_CITATION {"citationItems":[{"id":"ITEM-1","itemData":{"author":[{"dropping-particle":"","family":"Khalik","given":"Subehan","non-dropping-particle":"","parse-names":false,"suffix":""},{"dropping-particle":"","family":"Ansari","given":"Mujaddid","non-dropping-particle":"","parse-names":false,"suffix":""}],"container-title":"Ihyaussunna","id":"ITEM-1","issue":"2","issued":{"date-parts":[["2021"]]},"page":"91-103","title":"Silsilah al-Żahāb dalam Ṣaḥīḥ al-Bukhārī","type":"article-journal","volume":"1"},"uris":["http://www.mendeley.com/documents/?uuid=03a1b181-8d68-47aa-b400-32ecd68d836d","http://www.mendeley.com/documents/?uuid=ac5aa2f7-cca2-478f-8849-fba656c2c543"]}],"mendeley":{"formattedCitation":"(Khalik &amp; Ansari, 2021)","plainTextFormattedCitation":"(Khalik &amp; Ansari, 2021)","previouslyFormattedCitation":"(Khalik &amp; Ansari, 2021)"},"properties":{"noteIndex":0},"schema":"https://github.com/citation-style-language/schema/raw/master/csl-citation.json"}</w:instrText>
      </w:r>
      <w:r w:rsidR="00E67B92">
        <w:rPr>
          <w:rFonts w:ascii="Times New Roman" w:hAnsi="Times New Roman" w:cs="Times New Roman"/>
          <w:i/>
          <w:iCs/>
          <w:sz w:val="24"/>
          <w:szCs w:val="24"/>
          <w:lang w:val="en-ID"/>
        </w:rPr>
        <w:fldChar w:fldCharType="separate"/>
      </w:r>
      <w:r w:rsidR="00E67B92" w:rsidRPr="00E67B92">
        <w:rPr>
          <w:rFonts w:ascii="Times New Roman" w:hAnsi="Times New Roman" w:cs="Times New Roman"/>
          <w:iCs/>
          <w:noProof/>
          <w:sz w:val="24"/>
          <w:szCs w:val="24"/>
          <w:lang w:val="en-ID"/>
        </w:rPr>
        <w:t>(Khalik &amp; Ansari, 2021)</w:t>
      </w:r>
      <w:r w:rsidR="00E67B92">
        <w:rPr>
          <w:rFonts w:ascii="Times New Roman" w:hAnsi="Times New Roman" w:cs="Times New Roman"/>
          <w:i/>
          <w:iCs/>
          <w:sz w:val="24"/>
          <w:szCs w:val="24"/>
          <w:lang w:val="en-ID"/>
        </w:rPr>
        <w:fldChar w:fldCharType="end"/>
      </w:r>
      <w:r w:rsidR="00E67B92">
        <w:rPr>
          <w:rFonts w:ascii="Times New Roman" w:hAnsi="Times New Roman" w:cs="Times New Roman"/>
          <w:i/>
          <w:iCs/>
          <w:sz w:val="24"/>
          <w:szCs w:val="24"/>
          <w:lang w:val="en-ID"/>
        </w:rPr>
        <w:t>.</w:t>
      </w:r>
      <w:r w:rsidRPr="00F61737">
        <w:rPr>
          <w:rFonts w:ascii="Times New Roman" w:hAnsi="Times New Roman" w:cs="Times New Roman"/>
          <w:sz w:val="24"/>
          <w:szCs w:val="24"/>
          <w:lang w:val="en-ID"/>
        </w:rPr>
        <w:t xml:space="preserve"> This hadith not only highlights the ecological benefits of greening but also links it to sustainable spiritual values. Conversely, Islam also prohibits destructive actions towards nature, such as the hadith forbidding the arbitrary cutting of trees, particularly in the context of war</w:t>
      </w:r>
      <w:r w:rsidR="00E67B92">
        <w:rPr>
          <w:rFonts w:ascii="Times New Roman" w:hAnsi="Times New Roman" w:cs="Times New Roman"/>
          <w:sz w:val="24"/>
          <w:szCs w:val="24"/>
          <w:lang w:val="en-ID"/>
        </w:rPr>
        <w:t xml:space="preserve"> </w:t>
      </w:r>
      <w:r w:rsidR="00E67B92">
        <w:rPr>
          <w:rFonts w:ascii="Times New Roman" w:hAnsi="Times New Roman" w:cs="Times New Roman"/>
          <w:sz w:val="24"/>
          <w:szCs w:val="24"/>
          <w:lang w:val="en-ID"/>
        </w:rPr>
        <w:fldChar w:fldCharType="begin" w:fldLock="1"/>
      </w:r>
      <w:r w:rsidR="00221389">
        <w:rPr>
          <w:rFonts w:ascii="Times New Roman" w:hAnsi="Times New Roman" w:cs="Times New Roman"/>
          <w:sz w:val="24"/>
          <w:szCs w:val="24"/>
          <w:lang w:val="en-ID"/>
        </w:rPr>
        <w:instrText>ADDIN CSL_CITATION {"citationItems":[{"id":"ITEM-1","itemData":{"author":[{"dropping-particle":"bin","family":"Hanbal","given":"Ahmad","non-dropping-particle":"","parse-names":false,"suffix":""}],"edition":"No. Hadis ","id":"ITEM-1","issued":{"date-parts":[["2001"]]},"number-of-pages":"269","publisher":"Ar-Risalah","publisher-place":"Turki","title":"Musnad Ahmad Bin Hanbal","type":"book"},"uris":["http://www.mendeley.com/documents/?uuid=1f6c41f5-846e-412e-89c1-72170075ed3b","http://www.mendeley.com/documents/?uuid=bfdf9957-f6b4-4193-9848-0dadc437dad6"]}],"mendeley":{"formattedCitation":"(Hanbal, 2001)","plainTextFormattedCitation":"(Hanbal, 2001)","previouslyFormattedCitation":"(Hanbal, 2001)"},"properties":{"noteIndex":0},"schema":"https://github.com/citation-style-language/schema/raw/master/csl-citation.json"}</w:instrText>
      </w:r>
      <w:r w:rsidR="00E67B92">
        <w:rPr>
          <w:rFonts w:ascii="Times New Roman" w:hAnsi="Times New Roman" w:cs="Times New Roman"/>
          <w:sz w:val="24"/>
          <w:szCs w:val="24"/>
          <w:lang w:val="en-ID"/>
        </w:rPr>
        <w:fldChar w:fldCharType="separate"/>
      </w:r>
      <w:r w:rsidR="00E67B92" w:rsidRPr="00E67B92">
        <w:rPr>
          <w:rFonts w:ascii="Times New Roman" w:hAnsi="Times New Roman" w:cs="Times New Roman"/>
          <w:noProof/>
          <w:sz w:val="24"/>
          <w:szCs w:val="24"/>
          <w:lang w:val="en-ID"/>
        </w:rPr>
        <w:t>(Hanbal, 2001)</w:t>
      </w:r>
      <w:r w:rsidR="00E67B92">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 These hadiths serve as the foundation for various eco-theological campaigns that advocate for a balance between the utilization and preservation of the environment from an Islamic perspective</w:t>
      </w:r>
      <w:r w:rsidR="00B92E45">
        <w:rPr>
          <w:rFonts w:ascii="Times New Roman" w:hAnsi="Times New Roman" w:cs="Times New Roman"/>
          <w:sz w:val="24"/>
          <w:szCs w:val="24"/>
          <w:lang w:val="en-ID"/>
        </w:rPr>
        <w:t xml:space="preserve"> </w:t>
      </w:r>
      <w:r w:rsidR="00B92E45">
        <w:rPr>
          <w:rFonts w:ascii="Times New Roman" w:hAnsi="Times New Roman" w:cs="Times New Roman"/>
          <w:sz w:val="24"/>
          <w:szCs w:val="24"/>
          <w:lang w:val="en-ID"/>
        </w:rPr>
        <w:fldChar w:fldCharType="begin" w:fldLock="1"/>
      </w:r>
      <w:r w:rsidR="00B92E45">
        <w:rPr>
          <w:rFonts w:ascii="Times New Roman" w:hAnsi="Times New Roman" w:cs="Times New Roman"/>
          <w:sz w:val="24"/>
          <w:szCs w:val="24"/>
          <w:lang w:val="en-ID"/>
        </w:rPr>
        <w:instrText>ADDIN CSL_CITATION {"citationItems":[{"id":"ITEM-1","itemData":{"DOI":"10.26555/ijish.v5i1.5853","ISSN":"2614-3836","abstract":"One of the global crises experienced by the world is the ecological crisis. Various kinds of natural disasters cannot be separated from the environmental damage that occurs cumulatively and collectively. Excessive use of technology and development that does not care about the environment can damage nature; as mentioned in Islam, preserving nature is one of the tasks of human beings. Scholars have written a lot regarding the concept of maintaining nature based on the Qur'an. However, this effort has not been thoroughly carried out on the hadith. This is evidenced in the discussion of the hadiths in classical fiqh books, which are more focused on the 'ubūdiyyah syar'iyyah aspect, such as the problem of tahārah. These hadiths have the potential to be understood more contextually and ecologically. Based on this, this paper tries to answer academic questions, how is the understanding of hadiths that can respond to the global ecological crisis? The author attempts to understand these traditions by the interconnective method to broaden the scope of meaning.  The data used are the main books of hadith, books of hadith that explain from the fiqh perspective and some factual data regarding the ecological crisis. This paper aims to produce contextual meanings that respond positively to various environmental problems globally and locally.","author":[{"dropping-particle":"","family":"Kholis","given":"Nur","non-dropping-particle":"","parse-names":false,"suffix":""},{"dropping-particle":"","family":"Aulassyahied","given":"Qaem","non-dropping-particle":"","parse-names":false,"suffix":""}],"container-title":"IJISH (International Journal of Islamic Studies and Humanities)","id":"ITEM-1","issue":"1","issued":{"date-parts":[["2022"]]},"page":"25-41","title":"Understanding Ecological Hadiths With Interconnective Approaches in Responding to Ecological Problems","type":"article-journal","volume":"5"},"uris":["http://www.mendeley.com/documents/?uuid=7b038563-21a4-4232-bef1-0470d4f84ba7"]}],"mendeley":{"formattedCitation":"(Kholis &amp; Aulassyahied, 2022)","plainTextFormattedCitation":"(Kholis &amp; Aulassyahied, 2022)","previouslyFormattedCitation":"(Kholis &amp; Aulassyahied, 2022)"},"properties":{"noteIndex":0},"schema":"https://github.com/citation-style-language/schema/raw/master/csl-citation.json"}</w:instrText>
      </w:r>
      <w:r w:rsidR="00B92E45">
        <w:rPr>
          <w:rFonts w:ascii="Times New Roman" w:hAnsi="Times New Roman" w:cs="Times New Roman"/>
          <w:sz w:val="24"/>
          <w:szCs w:val="24"/>
          <w:lang w:val="en-ID"/>
        </w:rPr>
        <w:fldChar w:fldCharType="separate"/>
      </w:r>
      <w:r w:rsidR="00B92E45" w:rsidRPr="00B92E45">
        <w:rPr>
          <w:rFonts w:ascii="Times New Roman" w:hAnsi="Times New Roman" w:cs="Times New Roman"/>
          <w:noProof/>
          <w:sz w:val="24"/>
          <w:szCs w:val="24"/>
          <w:lang w:val="en-ID"/>
        </w:rPr>
        <w:t>(Kholis &amp; Aulassyahied, 2022)</w:t>
      </w:r>
      <w:r w:rsidR="00B92E45">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w:t>
      </w:r>
    </w:p>
    <w:p w14:paraId="5A34F8E4" w14:textId="030BDC93" w:rsidR="00F61737" w:rsidRP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 xml:space="preserve">In providing an eco-theological reinterpretation of these texts, Muslim scholars do not adhere to a uniform approach. Some apply the </w:t>
      </w:r>
      <w:r w:rsidRPr="00F61737">
        <w:rPr>
          <w:rFonts w:ascii="Times New Roman" w:hAnsi="Times New Roman" w:cs="Times New Roman"/>
          <w:i/>
          <w:iCs/>
          <w:sz w:val="24"/>
          <w:szCs w:val="24"/>
          <w:lang w:val="en-ID"/>
        </w:rPr>
        <w:t>ma‘ānī al-ḥadīṡ</w:t>
      </w:r>
      <w:r w:rsidRPr="00F61737">
        <w:rPr>
          <w:rFonts w:ascii="Times New Roman" w:hAnsi="Times New Roman" w:cs="Times New Roman"/>
          <w:sz w:val="24"/>
          <w:szCs w:val="24"/>
          <w:lang w:val="en-ID"/>
        </w:rPr>
        <w:t xml:space="preserve"> approach, focusing on the meaning of hadiths within their historical and linguistic contexts</w:t>
      </w:r>
      <w:r w:rsidR="00B92E45">
        <w:rPr>
          <w:rFonts w:ascii="Times New Roman" w:hAnsi="Times New Roman" w:cs="Times New Roman"/>
          <w:sz w:val="24"/>
          <w:szCs w:val="24"/>
          <w:lang w:val="en-ID"/>
        </w:rPr>
        <w:t xml:space="preserve"> </w:t>
      </w:r>
      <w:r w:rsidR="00B92E45">
        <w:rPr>
          <w:rFonts w:ascii="Times New Roman" w:hAnsi="Times New Roman" w:cs="Times New Roman"/>
          <w:sz w:val="24"/>
          <w:szCs w:val="24"/>
          <w:lang w:val="en-ID"/>
        </w:rPr>
        <w:fldChar w:fldCharType="begin" w:fldLock="1"/>
      </w:r>
      <w:r w:rsidR="00AD3B39">
        <w:rPr>
          <w:rFonts w:ascii="Times New Roman" w:hAnsi="Times New Roman" w:cs="Times New Roman"/>
          <w:sz w:val="24"/>
          <w:szCs w:val="24"/>
          <w:lang w:val="en-ID"/>
        </w:rPr>
        <w:instrText>ADDIN CSL_CITATION {"citationItems":[{"id":"ITEM-1","itemData":{"DOI":"10.28918/jupe.v14i2.970","ISSN":"1829-9903","abstract":"Lack of understanding religious texts, anthropocentric views and lack of integral consciousness of human in the universe are the causes of environmental damages. Understanding of environmental prophetic message in hadith is one way to solve the problems. The sentences relating to preserving the environment in the hadith are ḥafiẓa and ra‘ā, while those affiliated to destruction are fasada and halaka. By using thematic approaches to the sentence in various texts of hadith, there are basic ideas about environmental prophetic message delivered by Rasulullah PBUH. In preserving the environment, prophetic messages cover maintenance goals, inclusive ownership, positive contributions, using based on uses, sustainable program, limit uses, and jointly supervised on using environment. The environmental damages include exploitative goals, exclusive ownership, negative contributions, incorrect uses, unsustainable programs, unlimited uses, and self-supervised. The religious texts on the environment in hadith are not preserved text. These texts should always be lived on to bring a new interpretation of the existing environmental phenomenon. Keywords: hadith, prophetic messages, environment, prophetic ecocentrism","author":[{"dropping-particle":"","family":"Akmaluddin","given":"Muhammad","non-dropping-particle":"","parse-names":false,"suffix":""}],"container-title":"Jurnal Penelitian","id":"ITEM-1","issue":"2","issued":{"date-parts":[["2017"]]},"page":"149-170","title":"Pesan Profetik Lingkungan dalam Hadis","type":"article-journal","volume":"14"},"uris":["http://www.mendeley.com/documents/?uuid=11c80a9e-0e95-4258-b0eb-77345ed506f0"]}],"mendeley":{"formattedCitation":"(Akmaluddin, 2017)","plainTextFormattedCitation":"(Akmaluddin, 2017)","previouslyFormattedCitation":"(Akmaluddin, 2017)"},"properties":{"noteIndex":0},"schema":"https://github.com/citation-style-language/schema/raw/master/csl-citation.json"}</w:instrText>
      </w:r>
      <w:r w:rsidR="00B92E45">
        <w:rPr>
          <w:rFonts w:ascii="Times New Roman" w:hAnsi="Times New Roman" w:cs="Times New Roman"/>
          <w:sz w:val="24"/>
          <w:szCs w:val="24"/>
          <w:lang w:val="en-ID"/>
        </w:rPr>
        <w:fldChar w:fldCharType="separate"/>
      </w:r>
      <w:r w:rsidR="00B92E45" w:rsidRPr="00B92E45">
        <w:rPr>
          <w:rFonts w:ascii="Times New Roman" w:hAnsi="Times New Roman" w:cs="Times New Roman"/>
          <w:noProof/>
          <w:sz w:val="24"/>
          <w:szCs w:val="24"/>
          <w:lang w:val="en-ID"/>
        </w:rPr>
        <w:t>(Akmaluddin, 2017)</w:t>
      </w:r>
      <w:r w:rsidR="00B92E45">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 xml:space="preserve">. Others adopt </w:t>
      </w:r>
      <w:r w:rsidRPr="00F61737">
        <w:rPr>
          <w:rFonts w:ascii="Times New Roman" w:hAnsi="Times New Roman" w:cs="Times New Roman"/>
          <w:i/>
          <w:iCs/>
          <w:sz w:val="24"/>
          <w:szCs w:val="24"/>
          <w:lang w:val="en-ID"/>
        </w:rPr>
        <w:t>fiqh al-maqāṣid</w:t>
      </w:r>
      <w:r w:rsidRPr="00F61737">
        <w:rPr>
          <w:rFonts w:ascii="Times New Roman" w:hAnsi="Times New Roman" w:cs="Times New Roman"/>
          <w:sz w:val="24"/>
          <w:szCs w:val="24"/>
          <w:lang w:val="en-ID"/>
        </w:rPr>
        <w:t>, examining the texts through the lens of the objectives of Islamic law (</w:t>
      </w:r>
      <w:r w:rsidRPr="00F61737">
        <w:rPr>
          <w:rFonts w:ascii="Times New Roman" w:hAnsi="Times New Roman" w:cs="Times New Roman"/>
          <w:i/>
          <w:iCs/>
          <w:sz w:val="24"/>
          <w:szCs w:val="24"/>
          <w:lang w:val="en-ID"/>
        </w:rPr>
        <w:t>maqāṣid syarī‘ah</w:t>
      </w:r>
      <w:r w:rsidRPr="00F61737">
        <w:rPr>
          <w:rFonts w:ascii="Times New Roman" w:hAnsi="Times New Roman" w:cs="Times New Roman"/>
          <w:sz w:val="24"/>
          <w:szCs w:val="24"/>
          <w:lang w:val="en-ID"/>
        </w:rPr>
        <w:t>), positioning environmental issues within Islam’s primary mission to preserve the public good (</w:t>
      </w:r>
      <w:r w:rsidRPr="00F61737">
        <w:rPr>
          <w:rFonts w:ascii="Times New Roman" w:hAnsi="Times New Roman" w:cs="Times New Roman"/>
          <w:i/>
          <w:iCs/>
          <w:sz w:val="24"/>
          <w:szCs w:val="24"/>
          <w:lang w:val="en-ID"/>
        </w:rPr>
        <w:t>maslahah</w:t>
      </w:r>
      <w:r w:rsidRPr="00F61737">
        <w:rPr>
          <w:rFonts w:ascii="Times New Roman" w:hAnsi="Times New Roman" w:cs="Times New Roman"/>
          <w:sz w:val="24"/>
          <w:szCs w:val="24"/>
          <w:lang w:val="en-ID"/>
        </w:rPr>
        <w:t>)</w:t>
      </w:r>
      <w:r w:rsidR="00B92E45">
        <w:rPr>
          <w:rFonts w:ascii="Times New Roman" w:hAnsi="Times New Roman" w:cs="Times New Roman"/>
          <w:sz w:val="24"/>
          <w:szCs w:val="24"/>
          <w:lang w:val="en-ID"/>
        </w:rPr>
        <w:t xml:space="preserve"> </w:t>
      </w:r>
      <w:r w:rsidR="00AD3B39">
        <w:rPr>
          <w:rFonts w:ascii="Times New Roman" w:hAnsi="Times New Roman" w:cs="Times New Roman"/>
          <w:sz w:val="24"/>
          <w:szCs w:val="24"/>
          <w:lang w:val="en-ID"/>
        </w:rPr>
        <w:fldChar w:fldCharType="begin" w:fldLock="1"/>
      </w:r>
      <w:r w:rsidR="000D3719">
        <w:rPr>
          <w:rFonts w:ascii="Times New Roman" w:hAnsi="Times New Roman" w:cs="Times New Roman"/>
          <w:sz w:val="24"/>
          <w:szCs w:val="24"/>
          <w:lang w:val="en-ID"/>
        </w:rPr>
        <w:instrText>ADDIN CSL_CITATION {"citationItems":[{"id":"ITEM-1","itemData":{"DOI":"10.61570/syariah.v1i2.31","ISSN":"3025-3373","abstract":"Climate change and environmental damage are global issues that affect all humans on earth. Therefore, all levels of society, including Islamic scholars and thinkers, have an obligation to contribute to maintaining the environment to remain sustainable and sustainable. Ecological jurisprudence is a concept of how Islamic teachings can be applied in an effort to protect the environment through an approach based on the concept of maslahat as the core of sharia maqashid. Maslahat (benefit) is one of the important principles in jurisprudence that refers to the noble goal to be achieved in the teachings of this religion, namely the survival of a just, harmonious, and just life. Therefore, the purpose of this study is to analyze how the concept of ecological jurisprudence is applied in order to care for the mashlahat-based environment. To achieve this goal, the method used is the library reseach method using a qualitative approach. The collected data was analyzed using concepts offered by Milles and Huberman, namely data reduction, data presentation and conclusion/verification. The conclusion is that Ecological jurisprudence is a new breakthrough in answering the problem of sustainability and environmental law, so the formulation of the concept of mashlahah is important to build sustainable views and actions on the environment, so as to create a balance of the environment and nature, and ensure long-term benefits for all of God's creation. The concept of mashlahah as the core of maqashid sharia refers to all forms of goodness that have worldly and ukhrawi dimensions, material and spiritual as well as individual and collective.","author":[{"dropping-particle":"","family":"Waheeda binti H. Abdul Rahman","given":"","non-dropping-particle":"","parse-names":false,"suffix":""},{"dropping-particle":"","family":"Mutakin","given":"Ali","non-dropping-particle":"","parse-names":false,"suffix":""}],"container-title":"Syariah: Journal of Fiqh Studies","id":"ITEM-1","issue":"2","issued":{"date-parts":[["2023"]]},"page":"107-126","title":"Fiqh Ekologi; Upaya Merawat Lingkungan Hidup Berbasis Konsep Maqashid Syariah","type":"article-journal","volume":"1"},"uris":["http://www.mendeley.com/documents/?uuid=e609704c-b066-4f24-8d20-5615f13b97e6"]}],"mendeley":{"formattedCitation":"(Waheeda binti H. Abdul Rahman &amp; Mutakin, 2023)","manualFormatting":"(Rahman &amp; Mutakin, 2023)","plainTextFormattedCitation":"(Waheeda binti H. Abdul Rahman &amp; Mutakin, 2023)","previouslyFormattedCitation":"(Waheeda binti H. Abdul Rahman &amp; Mutakin, 2023)"},"properties":{"noteIndex":0},"schema":"https://github.com/citation-style-language/schema/raw/master/csl-citation.json"}</w:instrText>
      </w:r>
      <w:r w:rsidR="00AD3B39">
        <w:rPr>
          <w:rFonts w:ascii="Times New Roman" w:hAnsi="Times New Roman" w:cs="Times New Roman"/>
          <w:sz w:val="24"/>
          <w:szCs w:val="24"/>
          <w:lang w:val="en-ID"/>
        </w:rPr>
        <w:fldChar w:fldCharType="separate"/>
      </w:r>
      <w:r w:rsidR="00AD3B39" w:rsidRPr="00AD3B39">
        <w:rPr>
          <w:rFonts w:ascii="Times New Roman" w:hAnsi="Times New Roman" w:cs="Times New Roman"/>
          <w:noProof/>
          <w:sz w:val="24"/>
          <w:szCs w:val="24"/>
          <w:lang w:val="en-ID"/>
        </w:rPr>
        <w:t>(Rahman &amp; Mutakin, 2023)</w:t>
      </w:r>
      <w:r w:rsidR="00AD3B39">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 There are also those who employ Fazlur Rahman's double-movement approach, tracing the historical context of hadiths and then expanding them into universal principles applicable in modern contexts</w:t>
      </w:r>
      <w:r w:rsidR="00AD3B39">
        <w:rPr>
          <w:rFonts w:ascii="Times New Roman" w:hAnsi="Times New Roman" w:cs="Times New Roman"/>
          <w:sz w:val="24"/>
          <w:szCs w:val="24"/>
          <w:lang w:val="en-ID"/>
        </w:rPr>
        <w:t xml:space="preserve"> </w:t>
      </w:r>
      <w:r w:rsidR="00AD3B39">
        <w:rPr>
          <w:rFonts w:ascii="Times New Roman" w:hAnsi="Times New Roman" w:cs="Times New Roman"/>
          <w:sz w:val="24"/>
          <w:szCs w:val="24"/>
          <w:lang w:val="en-ID"/>
        </w:rPr>
        <w:fldChar w:fldCharType="begin" w:fldLock="1"/>
      </w:r>
      <w:r w:rsidR="00AD3B39">
        <w:rPr>
          <w:rFonts w:ascii="Times New Roman" w:hAnsi="Times New Roman" w:cs="Times New Roman"/>
          <w:sz w:val="24"/>
          <w:szCs w:val="24"/>
          <w:lang w:val="en-ID"/>
        </w:rPr>
        <w:instrText>ADDIN CSL_CITATION {"citationItems":[{"id":"ITEM-1","itemData":{"author":[{"dropping-particle":"","family":"Firas","given":"Muhammad Farhan","non-dropping-particle":"","parse-names":false,"suffix":""},{"dropping-particle":"","family":"Andriansyah","given":"Wiza Atholla","non-dropping-particle":"","parse-names":false,"suffix":""},{"dropping-particle":"","family":"Saifullah","given":"","non-dropping-particle":"","parse-names":false,"suffix":""}],"container-title":"Journal of Humanities Issue","id":"ITEM-1","issue":"2","issued":{"date-parts":[["2024"]]},"page":"105-115","title":"Deep Ecology : Telaah Atas Pandangan Ekologi Fazlur Rahman dengan lingkungan sekitarnya . 1 Menurut ajaran Islam , Allah SWT telah menciptakan segala Pemahaman tentang keterjalinan hubungan antara manusia dengan lingkungannya melalui pendekatan struktural","type":"article-journal","volume":"2"},"uris":["http://www.mendeley.com/documents/?uuid=e6579fc9-f8fe-4abf-b8b8-162322951e10"]}],"mendeley":{"formattedCitation":"(Firas et al., 2024)","plainTextFormattedCitation":"(Firas et al., 2024)","previouslyFormattedCitation":"(Firas et al., 2024)"},"properties":{"noteIndex":0},"schema":"https://github.com/citation-style-language/schema/raw/master/csl-citation.json"}</w:instrText>
      </w:r>
      <w:r w:rsidR="00AD3B39">
        <w:rPr>
          <w:rFonts w:ascii="Times New Roman" w:hAnsi="Times New Roman" w:cs="Times New Roman"/>
          <w:sz w:val="24"/>
          <w:szCs w:val="24"/>
          <w:lang w:val="en-ID"/>
        </w:rPr>
        <w:fldChar w:fldCharType="separate"/>
      </w:r>
      <w:r w:rsidR="00AD3B39" w:rsidRPr="00AD3B39">
        <w:rPr>
          <w:rFonts w:ascii="Times New Roman" w:hAnsi="Times New Roman" w:cs="Times New Roman"/>
          <w:noProof/>
          <w:sz w:val="24"/>
          <w:szCs w:val="24"/>
          <w:lang w:val="en-ID"/>
        </w:rPr>
        <w:t>(Firas et al., 2024)</w:t>
      </w:r>
      <w:r w:rsidR="00AD3B39">
        <w:rPr>
          <w:rFonts w:ascii="Times New Roman" w:hAnsi="Times New Roman" w:cs="Times New Roman"/>
          <w:sz w:val="24"/>
          <w:szCs w:val="24"/>
          <w:lang w:val="en-ID"/>
        </w:rPr>
        <w:fldChar w:fldCharType="end"/>
      </w:r>
      <w:r w:rsidR="00AD3B39">
        <w:rPr>
          <w:rFonts w:ascii="Times New Roman" w:hAnsi="Times New Roman" w:cs="Times New Roman"/>
          <w:sz w:val="24"/>
          <w:szCs w:val="24"/>
          <w:lang w:val="en-ID"/>
        </w:rPr>
        <w:t>.</w:t>
      </w:r>
      <w:r w:rsidRPr="00F61737">
        <w:rPr>
          <w:rFonts w:ascii="Times New Roman" w:hAnsi="Times New Roman" w:cs="Times New Roman"/>
          <w:sz w:val="24"/>
          <w:szCs w:val="24"/>
          <w:lang w:val="en-ID"/>
        </w:rPr>
        <w:t xml:space="preserve"> Meanwhile, the interconnective approach typical of UIN Sunan Kalijaga attempts to bridge theological, sociological, and scientific perspectives in understanding religious texts related to ecology</w:t>
      </w:r>
      <w:r w:rsidR="00AD3B39">
        <w:rPr>
          <w:rFonts w:ascii="Times New Roman" w:hAnsi="Times New Roman" w:cs="Times New Roman"/>
          <w:sz w:val="24"/>
          <w:szCs w:val="24"/>
          <w:lang w:val="en-ID"/>
        </w:rPr>
        <w:t xml:space="preserve"> </w:t>
      </w:r>
      <w:r w:rsidR="00AD3B39">
        <w:rPr>
          <w:rFonts w:ascii="Times New Roman" w:hAnsi="Times New Roman" w:cs="Times New Roman"/>
          <w:sz w:val="24"/>
          <w:szCs w:val="24"/>
          <w:lang w:val="en-ID"/>
        </w:rPr>
        <w:fldChar w:fldCharType="begin" w:fldLock="1"/>
      </w:r>
      <w:r w:rsidR="00AD3B39">
        <w:rPr>
          <w:rFonts w:ascii="Times New Roman" w:hAnsi="Times New Roman" w:cs="Times New Roman"/>
          <w:sz w:val="24"/>
          <w:szCs w:val="24"/>
          <w:lang w:val="en-ID"/>
        </w:rPr>
        <w:instrText>ADDIN CSL_CITATION {"citationItems":[{"id":"ITEM-1","itemData":{"DOI":"10.26555/ijish.v5i1.5853","ISSN":"2614-3836","abstract":"One of the global crises experienced by the world is the ecological crisis. Various kinds of natural disasters cannot be separated from the environmental damage that occurs cumulatively and collectively. Excessive use of technology and development that does not care about the environment can damage nature; as mentioned in Islam, preserving nature is one of the tasks of human beings. Scholars have written a lot regarding the concept of maintaining nature based on the Qur'an. However, this effort has not been thoroughly carried out on the hadith. This is evidenced in the discussion of the hadiths in classical fiqh books, which are more focused on the 'ubūdiyyah syar'iyyah aspect, such as the problem of tahārah. These hadiths have the potential to be understood more contextually and ecologically. Based on this, this paper tries to answer academic questions, how is the understanding of hadiths that can respond to the global ecological crisis? The author attempts to understand these traditions by the interconnective method to broaden the scope of meaning.  The data used are the main books of hadith, books of hadith that explain from the fiqh perspective and some factual data regarding the ecological crisis. This paper aims to produce contextual meanings that respond positively to various environmental problems globally and locally.","author":[{"dropping-particle":"","family":"Kholis","given":"Nur","non-dropping-particle":"","parse-names":false,"suffix":""},{"dropping-particle":"","family":"Aulassyahied","given":"Qaem","non-dropping-particle":"","parse-names":false,"suffix":""}],"container-title":"IJISH (International Journal of Islamic Studies and Humanities)","id":"ITEM-1","issue":"1","issued":{"date-parts":[["2022"]]},"page":"25-41","title":"Understanding Ecological Hadiths With Interconnective Approaches in Responding to Ecological Problems","type":"article-journal","volume":"5"},"uris":["http://www.mendeley.com/documents/?uuid=7b038563-21a4-4232-bef1-0470d4f84ba7"]}],"mendeley":{"formattedCitation":"(Kholis &amp; Aulassyahied, 2022)","plainTextFormattedCitation":"(Kholis &amp; Aulassyahied, 2022)","previouslyFormattedCitation":"(Kholis &amp; Aulassyahied, 2022)"},"properties":{"noteIndex":0},"schema":"https://github.com/citation-style-language/schema/raw/master/csl-citation.json"}</w:instrText>
      </w:r>
      <w:r w:rsidR="00AD3B39">
        <w:rPr>
          <w:rFonts w:ascii="Times New Roman" w:hAnsi="Times New Roman" w:cs="Times New Roman"/>
          <w:sz w:val="24"/>
          <w:szCs w:val="24"/>
          <w:lang w:val="en-ID"/>
        </w:rPr>
        <w:fldChar w:fldCharType="separate"/>
      </w:r>
      <w:r w:rsidR="00AD3B39" w:rsidRPr="00AD3B39">
        <w:rPr>
          <w:rFonts w:ascii="Times New Roman" w:hAnsi="Times New Roman" w:cs="Times New Roman"/>
          <w:noProof/>
          <w:sz w:val="24"/>
          <w:szCs w:val="24"/>
          <w:lang w:val="en-ID"/>
        </w:rPr>
        <w:t>(Kholis &amp; Aulassyahied, 2022)</w:t>
      </w:r>
      <w:r w:rsidR="00AD3B39">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w:t>
      </w:r>
    </w:p>
    <w:p w14:paraId="3D3D2669" w14:textId="6AB6B937" w:rsidR="00F61737" w:rsidRP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 xml:space="preserve">Despite the diverse methods used, all of these approaches share a common goal: to cultivate environmental awareness within the framework of Islamic spirituality. When traced </w:t>
      </w:r>
      <w:r w:rsidRPr="00F61737">
        <w:rPr>
          <w:rFonts w:ascii="Times New Roman" w:hAnsi="Times New Roman" w:cs="Times New Roman"/>
          <w:sz w:val="24"/>
          <w:szCs w:val="24"/>
          <w:lang w:val="en-ID"/>
        </w:rPr>
        <w:lastRenderedPageBreak/>
        <w:t xml:space="preserve">systematically, this awareness begins with </w:t>
      </w:r>
      <w:r w:rsidRPr="00F61737">
        <w:rPr>
          <w:rFonts w:ascii="Times New Roman" w:hAnsi="Times New Roman" w:cs="Times New Roman"/>
          <w:i/>
          <w:iCs/>
          <w:sz w:val="24"/>
          <w:szCs w:val="24"/>
          <w:lang w:val="en-ID"/>
        </w:rPr>
        <w:t>tawḥīd</w:t>
      </w:r>
      <w:r w:rsidRPr="00F61737">
        <w:rPr>
          <w:rFonts w:ascii="Times New Roman" w:hAnsi="Times New Roman" w:cs="Times New Roman"/>
          <w:sz w:val="24"/>
          <w:szCs w:val="24"/>
          <w:lang w:val="en-ID"/>
        </w:rPr>
        <w:t xml:space="preserve"> (monotheism), the belief that both humans and nature are creations of God that submit to His laws. From this </w:t>
      </w:r>
      <w:r w:rsidRPr="00F61737">
        <w:rPr>
          <w:rFonts w:ascii="Times New Roman" w:hAnsi="Times New Roman" w:cs="Times New Roman"/>
          <w:i/>
          <w:iCs/>
          <w:sz w:val="24"/>
          <w:szCs w:val="24"/>
          <w:lang w:val="en-ID"/>
        </w:rPr>
        <w:t>tawḥīd</w:t>
      </w:r>
      <w:r w:rsidRPr="00F61737">
        <w:rPr>
          <w:rFonts w:ascii="Times New Roman" w:hAnsi="Times New Roman" w:cs="Times New Roman"/>
          <w:sz w:val="24"/>
          <w:szCs w:val="24"/>
          <w:lang w:val="en-ID"/>
        </w:rPr>
        <w:t xml:space="preserve">-based consciousness emerges an understanding of the </w:t>
      </w:r>
      <w:r w:rsidRPr="00F61737">
        <w:rPr>
          <w:rFonts w:ascii="Times New Roman" w:hAnsi="Times New Roman" w:cs="Times New Roman"/>
          <w:i/>
          <w:iCs/>
          <w:sz w:val="24"/>
          <w:szCs w:val="24"/>
          <w:lang w:val="en-ID"/>
        </w:rPr>
        <w:t>khilāfah</w:t>
      </w:r>
      <w:r w:rsidRPr="00F61737">
        <w:rPr>
          <w:rFonts w:ascii="Times New Roman" w:hAnsi="Times New Roman" w:cs="Times New Roman"/>
          <w:sz w:val="24"/>
          <w:szCs w:val="24"/>
          <w:lang w:val="en-ID"/>
        </w:rPr>
        <w:t xml:space="preserve"> (stewardship) duty, wherein humans are entrusted as caretakers and guardians of the earth. This stewardship necessitates the principles of </w:t>
      </w:r>
      <w:r w:rsidRPr="00F61737">
        <w:rPr>
          <w:rFonts w:ascii="Times New Roman" w:hAnsi="Times New Roman" w:cs="Times New Roman"/>
          <w:i/>
          <w:iCs/>
          <w:sz w:val="24"/>
          <w:szCs w:val="24"/>
          <w:lang w:val="en-ID"/>
        </w:rPr>
        <w:t>amānah</w:t>
      </w:r>
      <w:r w:rsidRPr="00F61737">
        <w:rPr>
          <w:rFonts w:ascii="Times New Roman" w:hAnsi="Times New Roman" w:cs="Times New Roman"/>
          <w:sz w:val="24"/>
          <w:szCs w:val="24"/>
          <w:lang w:val="en-ID"/>
        </w:rPr>
        <w:t xml:space="preserve"> (trustworthiness) and </w:t>
      </w:r>
      <w:r w:rsidRPr="00F61737">
        <w:rPr>
          <w:rFonts w:ascii="Times New Roman" w:hAnsi="Times New Roman" w:cs="Times New Roman"/>
          <w:i/>
          <w:iCs/>
          <w:sz w:val="24"/>
          <w:szCs w:val="24"/>
          <w:lang w:val="en-ID"/>
        </w:rPr>
        <w:t>‘adālah</w:t>
      </w:r>
      <w:r w:rsidRPr="00F61737">
        <w:rPr>
          <w:rFonts w:ascii="Times New Roman" w:hAnsi="Times New Roman" w:cs="Times New Roman"/>
          <w:sz w:val="24"/>
          <w:szCs w:val="24"/>
          <w:lang w:val="en-ID"/>
        </w:rPr>
        <w:t xml:space="preserve"> (justice), requiring humans not to exploit natural resources arbitrarily</w:t>
      </w:r>
      <w:r w:rsidR="000D3719">
        <w:rPr>
          <w:rFonts w:ascii="Times New Roman" w:hAnsi="Times New Roman" w:cs="Times New Roman"/>
          <w:sz w:val="24"/>
          <w:szCs w:val="24"/>
          <w:lang w:val="en-ID"/>
        </w:rPr>
        <w:t xml:space="preserve"> (Interview with Muhammad Islamil, November 17, 2024)</w:t>
      </w:r>
      <w:r w:rsidRPr="00F61737">
        <w:rPr>
          <w:rFonts w:ascii="Times New Roman" w:hAnsi="Times New Roman" w:cs="Times New Roman"/>
          <w:sz w:val="24"/>
          <w:szCs w:val="24"/>
          <w:lang w:val="en-ID"/>
        </w:rPr>
        <w:t xml:space="preserve">. Ultimately, all of this leads to the principle of </w:t>
      </w:r>
      <w:r w:rsidRPr="00F61737">
        <w:rPr>
          <w:rFonts w:ascii="Times New Roman" w:hAnsi="Times New Roman" w:cs="Times New Roman"/>
          <w:i/>
          <w:iCs/>
          <w:sz w:val="24"/>
          <w:szCs w:val="24"/>
          <w:lang w:val="en-ID"/>
        </w:rPr>
        <w:t>mīzān</w:t>
      </w:r>
      <w:r w:rsidRPr="00F61737">
        <w:rPr>
          <w:rFonts w:ascii="Times New Roman" w:hAnsi="Times New Roman" w:cs="Times New Roman"/>
          <w:sz w:val="24"/>
          <w:szCs w:val="24"/>
          <w:lang w:val="en-ID"/>
        </w:rPr>
        <w:t xml:space="preserve"> (balance), which is the awareness that every human action towards the environment will be held accountable, even the most trivial forms of exploitation.</w:t>
      </w:r>
    </w:p>
    <w:p w14:paraId="6DF74CFA" w14:textId="7E22398E" w:rsidR="00F61737" w:rsidRP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 xml:space="preserve">Thus, Islamic eco-theology not only offers a moral perspective on environmental issues but also provides a strong theological foundation for tangible actions in maintaining ecological balance. These principles become particularly relevant when applied within community-based social movements, integrating environmental awareness into everyday religious practices. One such community embodying this spirit is </w:t>
      </w:r>
      <w:r w:rsidRPr="00F61737">
        <w:rPr>
          <w:rFonts w:ascii="Times New Roman" w:hAnsi="Times New Roman" w:cs="Times New Roman"/>
          <w:i/>
          <w:iCs/>
          <w:sz w:val="24"/>
          <w:szCs w:val="24"/>
          <w:lang w:val="en-ID"/>
        </w:rPr>
        <w:t>YukNgaji</w:t>
      </w:r>
      <w:r w:rsidRPr="00F61737">
        <w:rPr>
          <w:rFonts w:ascii="Times New Roman" w:hAnsi="Times New Roman" w:cs="Times New Roman"/>
          <w:sz w:val="24"/>
          <w:szCs w:val="24"/>
          <w:lang w:val="en-ID"/>
        </w:rPr>
        <w:t>, a da'wah movement that combines online collectivism and offline activism to cultivate an Islamic lifestyle among urban youth</w:t>
      </w:r>
      <w:r w:rsidR="000D3719">
        <w:rPr>
          <w:rFonts w:ascii="Times New Roman" w:hAnsi="Times New Roman" w:cs="Times New Roman"/>
          <w:sz w:val="24"/>
          <w:szCs w:val="24"/>
          <w:lang w:val="en-ID"/>
        </w:rPr>
        <w:t xml:space="preserve"> (Interview with Irfan Arham, 15 December, 2024)</w:t>
      </w:r>
      <w:r w:rsidRPr="00F61737">
        <w:rPr>
          <w:rFonts w:ascii="Times New Roman" w:hAnsi="Times New Roman" w:cs="Times New Roman"/>
          <w:sz w:val="24"/>
          <w:szCs w:val="24"/>
          <w:lang w:val="en-ID"/>
        </w:rPr>
        <w:t>. To understand how eco-theological campaigns are implemented within this community, it is essential first to explore their background, vision, and da'wah strategies.</w:t>
      </w:r>
    </w:p>
    <w:p w14:paraId="435113EC" w14:textId="6EF0A3FC" w:rsidR="00F61737" w:rsidRPr="00F61737" w:rsidRDefault="00F61737" w:rsidP="00F61737">
      <w:pPr>
        <w:pStyle w:val="ListParagraph"/>
        <w:numPr>
          <w:ilvl w:val="0"/>
          <w:numId w:val="1"/>
        </w:numPr>
        <w:spacing w:after="120"/>
        <w:ind w:left="360"/>
        <w:jc w:val="both"/>
        <w:rPr>
          <w:rFonts w:ascii="Times New Roman" w:hAnsi="Times New Roman" w:cs="Times New Roman"/>
          <w:sz w:val="24"/>
          <w:szCs w:val="24"/>
        </w:rPr>
      </w:pPr>
      <w:r w:rsidRPr="00F61737">
        <w:rPr>
          <w:rFonts w:ascii="Times New Roman" w:hAnsi="Times New Roman" w:cs="Times New Roman"/>
          <w:i/>
          <w:iCs/>
          <w:sz w:val="24"/>
          <w:szCs w:val="24"/>
        </w:rPr>
        <w:t>YukNgaji</w:t>
      </w:r>
      <w:r w:rsidRPr="00F61737">
        <w:rPr>
          <w:rFonts w:ascii="Times New Roman" w:hAnsi="Times New Roman" w:cs="Times New Roman"/>
          <w:sz w:val="24"/>
          <w:szCs w:val="24"/>
        </w:rPr>
        <w:t xml:space="preserve"> Community: C</w:t>
      </w:r>
      <w:r w:rsidR="00EA7189">
        <w:rPr>
          <w:rFonts w:ascii="Times New Roman" w:hAnsi="Times New Roman" w:cs="Times New Roman"/>
          <w:sz w:val="24"/>
          <w:szCs w:val="24"/>
        </w:rPr>
        <w:t>ommunity-based education in the era of digitalization</w:t>
      </w:r>
    </w:p>
    <w:p w14:paraId="18761D61" w14:textId="77777777" w:rsidR="00507BA7" w:rsidRPr="00F61737" w:rsidRDefault="00F61737" w:rsidP="00E67B92">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 xml:space="preserve">According to Andre Moewashi's 2023 research, the </w:t>
      </w:r>
      <w:r w:rsidRPr="00F61737">
        <w:rPr>
          <w:rFonts w:ascii="Times New Roman" w:hAnsi="Times New Roman" w:cs="Times New Roman"/>
          <w:i/>
          <w:iCs/>
          <w:sz w:val="24"/>
          <w:szCs w:val="24"/>
          <w:lang w:val="en-ID"/>
        </w:rPr>
        <w:t>YukNgaji</w:t>
      </w:r>
      <w:r w:rsidRPr="00F61737">
        <w:rPr>
          <w:rFonts w:ascii="Times New Roman" w:hAnsi="Times New Roman" w:cs="Times New Roman"/>
          <w:sz w:val="24"/>
          <w:szCs w:val="24"/>
          <w:lang w:val="en-ID"/>
        </w:rPr>
        <w:t xml:space="preserve"> community is considered a strategic initiative by exponents of Hizbut Tahrir Indonesia (HTI) following the organization's official dissolution by the Indonesian government through Government Regulation in Lieu of Law (Perppu) No. 2 of 2017. This thesis remains debatable, as in interviews with Nindie Hanjarsari (central board of </w:t>
      </w:r>
      <w:r w:rsidRPr="00F61737">
        <w:rPr>
          <w:rFonts w:ascii="Times New Roman" w:hAnsi="Times New Roman" w:cs="Times New Roman"/>
          <w:i/>
          <w:iCs/>
          <w:sz w:val="24"/>
          <w:szCs w:val="24"/>
          <w:lang w:val="en-ID"/>
        </w:rPr>
        <w:t>YukNgaji</w:t>
      </w:r>
      <w:r w:rsidRPr="00F61737">
        <w:rPr>
          <w:rFonts w:ascii="Times New Roman" w:hAnsi="Times New Roman" w:cs="Times New Roman"/>
          <w:sz w:val="24"/>
          <w:szCs w:val="24"/>
          <w:lang w:val="en-ID"/>
        </w:rPr>
        <w:t xml:space="preserve">) and Annisa Mujadilah (member), it was explained that the community had been established before HTI was officially disbanded, specifically in 2015. Founded by popular HTI figures Felix Siauw and Hussain Assadi, the community harnessed the </w:t>
      </w:r>
      <w:r w:rsidRPr="00F61737">
        <w:rPr>
          <w:rFonts w:ascii="Times New Roman" w:hAnsi="Times New Roman" w:cs="Times New Roman"/>
          <w:i/>
          <w:iCs/>
          <w:sz w:val="24"/>
          <w:szCs w:val="24"/>
          <w:lang w:val="en-ID"/>
        </w:rPr>
        <w:t>hijrah</w:t>
      </w:r>
      <w:r w:rsidRPr="00F61737">
        <w:rPr>
          <w:rFonts w:ascii="Times New Roman" w:hAnsi="Times New Roman" w:cs="Times New Roman"/>
          <w:sz w:val="24"/>
          <w:szCs w:val="24"/>
          <w:lang w:val="en-ID"/>
        </w:rPr>
        <w:t xml:space="preserve"> trend among urban youth as a vehicle for </w:t>
      </w:r>
      <w:r w:rsidRPr="00F61737">
        <w:rPr>
          <w:rFonts w:ascii="Times New Roman" w:hAnsi="Times New Roman" w:cs="Times New Roman"/>
          <w:i/>
          <w:iCs/>
          <w:sz w:val="24"/>
          <w:szCs w:val="24"/>
          <w:lang w:val="en-ID"/>
        </w:rPr>
        <w:t>dakwah</w:t>
      </w:r>
      <w:r w:rsidRPr="00F61737">
        <w:rPr>
          <w:rFonts w:ascii="Times New Roman" w:hAnsi="Times New Roman" w:cs="Times New Roman"/>
          <w:sz w:val="24"/>
          <w:szCs w:val="24"/>
          <w:lang w:val="en-ID"/>
        </w:rPr>
        <w:t>. Its focus is to promote an Islamic lifestyle appealingly through social media and offline events, without explicitly mentioning the caliphate agenda. This approach successfully attracted many young people who resonated with the message of personal and spiritual transformation it offered</w:t>
      </w:r>
      <w:r w:rsidR="00AD3B39">
        <w:rPr>
          <w:rFonts w:ascii="Times New Roman" w:hAnsi="Times New Roman" w:cs="Times New Roman"/>
          <w:sz w:val="24"/>
          <w:szCs w:val="24"/>
          <w:lang w:val="en-ID"/>
        </w:rPr>
        <w:t xml:space="preserve"> </w:t>
      </w:r>
      <w:r w:rsidR="00AD3B39">
        <w:rPr>
          <w:rFonts w:ascii="Times New Roman" w:hAnsi="Times New Roman" w:cs="Times New Roman"/>
          <w:sz w:val="24"/>
          <w:szCs w:val="24"/>
          <w:lang w:val="en-ID"/>
        </w:rPr>
        <w:fldChar w:fldCharType="begin" w:fldLock="1"/>
      </w:r>
      <w:r w:rsidR="00AD3B39">
        <w:rPr>
          <w:rFonts w:ascii="Times New Roman" w:hAnsi="Times New Roman" w:cs="Times New Roman"/>
          <w:sz w:val="24"/>
          <w:szCs w:val="24"/>
          <w:lang w:val="en-ID"/>
        </w:rPr>
        <w:instrText>ADDIN CSL_CITATION {"citationItems":[{"id":"ITEM-1","itemData":{"ISBN":"9781003007814","author":[{"dropping-particle":"","family":"Haq","given":"Andri Moewashi Idharoel","non-dropping-particle":"","parse-names":false,"suffix":""}],"container-title":"Islam Transformatif : Journal of Islamic Studies","id":"ITEM-1","issue":"2","issued":{"date-parts":[["2023"]]},"page":"97-111","title":"Hizbut Tahrir Indonesia's (HTI) Efforts The Idea Of Caliphate and Recruit Members after Being Banned by the Government","type":"article-journal","volume":"2"},"uris":["http://www.mendeley.com/documents/?uuid=ab76147c-9b51-4a24-a241-c51c670f3e67"]}],"mendeley":{"formattedCitation":"(Haq, 2023)","plainTextFormattedCitation":"(Haq, 2023)","previouslyFormattedCitation":"(Haq, 2023)"},"properties":{"noteIndex":0},"schema":"https://github.com/citation-style-language/schema/raw/master/csl-citation.json"}</w:instrText>
      </w:r>
      <w:r w:rsidR="00AD3B39">
        <w:rPr>
          <w:rFonts w:ascii="Times New Roman" w:hAnsi="Times New Roman" w:cs="Times New Roman"/>
          <w:sz w:val="24"/>
          <w:szCs w:val="24"/>
          <w:lang w:val="en-ID"/>
        </w:rPr>
        <w:fldChar w:fldCharType="separate"/>
      </w:r>
      <w:r w:rsidR="00AD3B39" w:rsidRPr="00AD3B39">
        <w:rPr>
          <w:rFonts w:ascii="Times New Roman" w:hAnsi="Times New Roman" w:cs="Times New Roman"/>
          <w:noProof/>
          <w:sz w:val="24"/>
          <w:szCs w:val="24"/>
          <w:lang w:val="en-ID"/>
        </w:rPr>
        <w:t>(Haq, 2023)</w:t>
      </w:r>
      <w:r w:rsidR="00AD3B39">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w:t>
      </w:r>
    </w:p>
    <w:p w14:paraId="0651C126" w14:textId="77777777" w:rsidR="00F61737" w:rsidRP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 xml:space="preserve">The roots of the </w:t>
      </w:r>
      <w:r w:rsidRPr="00F61737">
        <w:rPr>
          <w:rFonts w:ascii="Times New Roman" w:hAnsi="Times New Roman" w:cs="Times New Roman"/>
          <w:i/>
          <w:iCs/>
          <w:sz w:val="24"/>
          <w:szCs w:val="24"/>
          <w:lang w:val="en-ID"/>
        </w:rPr>
        <w:t>YukNgaji</w:t>
      </w:r>
      <w:r w:rsidRPr="00F61737">
        <w:rPr>
          <w:rFonts w:ascii="Times New Roman" w:hAnsi="Times New Roman" w:cs="Times New Roman"/>
          <w:sz w:val="24"/>
          <w:szCs w:val="24"/>
          <w:lang w:val="en-ID"/>
        </w:rPr>
        <w:t xml:space="preserve"> community cannot be separated from HTI, both in methodology and ideology. Although this community conceals its HTI identity explicitly, the clandestine </w:t>
      </w:r>
      <w:r w:rsidRPr="00F61737">
        <w:rPr>
          <w:rFonts w:ascii="Times New Roman" w:hAnsi="Times New Roman" w:cs="Times New Roman"/>
          <w:i/>
          <w:iCs/>
          <w:sz w:val="24"/>
          <w:szCs w:val="24"/>
          <w:lang w:val="en-ID"/>
        </w:rPr>
        <w:t>dakwah</w:t>
      </w:r>
      <w:r w:rsidRPr="00F61737">
        <w:rPr>
          <w:rFonts w:ascii="Times New Roman" w:hAnsi="Times New Roman" w:cs="Times New Roman"/>
          <w:sz w:val="24"/>
          <w:szCs w:val="24"/>
          <w:lang w:val="en-ID"/>
        </w:rPr>
        <w:t xml:space="preserve"> strategy it adopts, such as </w:t>
      </w:r>
      <w:r w:rsidRPr="00F61737">
        <w:rPr>
          <w:rFonts w:ascii="Times New Roman" w:hAnsi="Times New Roman" w:cs="Times New Roman"/>
          <w:i/>
          <w:iCs/>
          <w:sz w:val="24"/>
          <w:szCs w:val="24"/>
          <w:lang w:val="en-ID"/>
        </w:rPr>
        <w:t>halaqah</w:t>
      </w:r>
      <w:r w:rsidRPr="00F61737">
        <w:rPr>
          <w:rFonts w:ascii="Times New Roman" w:hAnsi="Times New Roman" w:cs="Times New Roman"/>
          <w:sz w:val="24"/>
          <w:szCs w:val="24"/>
          <w:lang w:val="en-ID"/>
        </w:rPr>
        <w:t xml:space="preserve"> (study circles) and individual mentoring, is a hallmark of the HTI movement. </w:t>
      </w:r>
      <w:r w:rsidRPr="00F61737">
        <w:rPr>
          <w:rFonts w:ascii="Times New Roman" w:hAnsi="Times New Roman" w:cs="Times New Roman"/>
          <w:i/>
          <w:iCs/>
          <w:sz w:val="24"/>
          <w:szCs w:val="24"/>
          <w:lang w:val="en-ID"/>
        </w:rPr>
        <w:t>YukNgaji</w:t>
      </w:r>
      <w:r w:rsidRPr="00F61737">
        <w:rPr>
          <w:rFonts w:ascii="Times New Roman" w:hAnsi="Times New Roman" w:cs="Times New Roman"/>
          <w:sz w:val="24"/>
          <w:szCs w:val="24"/>
          <w:lang w:val="en-ID"/>
        </w:rPr>
        <w:t xml:space="preserve"> also continues HTI’s strategic goal by recruiting new members through a softer approach, emphasizing the strengthening of Islamic personality that gradually directs participants to support the idea of a caliphate. This underlines that </w:t>
      </w:r>
      <w:r w:rsidRPr="00F61737">
        <w:rPr>
          <w:rFonts w:ascii="Times New Roman" w:hAnsi="Times New Roman" w:cs="Times New Roman"/>
          <w:i/>
          <w:iCs/>
          <w:sz w:val="24"/>
          <w:szCs w:val="24"/>
          <w:lang w:val="en-ID"/>
        </w:rPr>
        <w:t>YukNgaji</w:t>
      </w:r>
      <w:r w:rsidRPr="00F61737">
        <w:rPr>
          <w:rFonts w:ascii="Times New Roman" w:hAnsi="Times New Roman" w:cs="Times New Roman"/>
          <w:sz w:val="24"/>
          <w:szCs w:val="24"/>
          <w:lang w:val="en-ID"/>
        </w:rPr>
        <w:t xml:space="preserve"> is a form of HTI's adaptation to navigate government restrictions while maintaining its ideological aspirations</w:t>
      </w:r>
      <w:r w:rsidR="00AD3B39">
        <w:rPr>
          <w:rFonts w:ascii="Times New Roman" w:hAnsi="Times New Roman" w:cs="Times New Roman"/>
          <w:sz w:val="24"/>
          <w:szCs w:val="24"/>
          <w:lang w:val="en-ID"/>
        </w:rPr>
        <w:t xml:space="preserve"> </w:t>
      </w:r>
      <w:r w:rsidR="00AD3B39">
        <w:rPr>
          <w:rFonts w:ascii="Times New Roman" w:hAnsi="Times New Roman" w:cs="Times New Roman"/>
          <w:sz w:val="24"/>
          <w:szCs w:val="24"/>
          <w:lang w:val="en-ID"/>
        </w:rPr>
        <w:fldChar w:fldCharType="begin" w:fldLock="1"/>
      </w:r>
      <w:r w:rsidR="00AD3B39">
        <w:rPr>
          <w:rFonts w:ascii="Times New Roman" w:hAnsi="Times New Roman" w:cs="Times New Roman"/>
          <w:sz w:val="24"/>
          <w:szCs w:val="24"/>
          <w:lang w:val="en-ID"/>
        </w:rPr>
        <w:instrText>ADDIN CSL_CITATION {"citationItems":[{"id":"ITEM-1","itemData":{"author":[{"dropping-particle":"","family":"Aswar","given":"Hasbi","non-dropping-particle":"","parse-names":false,"suffix":""}],"container-title":"SUVANNABHUMI","id":"ITEM-1","issue":"2","issued":{"date-parts":[["2022"]]},"page":"233-249","title":"Hizb Ut-Tahrir ’ s Adaptation Strategies against the State Repression in Indonesia : A Social Movement Perspective","type":"article-journal","volume":"14"},"uris":["http://www.mendeley.com/documents/?uuid=dfa2b94a-680b-49ad-89d6-2e1f1b578efd"]}],"mendeley":{"formattedCitation":"(Aswar, 2022)","plainTextFormattedCitation":"(Aswar, 2022)","previouslyFormattedCitation":"(Aswar, 2022)"},"properties":{"noteIndex":0},"schema":"https://github.com/citation-style-language/schema/raw/master/csl-citation.json"}</w:instrText>
      </w:r>
      <w:r w:rsidR="00AD3B39">
        <w:rPr>
          <w:rFonts w:ascii="Times New Roman" w:hAnsi="Times New Roman" w:cs="Times New Roman"/>
          <w:sz w:val="24"/>
          <w:szCs w:val="24"/>
          <w:lang w:val="en-ID"/>
        </w:rPr>
        <w:fldChar w:fldCharType="separate"/>
      </w:r>
      <w:r w:rsidR="00AD3B39" w:rsidRPr="00AD3B39">
        <w:rPr>
          <w:rFonts w:ascii="Times New Roman" w:hAnsi="Times New Roman" w:cs="Times New Roman"/>
          <w:noProof/>
          <w:sz w:val="24"/>
          <w:szCs w:val="24"/>
          <w:lang w:val="en-ID"/>
        </w:rPr>
        <w:t>(Aswar, 2022)</w:t>
      </w:r>
      <w:r w:rsidR="00AD3B39">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w:t>
      </w:r>
    </w:p>
    <w:p w14:paraId="096B770B" w14:textId="4D644E0B" w:rsidR="00F61737" w:rsidRPr="00F61737" w:rsidRDefault="00F61737" w:rsidP="00F61737">
      <w:pPr>
        <w:spacing w:after="120"/>
        <w:ind w:firstLine="567"/>
        <w:jc w:val="both"/>
        <w:rPr>
          <w:rFonts w:ascii="Times New Roman" w:eastAsia="Times New Roman" w:hAnsi="Times New Roman" w:cs="Times New Roman"/>
          <w:sz w:val="24"/>
          <w:szCs w:val="24"/>
        </w:rPr>
      </w:pPr>
      <w:r w:rsidRPr="00F61737">
        <w:rPr>
          <w:rFonts w:ascii="Times New Roman" w:hAnsi="Times New Roman" w:cs="Times New Roman"/>
          <w:sz w:val="24"/>
          <w:szCs w:val="24"/>
          <w:lang w:val="en-ID"/>
        </w:rPr>
        <w:t xml:space="preserve">In addition to its </w:t>
      </w:r>
      <w:r w:rsidRPr="00F61737">
        <w:rPr>
          <w:rFonts w:ascii="Times New Roman" w:hAnsi="Times New Roman" w:cs="Times New Roman"/>
          <w:i/>
          <w:iCs/>
          <w:sz w:val="24"/>
          <w:szCs w:val="24"/>
          <w:lang w:val="en-ID"/>
        </w:rPr>
        <w:t>halaqah</w:t>
      </w:r>
      <w:r w:rsidRPr="00F61737">
        <w:rPr>
          <w:rFonts w:ascii="Times New Roman" w:hAnsi="Times New Roman" w:cs="Times New Roman"/>
          <w:sz w:val="24"/>
          <w:szCs w:val="24"/>
          <w:lang w:val="en-ID"/>
        </w:rPr>
        <w:t>-based</w:t>
      </w:r>
      <w:r w:rsidR="00EA7189">
        <w:rPr>
          <w:rFonts w:ascii="Times New Roman" w:hAnsi="Times New Roman" w:cs="Times New Roman"/>
          <w:sz w:val="24"/>
          <w:szCs w:val="24"/>
          <w:lang w:val="en-ID"/>
        </w:rPr>
        <w:t xml:space="preserve"> informal education </w:t>
      </w:r>
      <w:r w:rsidRPr="00F61737">
        <w:rPr>
          <w:rFonts w:ascii="Times New Roman" w:hAnsi="Times New Roman" w:cs="Times New Roman"/>
          <w:sz w:val="24"/>
          <w:szCs w:val="24"/>
          <w:lang w:val="en-ID"/>
        </w:rPr>
        <w:t xml:space="preserve">strategy and individual mentoring, </w:t>
      </w:r>
      <w:r w:rsidRPr="00F61737">
        <w:rPr>
          <w:rFonts w:ascii="Times New Roman" w:hAnsi="Times New Roman" w:cs="Times New Roman"/>
          <w:i/>
          <w:iCs/>
          <w:sz w:val="24"/>
          <w:szCs w:val="24"/>
          <w:lang w:val="en-ID"/>
        </w:rPr>
        <w:t>YukNgaji's</w:t>
      </w:r>
      <w:r w:rsidRPr="00F61737">
        <w:rPr>
          <w:rFonts w:ascii="Times New Roman" w:hAnsi="Times New Roman" w:cs="Times New Roman"/>
          <w:sz w:val="24"/>
          <w:szCs w:val="24"/>
          <w:lang w:val="en-ID"/>
        </w:rPr>
        <w:t xml:space="preserve"> approach is also heavily influenced by the nuances of popular Islam or Islamic </w:t>
      </w:r>
      <w:r w:rsidRPr="00F61737">
        <w:rPr>
          <w:rFonts w:ascii="Times New Roman" w:hAnsi="Times New Roman" w:cs="Times New Roman"/>
          <w:sz w:val="24"/>
          <w:szCs w:val="24"/>
          <w:lang w:val="en-ID"/>
        </w:rPr>
        <w:lastRenderedPageBreak/>
        <w:t>popular culture. They blend Islamic values with popular culture, making them more accessible and relevant to urban youth</w:t>
      </w:r>
      <w:r w:rsidR="00EA7189">
        <w:rPr>
          <w:rFonts w:ascii="Times New Roman" w:hAnsi="Times New Roman" w:cs="Times New Roman"/>
          <w:sz w:val="24"/>
          <w:szCs w:val="24"/>
          <w:lang w:val="en-ID"/>
        </w:rPr>
        <w:t xml:space="preserve"> (community-based education)</w:t>
      </w:r>
      <w:r w:rsidRPr="00F61737">
        <w:rPr>
          <w:rFonts w:ascii="Times New Roman" w:hAnsi="Times New Roman" w:cs="Times New Roman"/>
          <w:sz w:val="24"/>
          <w:szCs w:val="24"/>
          <w:lang w:val="en-ID"/>
        </w:rPr>
        <w:t>. Instead of using traditional</w:t>
      </w:r>
      <w:r w:rsidR="00EA7189">
        <w:rPr>
          <w:rFonts w:ascii="Times New Roman" w:hAnsi="Times New Roman" w:cs="Times New Roman"/>
          <w:sz w:val="24"/>
          <w:szCs w:val="24"/>
          <w:lang w:val="en-ID"/>
        </w:rPr>
        <w:t xml:space="preserve"> public education </w:t>
      </w:r>
      <w:r w:rsidRPr="00F61737">
        <w:rPr>
          <w:rFonts w:ascii="Times New Roman" w:hAnsi="Times New Roman" w:cs="Times New Roman"/>
          <w:sz w:val="24"/>
          <w:szCs w:val="24"/>
          <w:lang w:val="en-ID"/>
        </w:rPr>
        <w:t>methods that seem formal and exclusive, this community builds a more relaxed, inclusive, and youth-friendly</w:t>
      </w:r>
      <w:r w:rsidR="00EA7189">
        <w:rPr>
          <w:rFonts w:ascii="Times New Roman" w:hAnsi="Times New Roman" w:cs="Times New Roman"/>
          <w:sz w:val="24"/>
          <w:szCs w:val="24"/>
          <w:lang w:val="en-ID"/>
        </w:rPr>
        <w:t xml:space="preserve"> public</w:t>
      </w:r>
      <w:r w:rsidRPr="00F61737">
        <w:rPr>
          <w:rFonts w:ascii="Times New Roman" w:hAnsi="Times New Roman" w:cs="Times New Roman"/>
          <w:sz w:val="24"/>
          <w:szCs w:val="24"/>
          <w:lang w:val="en-ID"/>
        </w:rPr>
        <w:t xml:space="preserve"> image, closely connected to everyday life.</w:t>
      </w:r>
    </w:p>
    <w:p w14:paraId="7AC2A939" w14:textId="58061B53" w:rsidR="00F61737" w:rsidRDefault="00F61737" w:rsidP="00F61737">
      <w:pPr>
        <w:spacing w:after="120"/>
        <w:ind w:firstLine="567"/>
        <w:jc w:val="both"/>
        <w:rPr>
          <w:rFonts w:ascii="Times New Roman" w:hAnsi="Times New Roman" w:cs="Times New Roman"/>
          <w:sz w:val="24"/>
          <w:szCs w:val="24"/>
          <w:lang w:val="en-ID"/>
        </w:rPr>
      </w:pPr>
      <w:r w:rsidRPr="00F61737">
        <w:rPr>
          <w:rFonts w:ascii="Times New Roman" w:hAnsi="Times New Roman" w:cs="Times New Roman"/>
          <w:sz w:val="24"/>
          <w:szCs w:val="24"/>
          <w:lang w:val="en-ID"/>
        </w:rPr>
        <w:t xml:space="preserve">One of the standout aspects of </w:t>
      </w:r>
      <w:r w:rsidRPr="00F61737">
        <w:rPr>
          <w:rFonts w:ascii="Times New Roman" w:hAnsi="Times New Roman" w:cs="Times New Roman"/>
          <w:i/>
          <w:iCs/>
          <w:sz w:val="24"/>
          <w:szCs w:val="24"/>
          <w:lang w:val="en-ID"/>
        </w:rPr>
        <w:t>YukNgaji's</w:t>
      </w:r>
      <w:r w:rsidRPr="00F61737">
        <w:rPr>
          <w:rFonts w:ascii="Times New Roman" w:hAnsi="Times New Roman" w:cs="Times New Roman"/>
          <w:sz w:val="24"/>
          <w:szCs w:val="24"/>
          <w:lang w:val="en-ID"/>
        </w:rPr>
        <w:t xml:space="preserve"> </w:t>
      </w:r>
      <w:r w:rsidR="00EA7189">
        <w:rPr>
          <w:rFonts w:ascii="Times New Roman" w:hAnsi="Times New Roman" w:cs="Times New Roman"/>
          <w:i/>
          <w:iCs/>
          <w:sz w:val="24"/>
          <w:szCs w:val="24"/>
          <w:lang w:val="en-ID"/>
        </w:rPr>
        <w:t xml:space="preserve">community </w:t>
      </w:r>
      <w:r w:rsidRPr="00F61737">
        <w:rPr>
          <w:rFonts w:ascii="Times New Roman" w:hAnsi="Times New Roman" w:cs="Times New Roman"/>
          <w:sz w:val="24"/>
          <w:szCs w:val="24"/>
          <w:lang w:val="en-ID"/>
        </w:rPr>
        <w:t>is its clicktivism, a form of digital activism that relies on visual appeal and social media engagement. Their digital posters for study session schedules are designed with vibrant, pop-out graphics and eye-catching titles, creating the impression that attending a study session is not just a religious activity but also part of a trending lifestyle</w:t>
      </w:r>
      <w:r w:rsidR="00EA3DDE">
        <w:rPr>
          <w:rFonts w:ascii="Times New Roman" w:hAnsi="Times New Roman" w:cs="Times New Roman"/>
          <w:sz w:val="24"/>
          <w:szCs w:val="24"/>
          <w:lang w:val="en-ID"/>
        </w:rPr>
        <w:t xml:space="preserve"> (Interview with Nur Aini, January 21, 2025)</w:t>
      </w:r>
      <w:r w:rsidRPr="00F61737">
        <w:rPr>
          <w:rFonts w:ascii="Times New Roman" w:hAnsi="Times New Roman" w:cs="Times New Roman"/>
          <w:sz w:val="24"/>
          <w:szCs w:val="24"/>
          <w:lang w:val="en-ID"/>
        </w:rPr>
        <w:t>. The study sessions no longer feel like rigid religious forums but resemble exciting community events worth attending. Beyond visuals, their digital</w:t>
      </w:r>
      <w:r w:rsidR="00EA7189">
        <w:rPr>
          <w:rFonts w:ascii="Times New Roman" w:hAnsi="Times New Roman" w:cs="Times New Roman"/>
          <w:sz w:val="24"/>
          <w:szCs w:val="24"/>
          <w:lang w:val="en-ID"/>
        </w:rPr>
        <w:t xml:space="preserve"> community-based education</w:t>
      </w:r>
      <w:r w:rsidRPr="00F61737">
        <w:rPr>
          <w:rFonts w:ascii="Times New Roman" w:hAnsi="Times New Roman" w:cs="Times New Roman"/>
          <w:sz w:val="24"/>
          <w:szCs w:val="24"/>
          <w:lang w:val="en-ID"/>
        </w:rPr>
        <w:t xml:space="preserve"> strategy is highly adaptive to trends. Their video content goes beyond the traditional format of a preacher delivering a monologue in front of the camera. Instead, they connect current issues with movies, music, memes, or viral events that are trending. Through this approach, they successfully "ride the wave," ensuring their content remains fresh and evergreen, consistently relevant to the latest viral phenomena</w:t>
      </w:r>
      <w:r w:rsidR="00AD3B39">
        <w:rPr>
          <w:rFonts w:ascii="Times New Roman" w:hAnsi="Times New Roman" w:cs="Times New Roman"/>
          <w:sz w:val="24"/>
          <w:szCs w:val="24"/>
          <w:lang w:val="en-ID"/>
        </w:rPr>
        <w:t xml:space="preserve"> </w:t>
      </w:r>
      <w:r w:rsidR="00AD3B39">
        <w:rPr>
          <w:rFonts w:ascii="Times New Roman" w:hAnsi="Times New Roman" w:cs="Times New Roman"/>
          <w:sz w:val="24"/>
          <w:szCs w:val="24"/>
          <w:lang w:val="en-ID"/>
        </w:rPr>
        <w:fldChar w:fldCharType="begin" w:fldLock="1"/>
      </w:r>
      <w:r w:rsidR="00F93614">
        <w:rPr>
          <w:rFonts w:ascii="Times New Roman" w:hAnsi="Times New Roman" w:cs="Times New Roman"/>
          <w:sz w:val="24"/>
          <w:szCs w:val="24"/>
          <w:lang w:val="en-ID"/>
        </w:rPr>
        <w:instrText>ADDIN CSL_CITATION {"citationItems":[{"id":"ITEM-1","itemData":{"DOI":"10.21043/qijis.v9i2.7795","ISSN":"24769304","abstract":"The increase of Islamic populism is in line with a massive spread of popular culture bringing Islamic symbols. This condition has brought a proliferation of Islamic activism which promotes its discourse with popular styles familiar to millennials. YukNgaji community, which is popularly emerging on social media, is one of the Islamic movements arising from this condition. This article examines how popular culture works in creating a discourse of Islamic activism in the YukNgaji online movement. This fieldwork uses a socio-political approach to analyze the proliferation of the YukNgaji movement in various areas driven by millennials. Some of the informants’ field data and experiences were obtained through an ethnographic method. Besides, some data on Islamic activism discourse amplified by YukNgaji was obtained from screenshots in YukNgaji. id movement’s Instagram accounts. This article finds the relationship between Islamic discourse by YukNgaji activists and popular cultural narratives. According to the finding of this article, it reveals that the phenomenon of millennial Islamic movements can be read within the scope of Islamic populism and activism in Indonesia by two important things. First, the YukNgaji movement campaigns for Islamic discourse through popular culture. Second, the YukNgaji movement tends to create a group with a common Islamic identity, which is voiced through the concept of hijra.","author":[{"dropping-particle":"","family":"Abzar Duraesa","given":"M.","non-dropping-particle":"","parse-names":false,"suffix":""},{"dropping-particle":"","family":"Ahyar","given":"Muzayyin","non-dropping-particle":"","parse-names":false,"suffix":""}],"container-title":"Qudus International Journal of Islamic Studies","id":"ITEM-1","issue":"2","issued":{"date-parts":[["2021"]]},"page":"503-534","title":"Islamic Popul[Ar]Ism: Religious Popularism and Activism in the Yukngaji Community","type":"article-journal","volume":"9"},"uris":["http://www.mendeley.com/documents/?uuid=42df7a60-845e-414f-ae18-eceaeed535f3"]}],"mendeley":{"formattedCitation":"(Abzar Duraesa &amp; Ahyar, 2021)","plainTextFormattedCitation":"(Abzar Duraesa &amp; Ahyar, 2021)","previouslyFormattedCitation":"(Abzar Duraesa &amp; Ahyar, 2021)"},"properties":{"noteIndex":0},"schema":"https://github.com/citation-style-language/schema/raw/master/csl-citation.json"}</w:instrText>
      </w:r>
      <w:r w:rsidR="00AD3B39">
        <w:rPr>
          <w:rFonts w:ascii="Times New Roman" w:hAnsi="Times New Roman" w:cs="Times New Roman"/>
          <w:sz w:val="24"/>
          <w:szCs w:val="24"/>
          <w:lang w:val="en-ID"/>
        </w:rPr>
        <w:fldChar w:fldCharType="separate"/>
      </w:r>
      <w:r w:rsidR="00AD3B39" w:rsidRPr="00AD3B39">
        <w:rPr>
          <w:rFonts w:ascii="Times New Roman" w:hAnsi="Times New Roman" w:cs="Times New Roman"/>
          <w:noProof/>
          <w:sz w:val="24"/>
          <w:szCs w:val="24"/>
          <w:lang w:val="en-ID"/>
        </w:rPr>
        <w:t>(Abzar Duraesa &amp; Ahyar, 2021)</w:t>
      </w:r>
      <w:r w:rsidR="00AD3B39">
        <w:rPr>
          <w:rFonts w:ascii="Times New Roman" w:hAnsi="Times New Roman" w:cs="Times New Roman"/>
          <w:sz w:val="24"/>
          <w:szCs w:val="24"/>
          <w:lang w:val="en-ID"/>
        </w:rPr>
        <w:fldChar w:fldCharType="end"/>
      </w:r>
      <w:r w:rsidRPr="00F61737">
        <w:rPr>
          <w:rFonts w:ascii="Times New Roman" w:hAnsi="Times New Roman" w:cs="Times New Roman"/>
          <w:sz w:val="24"/>
          <w:szCs w:val="24"/>
          <w:lang w:val="en-ID"/>
        </w:rPr>
        <w:t>.</w:t>
      </w:r>
    </w:p>
    <w:p w14:paraId="18E2F3CF" w14:textId="71B12B3C" w:rsidR="00F61737" w:rsidRDefault="00EA3DDE" w:rsidP="00AD3B39">
      <w:pPr>
        <w:spacing w:after="120"/>
        <w:ind w:firstLine="567"/>
        <w:jc w:val="both"/>
        <w:rPr>
          <w:rFonts w:ascii="Times New Roman" w:eastAsia="Times New Roman" w:hAnsi="Times New Roman" w:cs="Times New Roman"/>
          <w:sz w:val="24"/>
          <w:szCs w:val="24"/>
        </w:rPr>
      </w:pPr>
      <w:r>
        <w:rPr>
          <w:noProof/>
        </w:rPr>
        <w:drawing>
          <wp:anchor distT="0" distB="0" distL="114300" distR="114300" simplePos="0" relativeHeight="251658240" behindDoc="0" locked="0" layoutInCell="1" allowOverlap="1" wp14:anchorId="07CCE275" wp14:editId="233A36F9">
            <wp:simplePos x="0" y="0"/>
            <wp:positionH relativeFrom="margin">
              <wp:posOffset>807720</wp:posOffset>
            </wp:positionH>
            <wp:positionV relativeFrom="margin">
              <wp:posOffset>3414395</wp:posOffset>
            </wp:positionV>
            <wp:extent cx="4015105" cy="2711450"/>
            <wp:effectExtent l="0" t="0" r="4445" b="0"/>
            <wp:wrapSquare wrapText="bothSides"/>
            <wp:docPr id="1479066634"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15105" cy="2711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008AA" w14:textId="52FDE7C4" w:rsidR="00F61737" w:rsidRDefault="00F61737">
      <w:pPr>
        <w:spacing w:after="120"/>
        <w:ind w:firstLine="567"/>
        <w:jc w:val="both"/>
        <w:rPr>
          <w:rFonts w:ascii="Times New Roman" w:eastAsia="Times New Roman" w:hAnsi="Times New Roman" w:cs="Times New Roman"/>
          <w:sz w:val="24"/>
          <w:szCs w:val="24"/>
        </w:rPr>
      </w:pPr>
    </w:p>
    <w:p w14:paraId="5D495200" w14:textId="09F187DF" w:rsidR="00F61737" w:rsidRDefault="00F61737">
      <w:pPr>
        <w:spacing w:after="120"/>
        <w:ind w:firstLine="567"/>
        <w:jc w:val="both"/>
        <w:rPr>
          <w:rFonts w:ascii="Times New Roman" w:eastAsia="Times New Roman" w:hAnsi="Times New Roman" w:cs="Times New Roman"/>
          <w:sz w:val="24"/>
          <w:szCs w:val="24"/>
        </w:rPr>
      </w:pPr>
    </w:p>
    <w:p w14:paraId="60DBA795" w14:textId="77777777" w:rsidR="00F61737" w:rsidRDefault="00F61737">
      <w:pPr>
        <w:spacing w:after="120"/>
        <w:ind w:firstLine="567"/>
        <w:jc w:val="both"/>
        <w:rPr>
          <w:rFonts w:ascii="Times New Roman" w:eastAsia="Times New Roman" w:hAnsi="Times New Roman" w:cs="Times New Roman"/>
          <w:sz w:val="24"/>
          <w:szCs w:val="24"/>
        </w:rPr>
      </w:pPr>
    </w:p>
    <w:p w14:paraId="65B8FA4F" w14:textId="77777777" w:rsidR="00F61737" w:rsidRDefault="00F61737">
      <w:pPr>
        <w:spacing w:after="120"/>
        <w:ind w:firstLine="567"/>
        <w:jc w:val="both"/>
        <w:rPr>
          <w:rFonts w:ascii="Times New Roman" w:eastAsia="Times New Roman" w:hAnsi="Times New Roman" w:cs="Times New Roman"/>
          <w:sz w:val="24"/>
          <w:szCs w:val="24"/>
        </w:rPr>
      </w:pPr>
    </w:p>
    <w:p w14:paraId="04679A38" w14:textId="77777777" w:rsidR="00F61737" w:rsidRDefault="00F61737">
      <w:pPr>
        <w:spacing w:after="120"/>
        <w:ind w:firstLine="567"/>
        <w:jc w:val="both"/>
        <w:rPr>
          <w:rFonts w:ascii="Times New Roman" w:eastAsia="Times New Roman" w:hAnsi="Times New Roman" w:cs="Times New Roman"/>
          <w:sz w:val="24"/>
          <w:szCs w:val="24"/>
        </w:rPr>
      </w:pPr>
    </w:p>
    <w:p w14:paraId="159410F1" w14:textId="77777777" w:rsidR="00F61737" w:rsidRDefault="00F61737">
      <w:pPr>
        <w:spacing w:after="120"/>
        <w:ind w:firstLine="567"/>
        <w:jc w:val="both"/>
        <w:rPr>
          <w:rFonts w:ascii="Times New Roman" w:eastAsia="Times New Roman" w:hAnsi="Times New Roman" w:cs="Times New Roman"/>
          <w:sz w:val="24"/>
          <w:szCs w:val="24"/>
        </w:rPr>
      </w:pPr>
    </w:p>
    <w:p w14:paraId="6C5AA2AC" w14:textId="77777777" w:rsidR="00F61737" w:rsidRDefault="00F61737">
      <w:pPr>
        <w:spacing w:after="120"/>
        <w:ind w:firstLine="567"/>
        <w:jc w:val="both"/>
        <w:rPr>
          <w:rFonts w:ascii="Times New Roman" w:eastAsia="Times New Roman" w:hAnsi="Times New Roman" w:cs="Times New Roman"/>
          <w:sz w:val="24"/>
          <w:szCs w:val="24"/>
        </w:rPr>
      </w:pPr>
    </w:p>
    <w:p w14:paraId="13253FF8" w14:textId="77777777" w:rsidR="0030728C" w:rsidRDefault="0030728C" w:rsidP="00EA3DDE">
      <w:pPr>
        <w:spacing w:after="120"/>
        <w:rPr>
          <w:rFonts w:ascii="Times New Roman" w:eastAsia="Times New Roman" w:hAnsi="Times New Roman" w:cs="Times New Roman"/>
          <w:sz w:val="24"/>
          <w:szCs w:val="24"/>
        </w:rPr>
      </w:pPr>
    </w:p>
    <w:p w14:paraId="5B494F6D" w14:textId="77777777" w:rsidR="00B26CC1" w:rsidRDefault="00B26CC1" w:rsidP="005F31A0">
      <w:pPr>
        <w:spacing w:after="120"/>
        <w:ind w:firstLine="567"/>
        <w:jc w:val="center"/>
        <w:rPr>
          <w:rFonts w:ascii="Times New Roman" w:eastAsia="Times New Roman" w:hAnsi="Times New Roman" w:cs="Times New Roman"/>
          <w:sz w:val="24"/>
          <w:szCs w:val="24"/>
        </w:rPr>
      </w:pPr>
    </w:p>
    <w:p w14:paraId="1713BD47" w14:textId="77777777" w:rsidR="0030728C" w:rsidRDefault="005F31A0" w:rsidP="0030728C">
      <w:pPr>
        <w:spacing w:after="0"/>
        <w:jc w:val="center"/>
        <w:rPr>
          <w:rFonts w:ascii="Times New Roman" w:hAnsi="Times New Roman" w:cs="Times New Roman"/>
        </w:rPr>
      </w:pPr>
      <w:r w:rsidRPr="004A269C">
        <w:rPr>
          <w:rFonts w:ascii="Times New Roman" w:hAnsi="Times New Roman" w:cs="Times New Roman"/>
          <w:b/>
          <w:bCs/>
        </w:rPr>
        <w:t>Figure 1.0.</w:t>
      </w:r>
      <w:r w:rsidRPr="005F31A0">
        <w:rPr>
          <w:rFonts w:ascii="Times New Roman" w:hAnsi="Times New Roman" w:cs="Times New Roman"/>
        </w:rPr>
        <w:t xml:space="preserve"> Digital poster by YukNgaji promoting a religious study session</w:t>
      </w:r>
    </w:p>
    <w:p w14:paraId="6B50F866" w14:textId="77777777" w:rsidR="00F61737" w:rsidRPr="0030728C" w:rsidRDefault="005F31A0" w:rsidP="0030728C">
      <w:pPr>
        <w:spacing w:after="0"/>
        <w:jc w:val="center"/>
        <w:rPr>
          <w:rFonts w:ascii="Times New Roman" w:hAnsi="Times New Roman" w:cs="Times New Roman"/>
        </w:rPr>
      </w:pPr>
      <w:r w:rsidRPr="005F31A0">
        <w:rPr>
          <w:rFonts w:ascii="Times New Roman" w:hAnsi="Times New Roman" w:cs="Times New Roman"/>
        </w:rPr>
        <w:t>(Source: Instagram @yukngajiid, 2024)</w:t>
      </w:r>
    </w:p>
    <w:p w14:paraId="1C565652" w14:textId="3E5FE55D" w:rsidR="005F31A0" w:rsidRPr="005F31A0" w:rsidRDefault="00303DE3" w:rsidP="005F31A0">
      <w:pPr>
        <w:spacing w:after="12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F31A0" w:rsidRPr="005F31A0">
        <w:rPr>
          <w:rFonts w:ascii="Times New Roman" w:hAnsi="Times New Roman" w:cs="Times New Roman"/>
          <w:sz w:val="24"/>
          <w:szCs w:val="24"/>
          <w:lang w:val="en-ID"/>
        </w:rPr>
        <w:t>With such high-quality content production that appeals to young audiences, it's no wonder that the clicktivism they foster has grown rapidly. Their number of followers on social media who actively engage through likes, subscriptions, and shares is massive compared to other da'wah movements targeting youth. Thanks to this creative clicktivism strategy, various hashtags they promote—one of which is the ecological issue with #lesswaste—easily penetrate social media traffic and often even make it to the trending topics. Their content is designed to have high shareability, leveraging digital platform algorithms to reach a broader audience</w:t>
      </w:r>
      <w:r w:rsidR="00EA3DDE">
        <w:rPr>
          <w:rFonts w:ascii="Times New Roman" w:hAnsi="Times New Roman" w:cs="Times New Roman"/>
          <w:sz w:val="24"/>
          <w:szCs w:val="24"/>
          <w:lang w:val="en-ID"/>
        </w:rPr>
        <w:t xml:space="preserve"> (Interview with </w:t>
      </w:r>
      <w:r w:rsidR="00940980">
        <w:rPr>
          <w:rFonts w:ascii="Times New Roman" w:hAnsi="Times New Roman" w:cs="Times New Roman"/>
          <w:sz w:val="24"/>
          <w:szCs w:val="24"/>
          <w:lang w:val="en-ID"/>
        </w:rPr>
        <w:t>Annisa Mujadilah</w:t>
      </w:r>
      <w:r w:rsidR="00EA3DDE">
        <w:rPr>
          <w:rFonts w:ascii="Times New Roman" w:hAnsi="Times New Roman" w:cs="Times New Roman"/>
          <w:sz w:val="24"/>
          <w:szCs w:val="24"/>
          <w:lang w:val="en-ID"/>
        </w:rPr>
        <w:t>, February 9, 2025)</w:t>
      </w:r>
      <w:r w:rsidR="005F31A0" w:rsidRPr="005F31A0">
        <w:rPr>
          <w:rFonts w:ascii="Times New Roman" w:hAnsi="Times New Roman" w:cs="Times New Roman"/>
          <w:sz w:val="24"/>
          <w:szCs w:val="24"/>
          <w:lang w:val="en-ID"/>
        </w:rPr>
        <w:t xml:space="preserve">. This demonstrates that their popular Islam strategy not only captures attention but also drives </w:t>
      </w:r>
      <w:r w:rsidR="005F31A0" w:rsidRPr="005F31A0">
        <w:rPr>
          <w:rFonts w:ascii="Times New Roman" w:hAnsi="Times New Roman" w:cs="Times New Roman"/>
          <w:sz w:val="24"/>
          <w:szCs w:val="24"/>
          <w:lang w:val="en-ID"/>
        </w:rPr>
        <w:lastRenderedPageBreak/>
        <w:t>high engagement in the digital realm. As of this writing, YukNgaji's Instagram followers have reached 840,000, with YouTube subscribers at 565,000.</w:t>
      </w:r>
    </w:p>
    <w:p w14:paraId="373A459B" w14:textId="73AF0BAD" w:rsidR="005F31A0" w:rsidRDefault="005F31A0" w:rsidP="0030728C">
      <w:pPr>
        <w:spacing w:after="120"/>
        <w:ind w:firstLine="567"/>
        <w:jc w:val="both"/>
        <w:rPr>
          <w:rFonts w:ascii="Times New Roman" w:hAnsi="Times New Roman" w:cs="Times New Roman"/>
          <w:sz w:val="24"/>
          <w:szCs w:val="24"/>
          <w:lang w:val="en-ID"/>
        </w:rPr>
      </w:pPr>
      <w:r w:rsidRPr="005F31A0">
        <w:rPr>
          <w:rFonts w:ascii="Times New Roman" w:hAnsi="Times New Roman" w:cs="Times New Roman"/>
          <w:sz w:val="24"/>
          <w:szCs w:val="24"/>
          <w:lang w:val="en-ID"/>
        </w:rPr>
        <w:t>After successfully capturing attention and building a strong digital base, the YukNgaji community does not stop at mere clicktivism. Their activism also extends to the offline realm through various initiatives that bring online ideas into real-world actions. Some of their offline activism includes fundraising for disaster victims as a form of social responsibility, participating in protests against the Israel-Palestine humanitarian conflict, and organizing hijrah classes and mentoring programs for young people who want to deepen their understanding of Islam more intensively</w:t>
      </w:r>
      <w:r w:rsidR="00EA3DDE">
        <w:rPr>
          <w:rFonts w:ascii="Times New Roman" w:hAnsi="Times New Roman" w:cs="Times New Roman"/>
          <w:sz w:val="24"/>
          <w:szCs w:val="24"/>
          <w:lang w:val="en-ID"/>
        </w:rPr>
        <w:t xml:space="preserve"> (Interview with Amir Salim, </w:t>
      </w:r>
      <w:r w:rsidR="007D343C">
        <w:rPr>
          <w:rFonts w:ascii="Times New Roman" w:hAnsi="Times New Roman" w:cs="Times New Roman"/>
          <w:sz w:val="24"/>
          <w:szCs w:val="24"/>
          <w:lang w:val="en-ID"/>
        </w:rPr>
        <w:t>December</w:t>
      </w:r>
      <w:r w:rsidR="00EA3DDE">
        <w:rPr>
          <w:rFonts w:ascii="Times New Roman" w:hAnsi="Times New Roman" w:cs="Times New Roman"/>
          <w:sz w:val="24"/>
          <w:szCs w:val="24"/>
          <w:lang w:val="en-ID"/>
        </w:rPr>
        <w:t xml:space="preserve"> 19, 202</w:t>
      </w:r>
      <w:r w:rsidR="007D343C">
        <w:rPr>
          <w:rFonts w:ascii="Times New Roman" w:hAnsi="Times New Roman" w:cs="Times New Roman"/>
          <w:sz w:val="24"/>
          <w:szCs w:val="24"/>
          <w:lang w:val="en-ID"/>
        </w:rPr>
        <w:t>4</w:t>
      </w:r>
      <w:r w:rsidR="00EA3DDE">
        <w:rPr>
          <w:rFonts w:ascii="Times New Roman" w:hAnsi="Times New Roman" w:cs="Times New Roman"/>
          <w:sz w:val="24"/>
          <w:szCs w:val="24"/>
          <w:lang w:val="en-ID"/>
        </w:rPr>
        <w:t>)</w:t>
      </w:r>
      <w:r w:rsidRPr="005F31A0">
        <w:rPr>
          <w:rFonts w:ascii="Times New Roman" w:hAnsi="Times New Roman" w:cs="Times New Roman"/>
          <w:sz w:val="24"/>
          <w:szCs w:val="24"/>
          <w:lang w:val="en-ID"/>
        </w:rPr>
        <w:t>.</w:t>
      </w:r>
    </w:p>
    <w:p w14:paraId="518D1F87" w14:textId="29887568" w:rsidR="005F31A0" w:rsidRDefault="00B26CC1" w:rsidP="005F31A0">
      <w:pPr>
        <w:spacing w:after="120"/>
        <w:ind w:firstLine="567"/>
        <w:jc w:val="both"/>
        <w:rPr>
          <w:rFonts w:ascii="Times New Roman" w:hAnsi="Times New Roman" w:cs="Times New Roman"/>
          <w:sz w:val="24"/>
          <w:szCs w:val="24"/>
          <w:lang w:val="en-ID"/>
        </w:rPr>
      </w:pPr>
      <w:r>
        <w:rPr>
          <w:noProof/>
        </w:rPr>
        <w:drawing>
          <wp:anchor distT="0" distB="0" distL="114300" distR="114300" simplePos="0" relativeHeight="251659776" behindDoc="0" locked="0" layoutInCell="1" allowOverlap="1" wp14:anchorId="757BAF43" wp14:editId="4937F833">
            <wp:simplePos x="0" y="0"/>
            <wp:positionH relativeFrom="margin">
              <wp:posOffset>724535</wp:posOffset>
            </wp:positionH>
            <wp:positionV relativeFrom="margin">
              <wp:posOffset>1994535</wp:posOffset>
            </wp:positionV>
            <wp:extent cx="4404995" cy="2655570"/>
            <wp:effectExtent l="0" t="0" r="0" b="0"/>
            <wp:wrapSquare wrapText="bothSides"/>
            <wp:docPr id="739617083"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04995" cy="2655570"/>
                    </a:xfrm>
                    <a:prstGeom prst="rect">
                      <a:avLst/>
                    </a:prstGeom>
                    <a:noFill/>
                    <a:ln>
                      <a:noFill/>
                    </a:ln>
                  </pic:spPr>
                </pic:pic>
              </a:graphicData>
            </a:graphic>
          </wp:anchor>
        </w:drawing>
      </w:r>
    </w:p>
    <w:p w14:paraId="2DFF5E2D" w14:textId="38140C52" w:rsidR="005F31A0" w:rsidRDefault="005F31A0" w:rsidP="005F31A0">
      <w:pPr>
        <w:spacing w:after="120"/>
        <w:ind w:firstLine="567"/>
        <w:jc w:val="both"/>
        <w:rPr>
          <w:rFonts w:ascii="Times New Roman" w:hAnsi="Times New Roman" w:cs="Times New Roman"/>
          <w:sz w:val="24"/>
          <w:szCs w:val="24"/>
          <w:lang w:val="en-ID"/>
        </w:rPr>
      </w:pPr>
    </w:p>
    <w:p w14:paraId="38CCBFE9" w14:textId="77777777" w:rsidR="005F31A0" w:rsidRDefault="005F31A0" w:rsidP="005F31A0">
      <w:pPr>
        <w:spacing w:after="120"/>
        <w:ind w:firstLine="567"/>
        <w:jc w:val="both"/>
        <w:rPr>
          <w:rFonts w:ascii="Times New Roman" w:hAnsi="Times New Roman" w:cs="Times New Roman"/>
          <w:sz w:val="24"/>
          <w:szCs w:val="24"/>
          <w:lang w:val="en-ID"/>
        </w:rPr>
      </w:pPr>
    </w:p>
    <w:p w14:paraId="21EB2623" w14:textId="77777777" w:rsidR="005F31A0" w:rsidRDefault="005F31A0" w:rsidP="005F31A0">
      <w:pPr>
        <w:spacing w:after="120"/>
        <w:ind w:firstLine="567"/>
        <w:jc w:val="both"/>
        <w:rPr>
          <w:rFonts w:ascii="Times New Roman" w:hAnsi="Times New Roman" w:cs="Times New Roman"/>
          <w:sz w:val="24"/>
          <w:szCs w:val="24"/>
          <w:lang w:val="en-ID"/>
        </w:rPr>
      </w:pPr>
    </w:p>
    <w:p w14:paraId="5522D40C" w14:textId="77777777" w:rsidR="005F31A0" w:rsidRDefault="005F31A0" w:rsidP="005F31A0">
      <w:pPr>
        <w:spacing w:after="120"/>
        <w:ind w:firstLine="567"/>
        <w:jc w:val="both"/>
        <w:rPr>
          <w:rFonts w:ascii="Times New Roman" w:hAnsi="Times New Roman" w:cs="Times New Roman"/>
          <w:sz w:val="24"/>
          <w:szCs w:val="24"/>
          <w:lang w:val="en-ID"/>
        </w:rPr>
      </w:pPr>
    </w:p>
    <w:p w14:paraId="342DA734" w14:textId="77777777" w:rsidR="005F31A0" w:rsidRPr="005F31A0" w:rsidRDefault="005F31A0" w:rsidP="005F31A0">
      <w:pPr>
        <w:spacing w:after="120"/>
        <w:ind w:firstLine="567"/>
        <w:jc w:val="both"/>
        <w:rPr>
          <w:rFonts w:ascii="Times New Roman" w:eastAsia="Times New Roman" w:hAnsi="Times New Roman" w:cs="Times New Roman"/>
          <w:sz w:val="24"/>
          <w:szCs w:val="24"/>
        </w:rPr>
      </w:pPr>
    </w:p>
    <w:p w14:paraId="56743D5F" w14:textId="77777777" w:rsidR="005F31A0" w:rsidRDefault="005F31A0">
      <w:pPr>
        <w:spacing w:after="120"/>
        <w:ind w:firstLine="567"/>
        <w:jc w:val="both"/>
        <w:rPr>
          <w:rFonts w:ascii="Times New Roman" w:eastAsia="Times New Roman" w:hAnsi="Times New Roman" w:cs="Times New Roman"/>
          <w:sz w:val="24"/>
          <w:szCs w:val="24"/>
        </w:rPr>
      </w:pPr>
    </w:p>
    <w:p w14:paraId="44634A4A" w14:textId="77777777" w:rsidR="005F31A0" w:rsidRDefault="005F31A0">
      <w:pPr>
        <w:spacing w:after="120"/>
        <w:ind w:firstLine="567"/>
        <w:jc w:val="both"/>
        <w:rPr>
          <w:rFonts w:ascii="Times New Roman" w:eastAsia="Times New Roman" w:hAnsi="Times New Roman" w:cs="Times New Roman"/>
          <w:sz w:val="24"/>
          <w:szCs w:val="24"/>
        </w:rPr>
      </w:pPr>
    </w:p>
    <w:p w14:paraId="3025DE7D" w14:textId="77777777" w:rsidR="005F31A0" w:rsidRDefault="005F31A0">
      <w:pPr>
        <w:spacing w:after="120"/>
        <w:ind w:firstLine="567"/>
        <w:jc w:val="both"/>
        <w:rPr>
          <w:rFonts w:ascii="Times New Roman" w:eastAsia="Times New Roman" w:hAnsi="Times New Roman" w:cs="Times New Roman"/>
          <w:sz w:val="24"/>
          <w:szCs w:val="24"/>
        </w:rPr>
      </w:pPr>
    </w:p>
    <w:p w14:paraId="37D52093" w14:textId="77777777" w:rsidR="00AD3B39" w:rsidRDefault="00AD3B39" w:rsidP="0030728C">
      <w:pPr>
        <w:spacing w:after="120"/>
        <w:rPr>
          <w:rFonts w:ascii="Times New Roman" w:hAnsi="Times New Roman" w:cs="Times New Roman"/>
        </w:rPr>
      </w:pPr>
    </w:p>
    <w:p w14:paraId="064F85F7" w14:textId="77777777" w:rsidR="005F31A0" w:rsidRPr="005F31A0" w:rsidRDefault="005F31A0" w:rsidP="005F31A0">
      <w:pPr>
        <w:spacing w:after="120"/>
        <w:jc w:val="center"/>
        <w:rPr>
          <w:rFonts w:ascii="Times New Roman" w:eastAsia="Times New Roman" w:hAnsi="Times New Roman" w:cs="Times New Roman"/>
          <w:sz w:val="24"/>
          <w:szCs w:val="24"/>
        </w:rPr>
      </w:pPr>
      <w:r w:rsidRPr="004A269C">
        <w:rPr>
          <w:rFonts w:ascii="Times New Roman" w:hAnsi="Times New Roman" w:cs="Times New Roman"/>
          <w:b/>
          <w:bCs/>
        </w:rPr>
        <w:t>Figure 1.1.</w:t>
      </w:r>
      <w:r w:rsidRPr="005F31A0">
        <w:rPr>
          <w:rFonts w:ascii="Times New Roman" w:hAnsi="Times New Roman" w:cs="Times New Roman"/>
        </w:rPr>
        <w:t xml:space="preserve"> YukNgaji Offline Mentoring Program (Source: Instagram @yukngajijakbar, 2024)</w:t>
      </w:r>
    </w:p>
    <w:p w14:paraId="33D3110C" w14:textId="77777777" w:rsidR="005F31A0" w:rsidRPr="005F31A0" w:rsidRDefault="005F31A0" w:rsidP="005F31A0">
      <w:pPr>
        <w:spacing w:after="120"/>
        <w:ind w:firstLine="567"/>
        <w:jc w:val="both"/>
        <w:rPr>
          <w:rFonts w:ascii="Times New Roman" w:hAnsi="Times New Roman" w:cs="Times New Roman"/>
          <w:sz w:val="24"/>
          <w:szCs w:val="24"/>
          <w:lang w:val="en-ID"/>
        </w:rPr>
      </w:pPr>
      <w:r w:rsidRPr="005F31A0">
        <w:rPr>
          <w:rFonts w:ascii="Times New Roman" w:hAnsi="Times New Roman" w:cs="Times New Roman"/>
          <w:sz w:val="24"/>
          <w:szCs w:val="24"/>
          <w:lang w:val="en-ID"/>
        </w:rPr>
        <w:t>Moreover, one of the significant campaigns highlighted in this journal is the green movement #lesswaste, which promotes environmental awareness within the framework of Islamic values. Mass mobilization in these initiatives is notably effective because the YukNgaji community has branches in various regions, each managed by local youth</w:t>
      </w:r>
      <w:r w:rsidR="00F93614">
        <w:rPr>
          <w:rFonts w:ascii="Times New Roman" w:hAnsi="Times New Roman" w:cs="Times New Roman"/>
          <w:sz w:val="24"/>
          <w:szCs w:val="24"/>
          <w:lang w:val="en-ID"/>
        </w:rPr>
        <w:t xml:space="preserve"> </w:t>
      </w:r>
      <w:r w:rsidR="00F93614">
        <w:rPr>
          <w:rFonts w:ascii="Times New Roman" w:hAnsi="Times New Roman" w:cs="Times New Roman"/>
          <w:sz w:val="24"/>
          <w:szCs w:val="24"/>
          <w:lang w:val="en-ID"/>
        </w:rPr>
        <w:fldChar w:fldCharType="begin" w:fldLock="1"/>
      </w:r>
      <w:r w:rsidR="00F93614">
        <w:rPr>
          <w:rFonts w:ascii="Times New Roman" w:hAnsi="Times New Roman" w:cs="Times New Roman"/>
          <w:sz w:val="24"/>
          <w:szCs w:val="24"/>
          <w:lang w:val="en-ID"/>
        </w:rPr>
        <w:instrText>ADDIN CSL_CITATION {"citationItems":[{"id":"ITEM-1","itemData":{"DOI":"10.36418/syntax-imperatif.v1i1.3","ISSN":"2721-2491","abstract":"Melihat fenomena anak muda zaman sekarang yang cenderung salah dalam mengartikan moderenisasi dan westrenisasi Sehingga bisa membuat anak muda jauh dari agama Islam. Dan menjadi perhatian khusus salah satu founder komunitas yang ada di Bandung, yaitu komunitas “Yuk Ngaji”. Komunitas ini merangkul para kaum muda yang biasanya susah untuk di ajak mengaji. Berdasarkan konteks diatas, maka tujuan penelitian ini adalah untuk mengetahui perumusan strategi dakwah dalam menerapkan nilai ajaran Islam dan apasaja factor pendukung dan penghambat dakwah dalam komunitas “Yuk Ngaji”. Teori yang di kemukakan terbagi menjadi empat bagian, yaitu: Strategi, Dakwah, Strategi Dakwah, dan Nilai Ajaran Islam. Strategi dakwah yang dilakukan oleh komunitas “Yuk Ngaji” secara garis besar dilakukan melalui media online dan offline. Kegiatan offline dalam menerapkan nilai ajaran Islam akan sejalan dengan prinsip yang dianut yaitu dimulai dengan merubah tindakan. Mengubah pola fikir terlebih dahulu, dengan memberikan asupan informasi-informasi positif. informasi-informasi positif adalah informasi yang sifatnya benar atau shahih yang berdasarkan Islam dan bersum berdari Al-Qur’an dan As-Sunnah. Terdapat factor pendukung dan penghambat dakwah di komunitas “Yuk Ngaji” baik dari internal maupun eksternal.","author":[{"dropping-particle":"","family":"Sopian","given":"Dyka Apriliani","non-dropping-particle":"","parse-names":false,"suffix":""}],"container-title":"JURNAL SYNTAX IMPERATIF : Jurnal Ilmu Sosial dan Pendidikan","id":"ITEM-1","issue":"1","issued":{"date-parts":[["2020"]]},"page":"1","title":"Strategi Dakwah Dalam Menerapkan Nilai Ajaran Islam Di Komunitas “Yuk Ngaji” Wilayah Bandung","type":"article-journal","volume":"1"},"uris":["http://www.mendeley.com/documents/?uuid=aff14763-d52d-4b26-b8c2-5d6ecb16111e"]},{"id":"ITEM-2","itemData":{"DOI":"10.21580/icj.2023.8.2.16331","ISSN":"2541-5182","abstract":"The strawberry generation, Generation Z, has much potential but a fragile mentality like a strawberry, even though Indonesia will get a demographic bonus at a productive age. This is the responsibility of da'wah because it is part of the object of da'wah. YukNgaji TV is a channel that seeks to overcome the problems of millennial teenagers. The research aims to examine the da'wah approach of the YukNgaji TV channel for the strawberry generation using a content analysis approach, where data is collected using documentation and observation techniques. The findings were that the preacher of the channel was chosen from Generation Z (still young), an influencer with advanced knowledge. The da’wah method uses casual sharing discussions, lectures, inspirational stories, and brainstorming. The YouTube media is packaged with live streaming and live events and posting da'wah content, which contains themes of youth, morals, and relationships for the strawberry generation. The effects on the strawberry generation can be cognitive and affective, but further investigation is needed regarding the behavioral effects of the strawberry generation. In this way, the study can contribute to developing preaching approaches that are always required to be dynamic. ***Generasi strawberi merupakan generasi Z yang memiliki banyak potensi, namun memiliki mental rapuh seperti layaknya buah strawberi, padahal Indonesia akan mendapatkan bonus demografi di usia yang produktif. Hal tersebut menjadi tanggungjawab dakwah, karena menjadi bagian dari objek dakwah. YukNgaji TV menjadi channel yang berupaya untuk mengatasi permasalahan remaja milenial ini. Tujuan penelitian untuk mengkaji pendekatan dakwah channel YukNgaji TV bagi generasi strawberi dengan menggunakan pendekatan content analysis, dimana data dikumpulkan dengan teknik dokumentasi dan observasi. Temuannya adalah bahwa pada penelitian channel dakwah ini, berbagai pendekatan dakwah digunakan untuk menjawab persoalan dari generasi strawberi. Pendakwah dipilih dari generasi Z (masih muda), seorang influencer yang memiliki keilmuan yang mumpuni. Metode dakwah dilakukan dengan diskusi sharing santai, ceramah, cerita inspiratif dan brainstorming yang jarang dipakai didunia dakwah. Media pengantar pesan dakwah melalui youtube yang dikemas dengan live streaming dan live event serta postingan konten dakwah, yang berisikan tema keremajaan dan akhlak serta pergaulan bagi generasi strawberi. Efek bagi generasi strawberi ini dapat berupa kog…","author":[{"dropping-particle":"","family":"Rohman","given":"Angga Nur","non-dropping-particle":"","parse-names":false,"suffix":""},{"dropping-particle":"","family":"Nurdin","given":"Ali","non-dropping-particle":"","parse-names":false,"suffix":""},{"dropping-particle":"","family":"Eken","given":"Metin","non-dropping-particle":"","parse-names":false,"suffix":""},{"dropping-particle":"","family":"Bax","given":"Wazir Baksh","non-dropping-particle":"","parse-names":false,"suffix":""}],"container-title":"Islamic Communication Journal","id":"ITEM-2","issue":"2","issued":{"date-parts":[["2023"]]},"page":"303-228","title":"Da’wah Approach to The Strawberry Generation: A Study on Yuk Ngaji TV Channel","type":"article-journal","volume":"8"},"uris":["http://www.mendeley.com/documents/?uuid=2c976893-2f47-4241-87f2-3c2279b11a80"]},{"id":"ITEM-3","itemData":{"abstract":"… efektivitas komunitas Yuk Ngaji Lampung sebagai media dakwah. … ini adalah seluruh pengurus komunitas Yuk Ngaji Lampung … diambil kesimpulan bahwa komunitas Yuk Ngaji dalam …","author":[{"dropping-particle":"","family":"Salagi","given":"Rahfi Rahmat","non-dropping-particle":"","parse-names":false,"suffix":""}],"id":"ITEM-3","issued":{"date-parts":[["2023"]]},"publisher":"UIN Raden Intan Lampung","title":"Efektivitas Komunitas Yuk Ngaji Sebagai Media Dakwah Di Bandar Lampung","type":"thesis"},"uris":["http://www.mendeley.com/documents/?uuid=cca711aa-f1ab-4e88-b70b-48275ada70c9"]}],"mendeley":{"formattedCitation":"(Rohman et al., 2023; Salagi, 2023; Sopian, 2020)","plainTextFormattedCitation":"(Rohman et al., 2023; Salagi, 2023; Sopian, 2020)","previouslyFormattedCitation":"(Rohman et al., 2023; Salagi, 2023; Sopian, 2020)"},"properties":{"noteIndex":0},"schema":"https://github.com/citation-style-language/schema/raw/master/csl-citation.json"}</w:instrText>
      </w:r>
      <w:r w:rsidR="00F93614">
        <w:rPr>
          <w:rFonts w:ascii="Times New Roman" w:hAnsi="Times New Roman" w:cs="Times New Roman"/>
          <w:sz w:val="24"/>
          <w:szCs w:val="24"/>
          <w:lang w:val="en-ID"/>
        </w:rPr>
        <w:fldChar w:fldCharType="separate"/>
      </w:r>
      <w:r w:rsidR="00F93614" w:rsidRPr="00F93614">
        <w:rPr>
          <w:rFonts w:ascii="Times New Roman" w:hAnsi="Times New Roman" w:cs="Times New Roman"/>
          <w:noProof/>
          <w:sz w:val="24"/>
          <w:szCs w:val="24"/>
          <w:lang w:val="en-ID"/>
        </w:rPr>
        <w:t>(Rohman et al., 2023; Salagi, 2023; Sopian, 2020)</w:t>
      </w:r>
      <w:r w:rsidR="00F93614">
        <w:rPr>
          <w:rFonts w:ascii="Times New Roman" w:hAnsi="Times New Roman" w:cs="Times New Roman"/>
          <w:sz w:val="24"/>
          <w:szCs w:val="24"/>
          <w:lang w:val="en-ID"/>
        </w:rPr>
        <w:fldChar w:fldCharType="end"/>
      </w:r>
      <w:r w:rsidR="00F93614">
        <w:rPr>
          <w:rFonts w:ascii="Times New Roman" w:hAnsi="Times New Roman" w:cs="Times New Roman"/>
          <w:sz w:val="24"/>
          <w:szCs w:val="24"/>
          <w:lang w:val="en-ID"/>
        </w:rPr>
        <w:t>.</w:t>
      </w:r>
      <w:r w:rsidRPr="005F31A0">
        <w:rPr>
          <w:rFonts w:ascii="Times New Roman" w:hAnsi="Times New Roman" w:cs="Times New Roman"/>
          <w:sz w:val="24"/>
          <w:szCs w:val="24"/>
          <w:lang w:val="en-ID"/>
        </w:rPr>
        <w:t xml:space="preserve"> With this decentralized model, each area can adapt strategies and activities according to its local character, allowing the movement not only to achieve broad reach but also to become more grounded and easily accepted by surrounding communities.</w:t>
      </w:r>
    </w:p>
    <w:p w14:paraId="4341DBAA" w14:textId="77777777" w:rsidR="005F31A0" w:rsidRPr="005F31A0" w:rsidRDefault="005F31A0" w:rsidP="005F31A0">
      <w:pPr>
        <w:spacing w:after="120"/>
        <w:ind w:firstLine="567"/>
        <w:jc w:val="both"/>
        <w:rPr>
          <w:rFonts w:ascii="Times New Roman" w:hAnsi="Times New Roman" w:cs="Times New Roman"/>
          <w:sz w:val="24"/>
          <w:szCs w:val="24"/>
          <w:lang w:val="en-ID"/>
        </w:rPr>
      </w:pPr>
      <w:r w:rsidRPr="005F31A0">
        <w:rPr>
          <w:rFonts w:ascii="Times New Roman" w:hAnsi="Times New Roman" w:cs="Times New Roman"/>
          <w:sz w:val="24"/>
          <w:szCs w:val="24"/>
          <w:lang w:val="en-ID"/>
        </w:rPr>
        <w:t>With its combination of digital strategy and real-world action, the YukNgaji community can be categorized as a form of hybrid activism—a movement that is not only active on social media through clicktivism but also demonstrates strong mobilization power in the real world. They leverage digital algorithms to build a solid online community while simultaneously driving concrete social, educational, and environmental actions. This model enables their da'wah to go beyond mere virtual virality, creating tangible impacts in society and establishing YukNgaji as an example of contemporary da'wah that is both adaptive and relevant.</w:t>
      </w:r>
    </w:p>
    <w:p w14:paraId="5094EE96" w14:textId="5D82FEF7" w:rsidR="005F31A0" w:rsidRPr="005F31A0" w:rsidRDefault="005F31A0" w:rsidP="005F31A0">
      <w:pPr>
        <w:pStyle w:val="ListParagraph"/>
        <w:numPr>
          <w:ilvl w:val="0"/>
          <w:numId w:val="1"/>
        </w:numPr>
        <w:spacing w:after="120"/>
        <w:ind w:left="360"/>
        <w:jc w:val="both"/>
        <w:rPr>
          <w:rFonts w:ascii="Times New Roman" w:hAnsi="Times New Roman" w:cs="Times New Roman"/>
          <w:sz w:val="24"/>
          <w:szCs w:val="24"/>
        </w:rPr>
      </w:pPr>
      <w:r w:rsidRPr="005F31A0">
        <w:rPr>
          <w:rFonts w:ascii="Times New Roman" w:hAnsi="Times New Roman" w:cs="Times New Roman"/>
          <w:sz w:val="24"/>
          <w:szCs w:val="24"/>
        </w:rPr>
        <w:t>The #LessWaste Campaign by the YukNgaji Community</w:t>
      </w:r>
      <w:r w:rsidR="00EA7189">
        <w:rPr>
          <w:rFonts w:ascii="Times New Roman" w:hAnsi="Times New Roman" w:cs="Times New Roman"/>
          <w:sz w:val="24"/>
          <w:szCs w:val="24"/>
        </w:rPr>
        <w:t>-based education.</w:t>
      </w:r>
    </w:p>
    <w:p w14:paraId="7C91C48F" w14:textId="69F93045" w:rsidR="005F31A0" w:rsidRPr="005F31A0" w:rsidRDefault="005F31A0" w:rsidP="005F31A0">
      <w:pPr>
        <w:spacing w:after="120"/>
        <w:ind w:firstLine="567"/>
        <w:jc w:val="both"/>
        <w:rPr>
          <w:rFonts w:ascii="Times New Roman" w:eastAsia="Times New Roman" w:hAnsi="Times New Roman" w:cs="Times New Roman"/>
          <w:sz w:val="24"/>
          <w:szCs w:val="24"/>
        </w:rPr>
      </w:pPr>
      <w:r w:rsidRPr="005F31A0">
        <w:rPr>
          <w:rFonts w:ascii="Times New Roman" w:hAnsi="Times New Roman" w:cs="Times New Roman"/>
          <w:sz w:val="24"/>
          <w:szCs w:val="24"/>
          <w:lang w:val="en-ID"/>
        </w:rPr>
        <w:lastRenderedPageBreak/>
        <w:t>Based on an interview with one of YukNgaji's administrators, the slogan "Less Waste, More Life," which means "fewer waste, more life," was popularized by the community from late 2019 to early 2020. This campaign stemmed from YukNgaji’s desire to demonstrate that Islamic movements are not solely focused on religious aspects but also have tangible social impacts. The informant added that, at the time, environmental issues were gaining significant attention among activists, with many figures and environmental movements starting to rise</w:t>
      </w:r>
      <w:r w:rsidR="00EA3DDE">
        <w:rPr>
          <w:rFonts w:ascii="Times New Roman" w:hAnsi="Times New Roman" w:cs="Times New Roman"/>
          <w:sz w:val="24"/>
          <w:szCs w:val="24"/>
          <w:lang w:val="en-ID"/>
        </w:rPr>
        <w:t xml:space="preserve"> (</w:t>
      </w:r>
      <w:r w:rsidR="007D343C">
        <w:rPr>
          <w:rFonts w:ascii="Times New Roman" w:hAnsi="Times New Roman" w:cs="Times New Roman"/>
          <w:sz w:val="24"/>
          <w:szCs w:val="24"/>
          <w:lang w:val="en-ID"/>
        </w:rPr>
        <w:t>Interview with Irfan Arham, 15 December, 2024)</w:t>
      </w:r>
      <w:r w:rsidRPr="005F31A0">
        <w:rPr>
          <w:rFonts w:ascii="Times New Roman" w:hAnsi="Times New Roman" w:cs="Times New Roman"/>
          <w:sz w:val="24"/>
          <w:szCs w:val="24"/>
          <w:lang w:val="en-ID"/>
        </w:rPr>
        <w:t>. YukNgaji leveraged this momentum according to their "riding the wave" strategy, consistently aligning their messages with current issues to ensure broader acceptance of their da'wah (Islamic outreach).</w:t>
      </w:r>
    </w:p>
    <w:p w14:paraId="7F2E9A81" w14:textId="364E2330" w:rsidR="005F31A0" w:rsidRDefault="005F31A0" w:rsidP="005F31A0">
      <w:pPr>
        <w:spacing w:after="120"/>
        <w:ind w:firstLine="567"/>
        <w:jc w:val="both"/>
        <w:rPr>
          <w:rFonts w:ascii="Times New Roman" w:hAnsi="Times New Roman" w:cs="Times New Roman"/>
          <w:sz w:val="24"/>
          <w:szCs w:val="24"/>
          <w:lang w:val="en-ID"/>
        </w:rPr>
      </w:pPr>
      <w:r w:rsidRPr="005F31A0">
        <w:rPr>
          <w:rFonts w:ascii="Times New Roman" w:hAnsi="Times New Roman" w:cs="Times New Roman"/>
          <w:sz w:val="24"/>
          <w:szCs w:val="24"/>
          <w:lang w:val="en-ID"/>
        </w:rPr>
        <w:t>The movement draws from Islamic teachings that promote balance and responsibility towards the earth as a trust from God. Through various studies and community activities, YukNgaji encouraged its members to reduce single-use plastics, utilize recycled items, and adopt a more eco-friendly lifestyle</w:t>
      </w:r>
      <w:r w:rsidR="007D343C">
        <w:rPr>
          <w:rFonts w:ascii="Times New Roman" w:hAnsi="Times New Roman" w:cs="Times New Roman"/>
          <w:sz w:val="24"/>
          <w:szCs w:val="24"/>
          <w:lang w:val="en-ID"/>
        </w:rPr>
        <w:t xml:space="preserve"> (Interview with Amir Salim, February 25, 2025) </w:t>
      </w:r>
      <w:r w:rsidRPr="005F31A0">
        <w:rPr>
          <w:rFonts w:ascii="Times New Roman" w:hAnsi="Times New Roman" w:cs="Times New Roman"/>
          <w:sz w:val="24"/>
          <w:szCs w:val="24"/>
          <w:lang w:val="en-ID"/>
        </w:rPr>
        <w:t>. The slogan was eventually shortened to the hashtag #LessWaste, which became the movement’s main identity across digital platforms and offline activities. This hashtag was also immortalized in YukNgaji’s official merchandise as a means to strengthen branding and expand the reach of their campaign.</w:t>
      </w:r>
    </w:p>
    <w:p w14:paraId="39EA511B" w14:textId="6EA8B071" w:rsidR="005F31A0" w:rsidRPr="005F31A0" w:rsidRDefault="007D343C" w:rsidP="005F31A0">
      <w:pPr>
        <w:spacing w:after="120"/>
        <w:ind w:firstLine="567"/>
        <w:jc w:val="both"/>
        <w:rPr>
          <w:rFonts w:ascii="Times New Roman" w:eastAsia="Times New Roman" w:hAnsi="Times New Roman" w:cs="Times New Roman"/>
          <w:sz w:val="24"/>
          <w:szCs w:val="24"/>
        </w:rPr>
      </w:pPr>
      <w:r>
        <w:rPr>
          <w:noProof/>
        </w:rPr>
        <w:drawing>
          <wp:anchor distT="0" distB="0" distL="114300" distR="114300" simplePos="0" relativeHeight="251659264" behindDoc="0" locked="0" layoutInCell="1" allowOverlap="1" wp14:anchorId="7CD2F4AC" wp14:editId="0B5BC30E">
            <wp:simplePos x="0" y="0"/>
            <wp:positionH relativeFrom="margin">
              <wp:posOffset>1102995</wp:posOffset>
            </wp:positionH>
            <wp:positionV relativeFrom="margin">
              <wp:posOffset>3625850</wp:posOffset>
            </wp:positionV>
            <wp:extent cx="3530600" cy="2622550"/>
            <wp:effectExtent l="0" t="0" r="0" b="6350"/>
            <wp:wrapSquare wrapText="bothSides"/>
            <wp:docPr id="279691306"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0600" cy="262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365797" w14:textId="1257E4AA" w:rsidR="005F31A0" w:rsidRDefault="005F31A0">
      <w:pPr>
        <w:spacing w:after="120"/>
        <w:ind w:firstLine="567"/>
        <w:jc w:val="both"/>
        <w:rPr>
          <w:rFonts w:ascii="Times New Roman" w:eastAsia="Times New Roman" w:hAnsi="Times New Roman" w:cs="Times New Roman"/>
          <w:sz w:val="24"/>
          <w:szCs w:val="24"/>
        </w:rPr>
      </w:pPr>
    </w:p>
    <w:p w14:paraId="58CB3371" w14:textId="795C857E" w:rsidR="005F31A0" w:rsidRDefault="005F31A0">
      <w:pPr>
        <w:spacing w:after="120"/>
        <w:ind w:firstLine="567"/>
        <w:jc w:val="both"/>
        <w:rPr>
          <w:rFonts w:ascii="Times New Roman" w:eastAsia="Times New Roman" w:hAnsi="Times New Roman" w:cs="Times New Roman"/>
          <w:sz w:val="24"/>
          <w:szCs w:val="24"/>
        </w:rPr>
      </w:pPr>
    </w:p>
    <w:p w14:paraId="06814BFF" w14:textId="3F277C0F" w:rsidR="005F31A0" w:rsidRDefault="005F31A0">
      <w:pPr>
        <w:spacing w:after="120"/>
        <w:ind w:firstLine="567"/>
        <w:jc w:val="both"/>
        <w:rPr>
          <w:rFonts w:ascii="Times New Roman" w:eastAsia="Times New Roman" w:hAnsi="Times New Roman" w:cs="Times New Roman"/>
          <w:sz w:val="24"/>
          <w:szCs w:val="24"/>
        </w:rPr>
      </w:pPr>
    </w:p>
    <w:p w14:paraId="294D363A" w14:textId="77777777" w:rsidR="00F93614" w:rsidRDefault="00F93614">
      <w:pPr>
        <w:spacing w:after="120"/>
        <w:ind w:firstLine="567"/>
        <w:jc w:val="both"/>
        <w:rPr>
          <w:rFonts w:ascii="Times New Roman" w:eastAsia="Times New Roman" w:hAnsi="Times New Roman" w:cs="Times New Roman"/>
          <w:sz w:val="24"/>
          <w:szCs w:val="24"/>
        </w:rPr>
      </w:pPr>
    </w:p>
    <w:p w14:paraId="12261894" w14:textId="77777777" w:rsidR="00F93614" w:rsidRDefault="00F93614">
      <w:pPr>
        <w:spacing w:after="120"/>
        <w:ind w:firstLine="567"/>
        <w:jc w:val="both"/>
        <w:rPr>
          <w:rFonts w:ascii="Times New Roman" w:eastAsia="Times New Roman" w:hAnsi="Times New Roman" w:cs="Times New Roman"/>
          <w:sz w:val="24"/>
          <w:szCs w:val="24"/>
        </w:rPr>
      </w:pPr>
    </w:p>
    <w:p w14:paraId="5A89A082" w14:textId="77777777" w:rsidR="00F93614" w:rsidRDefault="00F93614">
      <w:pPr>
        <w:spacing w:after="120"/>
        <w:ind w:firstLine="567"/>
        <w:jc w:val="both"/>
        <w:rPr>
          <w:rFonts w:ascii="Times New Roman" w:eastAsia="Times New Roman" w:hAnsi="Times New Roman" w:cs="Times New Roman"/>
          <w:sz w:val="24"/>
          <w:szCs w:val="24"/>
        </w:rPr>
      </w:pPr>
    </w:p>
    <w:p w14:paraId="6CDF84A6" w14:textId="77777777" w:rsidR="00F93614" w:rsidRDefault="00F93614">
      <w:pPr>
        <w:spacing w:after="120"/>
        <w:ind w:firstLine="567"/>
        <w:jc w:val="both"/>
        <w:rPr>
          <w:rFonts w:ascii="Times New Roman" w:eastAsia="Times New Roman" w:hAnsi="Times New Roman" w:cs="Times New Roman"/>
          <w:sz w:val="24"/>
          <w:szCs w:val="24"/>
        </w:rPr>
      </w:pPr>
    </w:p>
    <w:p w14:paraId="55F0C3F2" w14:textId="77777777" w:rsidR="005F31A0" w:rsidRDefault="005F31A0" w:rsidP="00F93614">
      <w:pPr>
        <w:spacing w:after="120"/>
        <w:jc w:val="both"/>
        <w:rPr>
          <w:rFonts w:ascii="Times New Roman" w:eastAsia="Times New Roman" w:hAnsi="Times New Roman" w:cs="Times New Roman"/>
          <w:sz w:val="24"/>
          <w:szCs w:val="24"/>
        </w:rPr>
      </w:pPr>
    </w:p>
    <w:p w14:paraId="109A0DA2" w14:textId="77777777" w:rsidR="00E67B92" w:rsidRPr="00F93614" w:rsidRDefault="00E67B92" w:rsidP="00F93614">
      <w:pPr>
        <w:spacing w:after="120"/>
        <w:jc w:val="both"/>
        <w:rPr>
          <w:rFonts w:ascii="Times New Roman" w:eastAsia="Times New Roman" w:hAnsi="Times New Roman" w:cs="Times New Roman"/>
          <w:sz w:val="24"/>
          <w:szCs w:val="24"/>
        </w:rPr>
      </w:pPr>
    </w:p>
    <w:p w14:paraId="0109B6DA" w14:textId="77777777" w:rsidR="005F31A0" w:rsidRDefault="005F31A0" w:rsidP="005F31A0">
      <w:pPr>
        <w:spacing w:after="0"/>
        <w:jc w:val="center"/>
        <w:rPr>
          <w:rFonts w:ascii="Times New Roman" w:hAnsi="Times New Roman" w:cs="Times New Roman"/>
        </w:rPr>
      </w:pPr>
      <w:r w:rsidRPr="004A269C">
        <w:rPr>
          <w:rFonts w:ascii="Times New Roman" w:hAnsi="Times New Roman" w:cs="Times New Roman"/>
          <w:b/>
          <w:bCs/>
        </w:rPr>
        <w:t>Figure 1.3.</w:t>
      </w:r>
      <w:r w:rsidRPr="005F31A0">
        <w:rPr>
          <w:rFonts w:ascii="Times New Roman" w:hAnsi="Times New Roman" w:cs="Times New Roman"/>
        </w:rPr>
        <w:t xml:space="preserve"> Drinking tumbler with the YukNgaji logo and the LessWaste slogan</w:t>
      </w:r>
    </w:p>
    <w:p w14:paraId="6CB8891B" w14:textId="77777777" w:rsidR="005F31A0" w:rsidRDefault="005F31A0" w:rsidP="00E67B92">
      <w:pPr>
        <w:spacing w:after="0"/>
        <w:jc w:val="center"/>
        <w:rPr>
          <w:rFonts w:ascii="Times New Roman" w:eastAsia="Times New Roman" w:hAnsi="Times New Roman" w:cs="Times New Roman"/>
          <w:sz w:val="24"/>
          <w:szCs w:val="24"/>
        </w:rPr>
      </w:pPr>
      <w:r w:rsidRPr="005F31A0">
        <w:rPr>
          <w:rFonts w:ascii="Times New Roman" w:hAnsi="Times New Roman" w:cs="Times New Roman"/>
        </w:rPr>
        <w:t>(Source: Instagram @yukngajiid, 2020)</w:t>
      </w:r>
    </w:p>
    <w:p w14:paraId="7E70CEB0" w14:textId="4B8ED900" w:rsidR="005F31A0" w:rsidRPr="005F31A0" w:rsidRDefault="005F31A0" w:rsidP="005F31A0">
      <w:pPr>
        <w:spacing w:after="120"/>
        <w:ind w:firstLine="567"/>
        <w:jc w:val="both"/>
        <w:rPr>
          <w:rFonts w:ascii="Times New Roman" w:hAnsi="Times New Roman" w:cs="Times New Roman"/>
          <w:sz w:val="24"/>
          <w:szCs w:val="24"/>
          <w:lang w:val="en-ID"/>
        </w:rPr>
      </w:pPr>
      <w:r w:rsidRPr="005F31A0">
        <w:rPr>
          <w:rFonts w:ascii="Times New Roman" w:hAnsi="Times New Roman" w:cs="Times New Roman"/>
          <w:sz w:val="24"/>
          <w:szCs w:val="24"/>
          <w:lang w:val="en-ID"/>
        </w:rPr>
        <w:t>In promoting the #LessWaste movement, YukNgaji maintained its pop-out and relatable preaching style for young audiences. The campaign was presented in various content formats, such as digital posters, short videos, webinars, and offline activities that were massively promoted through social media. The uniqueness of this strategy was further strengthened by collaborations with popular preachers like Hanan Attaki, Oemar Mita, Abdul Somad, and Felix Siauw. The presence of these four figures not only expanded the campaign's reach but also reinforced its message, considering each has a dedicated and loyal follower base</w:t>
      </w:r>
      <w:r w:rsidR="007D343C">
        <w:rPr>
          <w:rFonts w:ascii="Times New Roman" w:hAnsi="Times New Roman" w:cs="Times New Roman"/>
          <w:sz w:val="24"/>
          <w:szCs w:val="24"/>
          <w:lang w:val="en-ID"/>
        </w:rPr>
        <w:t xml:space="preserve"> (Interview with Amir Salim, February 25, 2025)</w:t>
      </w:r>
      <w:r w:rsidRPr="005F31A0">
        <w:rPr>
          <w:rFonts w:ascii="Times New Roman" w:hAnsi="Times New Roman" w:cs="Times New Roman"/>
          <w:sz w:val="24"/>
          <w:szCs w:val="24"/>
          <w:lang w:val="en-ID"/>
        </w:rPr>
        <w:t xml:space="preserve">. They became symbols of the #LessWaste movement, which then evolved into the broader #BarisanBangunNegeri campaign, indicating </w:t>
      </w:r>
      <w:r w:rsidRPr="005F31A0">
        <w:rPr>
          <w:rFonts w:ascii="Times New Roman" w:hAnsi="Times New Roman" w:cs="Times New Roman"/>
          <w:sz w:val="24"/>
          <w:szCs w:val="24"/>
          <w:lang w:val="en-ID"/>
        </w:rPr>
        <w:lastRenderedPageBreak/>
        <w:t xml:space="preserve">that the environmental spirit promoted by the initiative extended beyond ecological issues to social activities, such as social donations, distribution of basic necessities, and fundraising and charity for marginalized Muslim </w:t>
      </w:r>
      <w:r w:rsidR="007D343C">
        <w:rPr>
          <w:noProof/>
        </w:rPr>
        <w:drawing>
          <wp:anchor distT="0" distB="0" distL="114300" distR="114300" simplePos="0" relativeHeight="251656192" behindDoc="0" locked="0" layoutInCell="1" allowOverlap="1" wp14:anchorId="039228B2" wp14:editId="26BC2F6F">
            <wp:simplePos x="0" y="0"/>
            <wp:positionH relativeFrom="margin">
              <wp:posOffset>1658620</wp:posOffset>
            </wp:positionH>
            <wp:positionV relativeFrom="margin">
              <wp:posOffset>732790</wp:posOffset>
            </wp:positionV>
            <wp:extent cx="2511425" cy="2533650"/>
            <wp:effectExtent l="0" t="0" r="3175" b="0"/>
            <wp:wrapSquare wrapText="bothSides"/>
            <wp:docPr id="28749299"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11425"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31A0">
        <w:rPr>
          <w:rFonts w:ascii="Times New Roman" w:hAnsi="Times New Roman" w:cs="Times New Roman"/>
          <w:sz w:val="24"/>
          <w:szCs w:val="24"/>
          <w:lang w:val="en-ID"/>
        </w:rPr>
        <w:t>communities.</w:t>
      </w:r>
    </w:p>
    <w:p w14:paraId="48B6214F" w14:textId="1755A45A" w:rsidR="005F31A0" w:rsidRDefault="005F31A0" w:rsidP="005F31A0">
      <w:pPr>
        <w:spacing w:after="120"/>
        <w:ind w:firstLine="567"/>
        <w:jc w:val="both"/>
        <w:rPr>
          <w:rFonts w:ascii="Times New Roman" w:eastAsia="Times New Roman" w:hAnsi="Times New Roman" w:cs="Times New Roman"/>
          <w:sz w:val="24"/>
          <w:szCs w:val="24"/>
        </w:rPr>
      </w:pPr>
    </w:p>
    <w:p w14:paraId="0E28B8C8" w14:textId="77777777" w:rsidR="005F31A0" w:rsidRDefault="005F31A0">
      <w:pPr>
        <w:spacing w:after="120"/>
        <w:ind w:firstLine="567"/>
        <w:jc w:val="both"/>
        <w:rPr>
          <w:rFonts w:ascii="Times New Roman" w:eastAsia="Times New Roman" w:hAnsi="Times New Roman" w:cs="Times New Roman"/>
          <w:sz w:val="24"/>
          <w:szCs w:val="24"/>
        </w:rPr>
      </w:pPr>
    </w:p>
    <w:p w14:paraId="4B458568" w14:textId="77777777" w:rsidR="005F31A0" w:rsidRDefault="005F31A0">
      <w:pPr>
        <w:spacing w:after="120"/>
        <w:ind w:firstLine="567"/>
        <w:jc w:val="both"/>
        <w:rPr>
          <w:rFonts w:ascii="Times New Roman" w:eastAsia="Times New Roman" w:hAnsi="Times New Roman" w:cs="Times New Roman"/>
          <w:sz w:val="24"/>
          <w:szCs w:val="24"/>
        </w:rPr>
      </w:pPr>
    </w:p>
    <w:p w14:paraId="451BBBD3" w14:textId="77777777" w:rsidR="005F31A0" w:rsidRDefault="005F31A0">
      <w:pPr>
        <w:spacing w:after="120"/>
        <w:ind w:firstLine="567"/>
        <w:jc w:val="both"/>
        <w:rPr>
          <w:rFonts w:ascii="Times New Roman" w:eastAsia="Times New Roman" w:hAnsi="Times New Roman" w:cs="Times New Roman"/>
          <w:sz w:val="24"/>
          <w:szCs w:val="24"/>
        </w:rPr>
      </w:pPr>
    </w:p>
    <w:p w14:paraId="54016DB6" w14:textId="77777777" w:rsidR="005F31A0" w:rsidRDefault="005F31A0">
      <w:pPr>
        <w:spacing w:after="120"/>
        <w:ind w:firstLine="567"/>
        <w:jc w:val="both"/>
        <w:rPr>
          <w:rFonts w:ascii="Times New Roman" w:eastAsia="Times New Roman" w:hAnsi="Times New Roman" w:cs="Times New Roman"/>
          <w:sz w:val="24"/>
          <w:szCs w:val="24"/>
        </w:rPr>
      </w:pPr>
    </w:p>
    <w:p w14:paraId="55DAB3B6" w14:textId="77777777" w:rsidR="005F31A0" w:rsidRDefault="005F31A0">
      <w:pPr>
        <w:spacing w:after="120"/>
        <w:ind w:firstLine="567"/>
        <w:jc w:val="both"/>
        <w:rPr>
          <w:rFonts w:ascii="Times New Roman" w:eastAsia="Times New Roman" w:hAnsi="Times New Roman" w:cs="Times New Roman"/>
          <w:sz w:val="24"/>
          <w:szCs w:val="24"/>
        </w:rPr>
      </w:pPr>
    </w:p>
    <w:p w14:paraId="422D29BB" w14:textId="77777777" w:rsidR="005F31A0" w:rsidRDefault="005F31A0">
      <w:pPr>
        <w:spacing w:after="120"/>
        <w:ind w:firstLine="567"/>
        <w:jc w:val="both"/>
        <w:rPr>
          <w:rFonts w:ascii="Times New Roman" w:eastAsia="Times New Roman" w:hAnsi="Times New Roman" w:cs="Times New Roman"/>
          <w:sz w:val="24"/>
          <w:szCs w:val="24"/>
        </w:rPr>
      </w:pPr>
    </w:p>
    <w:p w14:paraId="59A6B1E4" w14:textId="77777777" w:rsidR="00E67B92" w:rsidRDefault="00E67B92" w:rsidP="005F31A0">
      <w:pPr>
        <w:spacing w:after="120"/>
        <w:jc w:val="both"/>
        <w:rPr>
          <w:rFonts w:ascii="Times New Roman" w:eastAsia="Times New Roman" w:hAnsi="Times New Roman" w:cs="Times New Roman"/>
          <w:sz w:val="24"/>
          <w:szCs w:val="24"/>
        </w:rPr>
      </w:pPr>
    </w:p>
    <w:p w14:paraId="21E079BC" w14:textId="77777777" w:rsidR="007D343C" w:rsidRDefault="007D343C" w:rsidP="005F31A0">
      <w:pPr>
        <w:spacing w:after="120"/>
        <w:jc w:val="both"/>
        <w:rPr>
          <w:rFonts w:ascii="Times New Roman" w:eastAsia="Times New Roman" w:hAnsi="Times New Roman" w:cs="Times New Roman"/>
          <w:sz w:val="24"/>
          <w:szCs w:val="24"/>
        </w:rPr>
      </w:pPr>
    </w:p>
    <w:p w14:paraId="090C0D07" w14:textId="77777777" w:rsidR="007D343C" w:rsidRDefault="007D343C" w:rsidP="007D343C">
      <w:pPr>
        <w:spacing w:after="0" w:line="240" w:lineRule="auto"/>
        <w:jc w:val="both"/>
        <w:rPr>
          <w:rFonts w:ascii="Times New Roman" w:eastAsia="Times New Roman" w:hAnsi="Times New Roman" w:cs="Times New Roman"/>
          <w:sz w:val="24"/>
          <w:szCs w:val="24"/>
        </w:rPr>
      </w:pPr>
    </w:p>
    <w:p w14:paraId="183CD073" w14:textId="77777777" w:rsidR="005F31A0" w:rsidRPr="0030728C" w:rsidRDefault="005F31A0" w:rsidP="005F31A0">
      <w:pPr>
        <w:spacing w:after="120"/>
        <w:jc w:val="center"/>
        <w:rPr>
          <w:rFonts w:ascii="Times New Roman" w:hAnsi="Times New Roman" w:cs="Times New Roman"/>
        </w:rPr>
      </w:pPr>
      <w:r w:rsidRPr="004A269C">
        <w:rPr>
          <w:rFonts w:ascii="Times New Roman" w:hAnsi="Times New Roman" w:cs="Times New Roman"/>
          <w:b/>
          <w:bCs/>
        </w:rPr>
        <w:t>Figure 1.4.</w:t>
      </w:r>
      <w:r w:rsidRPr="0030728C">
        <w:rPr>
          <w:rFonts w:ascii="Times New Roman" w:hAnsi="Times New Roman" w:cs="Times New Roman"/>
        </w:rPr>
        <w:t xml:space="preserve"> The #LessWaste Campaign Supported by Public Figures Outside the YukNgaji Community (Source: Instagram @yukngajiid, 2020)</w:t>
      </w:r>
    </w:p>
    <w:p w14:paraId="70157D4D" w14:textId="76F0959A" w:rsidR="005F31A0" w:rsidRDefault="005F31A0" w:rsidP="005F31A0">
      <w:pPr>
        <w:spacing w:after="120"/>
        <w:ind w:firstLine="567"/>
        <w:jc w:val="both"/>
        <w:rPr>
          <w:rFonts w:ascii="Times New Roman" w:hAnsi="Times New Roman" w:cs="Times New Roman"/>
          <w:sz w:val="24"/>
          <w:szCs w:val="24"/>
        </w:rPr>
      </w:pPr>
      <w:r w:rsidRPr="0030728C">
        <w:rPr>
          <w:rFonts w:ascii="Times New Roman" w:hAnsi="Times New Roman" w:cs="Times New Roman"/>
          <w:sz w:val="24"/>
          <w:szCs w:val="24"/>
        </w:rPr>
        <w:t>The effectiveness of this campaign is evident from its tangible impact on the ground. Collaboration with several mosques led to the "Less Waste Mosque" initiative, where participating mosques function as waste banks. Through this concept, the surrounding community can donate recyclable household waste, such as plastic bottles and cardboard. Instead of passively waiting for mosques to show interest, the YukNgaji community also actively offers to conduct cleaning activities at the mosques, fostering closer interaction with the local community.</w:t>
      </w:r>
    </w:p>
    <w:p w14:paraId="0374F5A7" w14:textId="45110F3D" w:rsidR="00E67B92" w:rsidRDefault="00B26CC1" w:rsidP="005F31A0">
      <w:pPr>
        <w:spacing w:after="120"/>
        <w:ind w:firstLine="567"/>
        <w:jc w:val="both"/>
        <w:rPr>
          <w:rFonts w:ascii="Times New Roman" w:hAnsi="Times New Roman" w:cs="Times New Roman"/>
          <w:sz w:val="24"/>
          <w:szCs w:val="24"/>
        </w:rPr>
      </w:pPr>
      <w:r>
        <w:rPr>
          <w:noProof/>
        </w:rPr>
        <w:drawing>
          <wp:anchor distT="0" distB="0" distL="114300" distR="114300" simplePos="0" relativeHeight="251660800" behindDoc="0" locked="0" layoutInCell="1" allowOverlap="1" wp14:anchorId="5B06BFFC" wp14:editId="033996E5">
            <wp:simplePos x="0" y="0"/>
            <wp:positionH relativeFrom="margin">
              <wp:posOffset>789305</wp:posOffset>
            </wp:positionH>
            <wp:positionV relativeFrom="margin">
              <wp:posOffset>5292725</wp:posOffset>
            </wp:positionV>
            <wp:extent cx="4253865" cy="2083435"/>
            <wp:effectExtent l="0" t="0" r="0" b="0"/>
            <wp:wrapSquare wrapText="bothSides"/>
            <wp:docPr id="1280075221"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53865" cy="2083435"/>
                    </a:xfrm>
                    <a:prstGeom prst="rect">
                      <a:avLst/>
                    </a:prstGeom>
                    <a:noFill/>
                    <a:ln>
                      <a:noFill/>
                    </a:ln>
                  </pic:spPr>
                </pic:pic>
              </a:graphicData>
            </a:graphic>
          </wp:anchor>
        </w:drawing>
      </w:r>
    </w:p>
    <w:p w14:paraId="3900B2C1" w14:textId="3584DCA2" w:rsidR="00E67B92" w:rsidRPr="0030728C" w:rsidRDefault="00E67B92" w:rsidP="005F31A0">
      <w:pPr>
        <w:spacing w:after="120"/>
        <w:ind w:firstLine="567"/>
        <w:jc w:val="both"/>
        <w:rPr>
          <w:rFonts w:ascii="Times New Roman" w:hAnsi="Times New Roman" w:cs="Times New Roman"/>
          <w:sz w:val="24"/>
          <w:szCs w:val="24"/>
        </w:rPr>
      </w:pPr>
    </w:p>
    <w:p w14:paraId="6AD65A98" w14:textId="20974B07" w:rsidR="005F31A0" w:rsidRDefault="005F31A0" w:rsidP="005F31A0">
      <w:pPr>
        <w:spacing w:after="120"/>
        <w:jc w:val="both"/>
        <w:rPr>
          <w:sz w:val="24"/>
          <w:szCs w:val="24"/>
        </w:rPr>
      </w:pPr>
    </w:p>
    <w:p w14:paraId="3C5E7A2C" w14:textId="77777777" w:rsidR="005F31A0" w:rsidRDefault="005F31A0" w:rsidP="005F31A0">
      <w:pPr>
        <w:spacing w:after="120"/>
        <w:jc w:val="both"/>
        <w:rPr>
          <w:rFonts w:ascii="Times New Roman" w:eastAsia="Times New Roman" w:hAnsi="Times New Roman" w:cs="Times New Roman"/>
          <w:sz w:val="24"/>
          <w:szCs w:val="24"/>
        </w:rPr>
      </w:pPr>
    </w:p>
    <w:p w14:paraId="0F81B4B1" w14:textId="77777777" w:rsidR="005F31A0" w:rsidRDefault="005F31A0">
      <w:pPr>
        <w:spacing w:after="120"/>
        <w:ind w:firstLine="567"/>
        <w:jc w:val="both"/>
        <w:rPr>
          <w:rFonts w:ascii="Times New Roman" w:eastAsia="Times New Roman" w:hAnsi="Times New Roman" w:cs="Times New Roman"/>
          <w:sz w:val="24"/>
          <w:szCs w:val="24"/>
        </w:rPr>
      </w:pPr>
    </w:p>
    <w:p w14:paraId="7DFDA172" w14:textId="77777777" w:rsidR="005F31A0" w:rsidRDefault="005F31A0">
      <w:pPr>
        <w:spacing w:after="120"/>
        <w:ind w:firstLine="567"/>
        <w:jc w:val="both"/>
        <w:rPr>
          <w:rFonts w:ascii="Times New Roman" w:eastAsia="Times New Roman" w:hAnsi="Times New Roman" w:cs="Times New Roman"/>
          <w:sz w:val="24"/>
          <w:szCs w:val="24"/>
        </w:rPr>
      </w:pPr>
    </w:p>
    <w:p w14:paraId="062786A2" w14:textId="77777777" w:rsidR="005F31A0" w:rsidRDefault="005F31A0">
      <w:pPr>
        <w:spacing w:after="120"/>
        <w:ind w:firstLine="567"/>
        <w:jc w:val="both"/>
        <w:rPr>
          <w:rFonts w:ascii="Times New Roman" w:eastAsia="Times New Roman" w:hAnsi="Times New Roman" w:cs="Times New Roman"/>
          <w:sz w:val="24"/>
          <w:szCs w:val="24"/>
        </w:rPr>
      </w:pPr>
    </w:p>
    <w:p w14:paraId="35649DD7" w14:textId="77777777" w:rsidR="00E67B92" w:rsidRDefault="00E67B92" w:rsidP="005F31A0">
      <w:pPr>
        <w:spacing w:after="120"/>
        <w:jc w:val="center"/>
        <w:rPr>
          <w:rFonts w:ascii="Times New Roman" w:hAnsi="Times New Roman" w:cs="Times New Roman"/>
        </w:rPr>
      </w:pPr>
    </w:p>
    <w:p w14:paraId="7008024A" w14:textId="77777777" w:rsidR="005F31A0" w:rsidRPr="005F31A0" w:rsidRDefault="005F31A0" w:rsidP="005F31A0">
      <w:pPr>
        <w:spacing w:after="120"/>
        <w:jc w:val="center"/>
        <w:rPr>
          <w:rFonts w:ascii="Times New Roman" w:eastAsia="Times New Roman" w:hAnsi="Times New Roman" w:cs="Times New Roman"/>
          <w:sz w:val="24"/>
          <w:szCs w:val="24"/>
        </w:rPr>
      </w:pPr>
      <w:r w:rsidRPr="004A269C">
        <w:rPr>
          <w:rFonts w:ascii="Times New Roman" w:hAnsi="Times New Roman" w:cs="Times New Roman"/>
          <w:b/>
          <w:bCs/>
        </w:rPr>
        <w:t>Figure 1.5.</w:t>
      </w:r>
      <w:r w:rsidRPr="005F31A0">
        <w:rPr>
          <w:rFonts w:ascii="Times New Roman" w:hAnsi="Times New Roman" w:cs="Times New Roman"/>
        </w:rPr>
        <w:t xml:space="preserve"> Video content explaining the technical process of donating waste at mosques collaborating with YukNgaji (Source: Instagram @yukngajiid, 2020)</w:t>
      </w:r>
    </w:p>
    <w:p w14:paraId="7E4CD221" w14:textId="77777777" w:rsidR="005F31A0" w:rsidRDefault="005F31A0">
      <w:pPr>
        <w:spacing w:after="120"/>
        <w:ind w:firstLine="567"/>
        <w:jc w:val="both"/>
        <w:rPr>
          <w:rFonts w:ascii="Times New Roman" w:eastAsia="Times New Roman" w:hAnsi="Times New Roman" w:cs="Times New Roman"/>
          <w:sz w:val="24"/>
          <w:szCs w:val="24"/>
        </w:rPr>
      </w:pPr>
    </w:p>
    <w:p w14:paraId="642648ED" w14:textId="77777777" w:rsidR="005F31A0" w:rsidRDefault="005F31A0">
      <w:pPr>
        <w:spacing w:after="120"/>
        <w:ind w:firstLine="567"/>
        <w:jc w:val="both"/>
        <w:rPr>
          <w:rFonts w:ascii="Times New Roman" w:eastAsia="Times New Roman" w:hAnsi="Times New Roman" w:cs="Times New Roman"/>
          <w:sz w:val="24"/>
          <w:szCs w:val="24"/>
        </w:rPr>
      </w:pPr>
    </w:p>
    <w:p w14:paraId="2BC89F90" w14:textId="77777777" w:rsidR="005F31A0" w:rsidRDefault="005F31A0" w:rsidP="00F93614">
      <w:pPr>
        <w:spacing w:after="120"/>
        <w:jc w:val="both"/>
        <w:rPr>
          <w:rFonts w:ascii="Times New Roman" w:eastAsia="Times New Roman" w:hAnsi="Times New Roman" w:cs="Times New Roman"/>
          <w:sz w:val="24"/>
          <w:szCs w:val="24"/>
        </w:rPr>
      </w:pPr>
    </w:p>
    <w:p w14:paraId="4A9E2DA1" w14:textId="77777777" w:rsidR="00F93614" w:rsidRDefault="00F93614" w:rsidP="00F93614">
      <w:pPr>
        <w:spacing w:after="120"/>
        <w:jc w:val="both"/>
        <w:rPr>
          <w:rFonts w:ascii="Times New Roman" w:eastAsia="Times New Roman" w:hAnsi="Times New Roman" w:cs="Times New Roman"/>
          <w:sz w:val="24"/>
          <w:szCs w:val="24"/>
        </w:rPr>
      </w:pPr>
    </w:p>
    <w:p w14:paraId="31495CEB" w14:textId="77777777" w:rsidR="00F93614" w:rsidRDefault="00FC4DFF" w:rsidP="005F31A0">
      <w:pPr>
        <w:spacing w:after="120"/>
        <w:jc w:val="center"/>
        <w:rPr>
          <w:rFonts w:ascii="Times New Roman" w:hAnsi="Times New Roman" w:cs="Times New Roman"/>
        </w:rPr>
      </w:pPr>
      <w:r>
        <w:rPr>
          <w:noProof/>
        </w:rPr>
        <w:drawing>
          <wp:anchor distT="0" distB="0" distL="114300" distR="114300" simplePos="0" relativeHeight="251661824" behindDoc="0" locked="0" layoutInCell="1" allowOverlap="1" wp14:anchorId="77886030" wp14:editId="535E84EA">
            <wp:simplePos x="0" y="0"/>
            <wp:positionH relativeFrom="margin">
              <wp:posOffset>1188720</wp:posOffset>
            </wp:positionH>
            <wp:positionV relativeFrom="margin">
              <wp:posOffset>-111760</wp:posOffset>
            </wp:positionV>
            <wp:extent cx="3378200" cy="2185670"/>
            <wp:effectExtent l="0" t="0" r="0" b="5080"/>
            <wp:wrapSquare wrapText="bothSides"/>
            <wp:docPr id="680778259"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8200" cy="2185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E7EA2" w14:textId="77777777" w:rsidR="00F93614" w:rsidRDefault="00F93614" w:rsidP="005F31A0">
      <w:pPr>
        <w:spacing w:after="120"/>
        <w:jc w:val="center"/>
        <w:rPr>
          <w:rFonts w:ascii="Times New Roman" w:hAnsi="Times New Roman" w:cs="Times New Roman"/>
        </w:rPr>
      </w:pPr>
    </w:p>
    <w:p w14:paraId="1DCCEFD6" w14:textId="77777777" w:rsidR="00F93614" w:rsidRDefault="00F93614" w:rsidP="005F31A0">
      <w:pPr>
        <w:spacing w:after="120"/>
        <w:jc w:val="center"/>
        <w:rPr>
          <w:rFonts w:ascii="Times New Roman" w:hAnsi="Times New Roman" w:cs="Times New Roman"/>
        </w:rPr>
      </w:pPr>
    </w:p>
    <w:p w14:paraId="5A199632" w14:textId="77777777" w:rsidR="00F93614" w:rsidRDefault="00F93614" w:rsidP="0030728C">
      <w:pPr>
        <w:spacing w:after="120"/>
        <w:rPr>
          <w:rFonts w:ascii="Times New Roman" w:hAnsi="Times New Roman" w:cs="Times New Roman"/>
        </w:rPr>
      </w:pPr>
    </w:p>
    <w:p w14:paraId="22A3D182" w14:textId="77777777" w:rsidR="00FC4DFF" w:rsidRDefault="00FC4DFF" w:rsidP="0030728C">
      <w:pPr>
        <w:spacing w:after="120"/>
        <w:rPr>
          <w:rFonts w:ascii="Times New Roman" w:hAnsi="Times New Roman" w:cs="Times New Roman"/>
        </w:rPr>
      </w:pPr>
    </w:p>
    <w:p w14:paraId="2B816575" w14:textId="77777777" w:rsidR="00FC4DFF" w:rsidRDefault="00FC4DFF" w:rsidP="0030728C">
      <w:pPr>
        <w:spacing w:after="120"/>
        <w:rPr>
          <w:rFonts w:ascii="Times New Roman" w:hAnsi="Times New Roman" w:cs="Times New Roman"/>
        </w:rPr>
      </w:pPr>
    </w:p>
    <w:p w14:paraId="1E1DFDD7" w14:textId="77777777" w:rsidR="005F31A0" w:rsidRDefault="005F31A0" w:rsidP="005F31A0">
      <w:pPr>
        <w:spacing w:after="120"/>
        <w:jc w:val="center"/>
        <w:rPr>
          <w:rFonts w:ascii="Times New Roman" w:eastAsia="Times New Roman" w:hAnsi="Times New Roman" w:cs="Times New Roman"/>
          <w:sz w:val="24"/>
          <w:szCs w:val="24"/>
        </w:rPr>
      </w:pPr>
      <w:r w:rsidRPr="004A269C">
        <w:rPr>
          <w:rFonts w:ascii="Times New Roman" w:hAnsi="Times New Roman" w:cs="Times New Roman"/>
          <w:b/>
          <w:bCs/>
        </w:rPr>
        <w:t>Figure 1.6.</w:t>
      </w:r>
      <w:r w:rsidRPr="005F31A0">
        <w:rPr>
          <w:rFonts w:ascii="Times New Roman" w:hAnsi="Times New Roman" w:cs="Times New Roman"/>
        </w:rPr>
        <w:t xml:space="preserve"> YukNgaji Bintaro community during a mosque cleaning activity</w:t>
      </w:r>
    </w:p>
    <w:p w14:paraId="7F9FEDC1" w14:textId="77777777" w:rsidR="005F31A0" w:rsidRPr="005F31A0" w:rsidRDefault="005F31A0" w:rsidP="005F31A0">
      <w:pPr>
        <w:spacing w:after="120"/>
        <w:ind w:firstLine="567"/>
        <w:jc w:val="both"/>
        <w:rPr>
          <w:rFonts w:ascii="Times New Roman" w:hAnsi="Times New Roman" w:cs="Times New Roman"/>
          <w:sz w:val="24"/>
          <w:szCs w:val="24"/>
        </w:rPr>
      </w:pPr>
      <w:r w:rsidRPr="005F31A0">
        <w:rPr>
          <w:rFonts w:ascii="Times New Roman" w:hAnsi="Times New Roman" w:cs="Times New Roman"/>
          <w:sz w:val="24"/>
          <w:szCs w:val="24"/>
        </w:rPr>
        <w:t>In addition to on-the-ground actions, documenting activities with proper equipment serves as a distinct strategy to capture the attention of digital audiences. High-quality photos and videos shared on social media effectively boost engagement, transforming the campaign from merely a social movement into a phenomenon that gains wide attention on digital platforms. Consequently, this strategy is effective in reaching audiences, promoting behavioral change among urban Muslims, and establishing YukNgaji's image as a community that concretely integrates Islamic values with environmental awareness.</w:t>
      </w:r>
    </w:p>
    <w:p w14:paraId="3570FE59" w14:textId="77777777" w:rsidR="005F31A0" w:rsidRPr="005F31A0" w:rsidRDefault="005F31A0" w:rsidP="005F31A0">
      <w:pPr>
        <w:pStyle w:val="ListParagraph"/>
        <w:numPr>
          <w:ilvl w:val="0"/>
          <w:numId w:val="1"/>
        </w:numPr>
        <w:spacing w:after="120"/>
        <w:ind w:left="360"/>
        <w:jc w:val="both"/>
        <w:rPr>
          <w:rFonts w:ascii="Times New Roman" w:hAnsi="Times New Roman" w:cs="Times New Roman"/>
          <w:sz w:val="24"/>
          <w:szCs w:val="24"/>
        </w:rPr>
      </w:pPr>
      <w:r w:rsidRPr="005F31A0">
        <w:rPr>
          <w:rFonts w:ascii="Times New Roman" w:hAnsi="Times New Roman" w:cs="Times New Roman"/>
          <w:sz w:val="24"/>
          <w:szCs w:val="24"/>
        </w:rPr>
        <w:t>Scriptural Principles Supporting the #LessWaste Campaign by YukNgaji</w:t>
      </w:r>
    </w:p>
    <w:p w14:paraId="4ADA7246" w14:textId="77777777" w:rsidR="005F31A0" w:rsidRPr="005F31A0" w:rsidRDefault="005F31A0" w:rsidP="005F31A0">
      <w:pPr>
        <w:spacing w:after="120"/>
        <w:ind w:firstLine="567"/>
        <w:jc w:val="both"/>
        <w:rPr>
          <w:rFonts w:ascii="Times New Roman" w:eastAsia="Times New Roman" w:hAnsi="Times New Roman" w:cs="Times New Roman"/>
          <w:sz w:val="24"/>
          <w:szCs w:val="24"/>
        </w:rPr>
      </w:pPr>
      <w:r w:rsidRPr="005F31A0">
        <w:rPr>
          <w:rFonts w:ascii="Times New Roman" w:hAnsi="Times New Roman" w:cs="Times New Roman"/>
          <w:sz w:val="24"/>
          <w:szCs w:val="24"/>
          <w:lang w:val="en-ID"/>
        </w:rPr>
        <w:t xml:space="preserve">To summarize this point, the researcher used two primary sources as references. First, interviews with three informants, namely two central administrators of YukNgaji who understand the ins and outs of the #LessWaste campaign and a YukNgaji member from West Jakarta who participated in various community activities. Second, observations of various posts on the official @yukngajiid page, which serves as the main portal for highlighting campaign activities in various regional branches. Additionally, the researcher also found an educational comic titled </w:t>
      </w:r>
      <w:r w:rsidRPr="005F31A0">
        <w:rPr>
          <w:rFonts w:ascii="Times New Roman" w:hAnsi="Times New Roman" w:cs="Times New Roman"/>
          <w:i/>
          <w:iCs/>
          <w:sz w:val="24"/>
          <w:szCs w:val="24"/>
          <w:lang w:val="en-ID"/>
        </w:rPr>
        <w:t>Guardians of the Earth</w:t>
      </w:r>
      <w:r w:rsidRPr="005F31A0">
        <w:rPr>
          <w:rFonts w:ascii="Times New Roman" w:hAnsi="Times New Roman" w:cs="Times New Roman"/>
          <w:sz w:val="24"/>
          <w:szCs w:val="24"/>
          <w:lang w:val="en-ID"/>
        </w:rPr>
        <w:t xml:space="preserve"> (Pelindung Bumi) volumes 1 and 2, published in 2021 by Al-Fatih Press, YukNgaji's internal publisher. According to the official statement on Al-Fatih Press's page, this comic tells the spirit of #LessWaste in the effort to save the earth, written by Felix Siauw and illustrated by YukNgaji's internal artist team with the Instagram account @myodauz. After accessing both volumes, the researcher found that the narrative in this comic aligns with the eco-theological theme promoted by YukNgaji, complete with quotes from verses and hadiths that support their environmental campaign messages. </w:t>
      </w:r>
    </w:p>
    <w:p w14:paraId="395ECE62" w14:textId="77777777" w:rsidR="005F31A0" w:rsidRDefault="005F31A0" w:rsidP="005F31A0">
      <w:pPr>
        <w:spacing w:after="120"/>
        <w:ind w:firstLine="567"/>
        <w:jc w:val="both"/>
        <w:rPr>
          <w:rFonts w:ascii="Times New Roman" w:hAnsi="Times New Roman" w:cs="Times New Roman"/>
          <w:sz w:val="24"/>
          <w:szCs w:val="24"/>
          <w:lang w:val="en-ID"/>
        </w:rPr>
      </w:pPr>
      <w:r w:rsidRPr="005F31A0">
        <w:rPr>
          <w:rFonts w:ascii="Times New Roman" w:hAnsi="Times New Roman" w:cs="Times New Roman"/>
          <w:sz w:val="24"/>
          <w:szCs w:val="24"/>
          <w:lang w:val="en-ID"/>
        </w:rPr>
        <w:t xml:space="preserve">What is interesting to note is the absence of direct quotes from verses or hadiths in the content of Instagram @yukngajiid. Most of the video and photo uploads focus more on the content hook that highlights the essence of activities, social impact, and activity documentation, without explicitly including religious texts. Likewise, in the captions, the researcher found that the narratives used tend to be factual, describing real actions without directly including religious references. It is possible that these narratives are interpretations or understandings of certain verses and hadiths but are packaged in a more practical and easily understood form. Additionally, some captions only contain invitations or mentions from </w:t>
      </w:r>
      <w:r w:rsidRPr="005F31A0">
        <w:rPr>
          <w:rFonts w:ascii="Times New Roman" w:hAnsi="Times New Roman" w:cs="Times New Roman"/>
          <w:sz w:val="24"/>
          <w:szCs w:val="24"/>
          <w:lang w:val="en-ID"/>
        </w:rPr>
        <w:lastRenderedPageBreak/>
        <w:t>YukNgaji's central management to regional branches to participate in the same program, showing a more dynamic communication pattern compared to a normative or textual approach.</w:t>
      </w:r>
    </w:p>
    <w:p w14:paraId="05204F1C" w14:textId="77777777" w:rsidR="00F93614" w:rsidRDefault="00E70CBA" w:rsidP="005F31A0">
      <w:pPr>
        <w:spacing w:after="120"/>
        <w:ind w:firstLine="567"/>
        <w:jc w:val="both"/>
        <w:rPr>
          <w:rFonts w:ascii="Times New Roman" w:hAnsi="Times New Roman" w:cs="Times New Roman"/>
          <w:sz w:val="24"/>
          <w:szCs w:val="24"/>
          <w:lang w:val="en-ID"/>
        </w:rPr>
      </w:pPr>
      <w:r>
        <w:rPr>
          <w:noProof/>
        </w:rPr>
        <w:drawing>
          <wp:anchor distT="0" distB="0" distL="114300" distR="114300" simplePos="0" relativeHeight="251662848" behindDoc="0" locked="0" layoutInCell="1" allowOverlap="1" wp14:anchorId="1AFF2388" wp14:editId="6C1DE7EA">
            <wp:simplePos x="0" y="0"/>
            <wp:positionH relativeFrom="margin">
              <wp:posOffset>1226820</wp:posOffset>
            </wp:positionH>
            <wp:positionV relativeFrom="margin">
              <wp:posOffset>688340</wp:posOffset>
            </wp:positionV>
            <wp:extent cx="3295650" cy="2450465"/>
            <wp:effectExtent l="0" t="0" r="0" b="6985"/>
            <wp:wrapSquare wrapText="bothSides"/>
            <wp:docPr id="218666979"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95650" cy="245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79FEA" w14:textId="77777777" w:rsidR="005F31A0" w:rsidRPr="005F31A0" w:rsidRDefault="005F31A0" w:rsidP="005F31A0">
      <w:pPr>
        <w:spacing w:after="120"/>
        <w:ind w:firstLine="567"/>
        <w:jc w:val="both"/>
        <w:rPr>
          <w:rFonts w:ascii="Times New Roman" w:eastAsia="Times New Roman" w:hAnsi="Times New Roman" w:cs="Times New Roman"/>
          <w:sz w:val="24"/>
          <w:szCs w:val="24"/>
        </w:rPr>
      </w:pPr>
    </w:p>
    <w:p w14:paraId="450EBD6F" w14:textId="77777777" w:rsidR="005F31A0" w:rsidRDefault="005F31A0">
      <w:pPr>
        <w:spacing w:after="120"/>
        <w:ind w:firstLine="567"/>
        <w:jc w:val="both"/>
        <w:rPr>
          <w:rFonts w:ascii="Times New Roman" w:eastAsia="Times New Roman" w:hAnsi="Times New Roman" w:cs="Times New Roman"/>
          <w:sz w:val="24"/>
          <w:szCs w:val="24"/>
        </w:rPr>
      </w:pPr>
    </w:p>
    <w:p w14:paraId="6186149A" w14:textId="77777777" w:rsidR="005F31A0" w:rsidRDefault="005F31A0">
      <w:pPr>
        <w:spacing w:after="120"/>
        <w:ind w:firstLine="567"/>
        <w:jc w:val="both"/>
        <w:rPr>
          <w:rFonts w:ascii="Times New Roman" w:eastAsia="Times New Roman" w:hAnsi="Times New Roman" w:cs="Times New Roman"/>
          <w:sz w:val="24"/>
          <w:szCs w:val="24"/>
        </w:rPr>
      </w:pPr>
    </w:p>
    <w:p w14:paraId="6FD14A82" w14:textId="77777777" w:rsidR="005F31A0" w:rsidRDefault="005F31A0">
      <w:pPr>
        <w:spacing w:after="120"/>
        <w:ind w:firstLine="567"/>
        <w:jc w:val="both"/>
        <w:rPr>
          <w:rFonts w:ascii="Times New Roman" w:eastAsia="Times New Roman" w:hAnsi="Times New Roman" w:cs="Times New Roman"/>
          <w:sz w:val="24"/>
          <w:szCs w:val="24"/>
        </w:rPr>
      </w:pPr>
    </w:p>
    <w:p w14:paraId="4B245303" w14:textId="77777777" w:rsidR="005F31A0" w:rsidRDefault="005F31A0">
      <w:pPr>
        <w:spacing w:after="120"/>
        <w:ind w:firstLine="567"/>
        <w:jc w:val="both"/>
        <w:rPr>
          <w:rFonts w:ascii="Times New Roman" w:eastAsia="Times New Roman" w:hAnsi="Times New Roman" w:cs="Times New Roman"/>
          <w:sz w:val="24"/>
          <w:szCs w:val="24"/>
        </w:rPr>
      </w:pPr>
    </w:p>
    <w:p w14:paraId="4B91889C" w14:textId="77777777" w:rsidR="005F31A0" w:rsidRDefault="005F31A0">
      <w:pPr>
        <w:spacing w:after="120"/>
        <w:ind w:firstLine="567"/>
        <w:jc w:val="both"/>
        <w:rPr>
          <w:rFonts w:ascii="Times New Roman" w:eastAsia="Times New Roman" w:hAnsi="Times New Roman" w:cs="Times New Roman"/>
          <w:sz w:val="24"/>
          <w:szCs w:val="24"/>
        </w:rPr>
      </w:pPr>
    </w:p>
    <w:p w14:paraId="29329F71" w14:textId="77777777" w:rsidR="005F31A0" w:rsidRDefault="005F31A0">
      <w:pPr>
        <w:spacing w:after="120"/>
        <w:ind w:firstLine="567"/>
        <w:jc w:val="both"/>
        <w:rPr>
          <w:rFonts w:ascii="Times New Roman" w:eastAsia="Times New Roman" w:hAnsi="Times New Roman" w:cs="Times New Roman"/>
          <w:sz w:val="24"/>
          <w:szCs w:val="24"/>
        </w:rPr>
      </w:pPr>
    </w:p>
    <w:p w14:paraId="161B7291" w14:textId="77777777" w:rsidR="005F31A0" w:rsidRDefault="005F31A0" w:rsidP="005F31A0">
      <w:pPr>
        <w:spacing w:after="120"/>
        <w:rPr>
          <w:rFonts w:ascii="Times New Roman" w:eastAsia="Times New Roman" w:hAnsi="Times New Roman" w:cs="Times New Roman"/>
          <w:sz w:val="24"/>
          <w:szCs w:val="24"/>
        </w:rPr>
      </w:pPr>
    </w:p>
    <w:p w14:paraId="3606E737" w14:textId="77777777" w:rsidR="005F31A0" w:rsidRDefault="005F31A0" w:rsidP="00E67B92">
      <w:pPr>
        <w:spacing w:after="0"/>
        <w:jc w:val="center"/>
        <w:rPr>
          <w:rFonts w:ascii="Times New Roman" w:hAnsi="Times New Roman" w:cs="Times New Roman"/>
        </w:rPr>
      </w:pPr>
      <w:r w:rsidRPr="004A269C">
        <w:rPr>
          <w:rFonts w:ascii="Times New Roman" w:hAnsi="Times New Roman" w:cs="Times New Roman"/>
          <w:b/>
          <w:bCs/>
        </w:rPr>
        <w:t>Figure 1.7.</w:t>
      </w:r>
      <w:r w:rsidRPr="005F31A0">
        <w:rPr>
          <w:rFonts w:ascii="Times New Roman" w:hAnsi="Times New Roman" w:cs="Times New Roman"/>
        </w:rPr>
        <w:t xml:space="preserve"> One of the content captions on Instagram @yukngajiid</w:t>
      </w:r>
    </w:p>
    <w:p w14:paraId="41E0E7D8" w14:textId="77777777" w:rsidR="005F31A0" w:rsidRDefault="005F31A0" w:rsidP="005F31A0">
      <w:pPr>
        <w:spacing w:after="0"/>
        <w:jc w:val="center"/>
        <w:rPr>
          <w:rFonts w:ascii="Times New Roman" w:eastAsia="Times New Roman" w:hAnsi="Times New Roman" w:cs="Times New Roman"/>
          <w:sz w:val="24"/>
          <w:szCs w:val="24"/>
        </w:rPr>
      </w:pPr>
      <w:r w:rsidRPr="005F31A0">
        <w:rPr>
          <w:rFonts w:ascii="Times New Roman" w:hAnsi="Times New Roman" w:cs="Times New Roman"/>
        </w:rPr>
        <w:t>(Source: Instagram @yukngajiid, 2020)</w:t>
      </w:r>
    </w:p>
    <w:p w14:paraId="6C2B3284"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 xml:space="preserve">This narrative demonstrates that although there are no explicit quotations of Quranic verses or hadiths, Islamic values remain the primary foundation of the conveyed message. The main focus of this post is to build a collective awareness among Muslims about their role in protecting the environment, in line with the concept of Islam as a religion of </w:t>
      </w:r>
      <w:r w:rsidRPr="00F93614">
        <w:rPr>
          <w:rFonts w:ascii="Times New Roman" w:hAnsi="Times New Roman" w:cs="Times New Roman"/>
          <w:i/>
          <w:iCs/>
          <w:sz w:val="24"/>
          <w:szCs w:val="24"/>
          <w:lang w:val="en-ID"/>
        </w:rPr>
        <w:t>rahmatan lil ‘alamin</w:t>
      </w:r>
      <w:r w:rsidRPr="00F93614">
        <w:rPr>
          <w:rFonts w:ascii="Times New Roman" w:hAnsi="Times New Roman" w:cs="Times New Roman"/>
          <w:sz w:val="24"/>
          <w:szCs w:val="24"/>
          <w:lang w:val="en-ID"/>
        </w:rPr>
        <w:t xml:space="preserve"> (mercy to all worlds). Indirectly, this content can be associated with Islamic teachings on human responsibility as </w:t>
      </w:r>
      <w:r w:rsidRPr="00F93614">
        <w:rPr>
          <w:rFonts w:ascii="Times New Roman" w:hAnsi="Times New Roman" w:cs="Times New Roman"/>
          <w:i/>
          <w:iCs/>
          <w:sz w:val="24"/>
          <w:szCs w:val="24"/>
          <w:lang w:val="en-ID"/>
        </w:rPr>
        <w:t>khalifah</w:t>
      </w:r>
      <w:r w:rsidRPr="00F93614">
        <w:rPr>
          <w:rFonts w:ascii="Times New Roman" w:hAnsi="Times New Roman" w:cs="Times New Roman"/>
          <w:sz w:val="24"/>
          <w:szCs w:val="24"/>
          <w:lang w:val="en-ID"/>
        </w:rPr>
        <w:t xml:space="preserve"> (steward) on earth (QS. Al-Baqarah: 30) and the command to avoid corruption on earth (QS. Al-A’raf: 56). Thus, YukNgaji's approach to delivering Islamic moral messages prioritizes social narratives and participatory calls to action, which can be categorized as a form of </w:t>
      </w:r>
      <w:r w:rsidRPr="00F93614">
        <w:rPr>
          <w:rFonts w:ascii="Times New Roman" w:hAnsi="Times New Roman" w:cs="Times New Roman"/>
          <w:i/>
          <w:iCs/>
          <w:sz w:val="24"/>
          <w:szCs w:val="24"/>
          <w:lang w:val="en-ID"/>
        </w:rPr>
        <w:t>Living Qur'an</w:t>
      </w:r>
      <w:r w:rsidRPr="00F93614">
        <w:rPr>
          <w:rFonts w:ascii="Times New Roman" w:hAnsi="Times New Roman" w:cs="Times New Roman"/>
          <w:sz w:val="24"/>
          <w:szCs w:val="24"/>
          <w:lang w:val="en-ID"/>
        </w:rPr>
        <w:t xml:space="preserve"> in an ecological context.</w:t>
      </w:r>
    </w:p>
    <w:p w14:paraId="503DE51E" w14:textId="7FA0223E"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 xml:space="preserve">The researcher then confirmed the interpretation of these verses with three informants from the YukNgaji community, consisting of two administrators and one member. All three agreed that the concept of humans as stewards on earth is indeed one of the fundamental principles in the #LessWaste campaign they run. One of the administrators, emphasized that the human role as a </w:t>
      </w:r>
      <w:r w:rsidRPr="00F93614">
        <w:rPr>
          <w:rFonts w:ascii="Times New Roman" w:hAnsi="Times New Roman" w:cs="Times New Roman"/>
          <w:i/>
          <w:iCs/>
          <w:sz w:val="24"/>
          <w:szCs w:val="24"/>
          <w:lang w:val="en-ID"/>
        </w:rPr>
        <w:t>khalifah</w:t>
      </w:r>
      <w:r w:rsidRPr="00F93614">
        <w:rPr>
          <w:rFonts w:ascii="Times New Roman" w:hAnsi="Times New Roman" w:cs="Times New Roman"/>
          <w:sz w:val="24"/>
          <w:szCs w:val="24"/>
          <w:lang w:val="en-ID"/>
        </w:rPr>
        <w:t xml:space="preserve"> not only means managing the earth but also includes the dimension of servitude to God and service to the environment as fellow creations of God</w:t>
      </w:r>
      <w:r w:rsidR="007D343C">
        <w:rPr>
          <w:rFonts w:ascii="Times New Roman" w:hAnsi="Times New Roman" w:cs="Times New Roman"/>
          <w:sz w:val="24"/>
          <w:szCs w:val="24"/>
          <w:lang w:val="en-ID"/>
        </w:rPr>
        <w:t xml:space="preserve"> (interview with </w:t>
      </w:r>
      <w:r w:rsidR="007D343C" w:rsidRPr="00F93614">
        <w:rPr>
          <w:rFonts w:ascii="Times New Roman" w:hAnsi="Times New Roman" w:cs="Times New Roman"/>
          <w:sz w:val="24"/>
          <w:szCs w:val="24"/>
          <w:lang w:val="en-ID"/>
        </w:rPr>
        <w:t>Nindie Hanjarsari</w:t>
      </w:r>
      <w:r w:rsidR="007D343C">
        <w:rPr>
          <w:rFonts w:ascii="Times New Roman" w:hAnsi="Times New Roman" w:cs="Times New Roman"/>
          <w:sz w:val="24"/>
          <w:szCs w:val="24"/>
          <w:lang w:val="en-ID"/>
        </w:rPr>
        <w:t>, January 12, 2025)</w:t>
      </w:r>
      <w:r w:rsidRPr="00F93614">
        <w:rPr>
          <w:rFonts w:ascii="Times New Roman" w:hAnsi="Times New Roman" w:cs="Times New Roman"/>
          <w:sz w:val="24"/>
          <w:szCs w:val="24"/>
          <w:lang w:val="en-ID"/>
        </w:rPr>
        <w:t>. This perspective shows that YukNgaji’s environmental movement is not only pragmatic but also has a strong theological foundation in Islamic teachings.</w:t>
      </w:r>
    </w:p>
    <w:p w14:paraId="718B90C7"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 xml:space="preserve">The researcher concludes that the absence of direct quotations of sacred texts in YukNgaji's social media content is due to two main factors related to communication strategy and audience characteristics. First, YukNgaji prioritizes practicality in presenting messages through concise and easily understood content. This approach is based on considerations of communication effectiveness on social media, where studies show that user attention spans </w:t>
      </w:r>
      <w:r w:rsidRPr="00F93614">
        <w:rPr>
          <w:rFonts w:ascii="Times New Roman" w:hAnsi="Times New Roman" w:cs="Times New Roman"/>
          <w:sz w:val="24"/>
          <w:szCs w:val="24"/>
          <w:lang w:val="en-ID"/>
        </w:rPr>
        <w:lastRenderedPageBreak/>
        <w:t>are becoming shorter. Therefore, a direct and practical delivery is considered more effective in capturing the audience's attention and ensuring the message is well received.</w:t>
      </w:r>
    </w:p>
    <w:p w14:paraId="123E1D2E" w14:textId="3C0E2361" w:rsidR="00AD142E" w:rsidRPr="00F93614" w:rsidRDefault="00AD142E" w:rsidP="00AD142E">
      <w:pPr>
        <w:spacing w:after="120"/>
        <w:ind w:firstLine="567"/>
        <w:jc w:val="both"/>
        <w:rPr>
          <w:rFonts w:ascii="Times New Roman" w:hAnsi="Times New Roman" w:cs="Times New Roman"/>
          <w:i/>
          <w:iCs/>
          <w:sz w:val="24"/>
          <w:szCs w:val="24"/>
          <w:lang w:val="en-ID"/>
        </w:rPr>
      </w:pPr>
      <w:r w:rsidRPr="00F93614">
        <w:rPr>
          <w:rFonts w:ascii="Times New Roman" w:hAnsi="Times New Roman" w:cs="Times New Roman"/>
          <w:sz w:val="24"/>
          <w:szCs w:val="24"/>
          <w:lang w:val="en-ID"/>
        </w:rPr>
        <w:t xml:space="preserve">In addition, this strategy also aims to reach a broader segment, especially young people who do not yet have a strong attachment to Islamic studies. </w:t>
      </w:r>
      <w:r w:rsidR="00940980">
        <w:rPr>
          <w:rFonts w:ascii="Times New Roman" w:hAnsi="Times New Roman" w:cs="Times New Roman"/>
          <w:sz w:val="24"/>
          <w:szCs w:val="24"/>
          <w:lang w:val="en-ID"/>
        </w:rPr>
        <w:t>O</w:t>
      </w:r>
      <w:r w:rsidRPr="00F93614">
        <w:rPr>
          <w:rFonts w:ascii="Times New Roman" w:hAnsi="Times New Roman" w:cs="Times New Roman"/>
          <w:sz w:val="24"/>
          <w:szCs w:val="24"/>
          <w:lang w:val="en-ID"/>
        </w:rPr>
        <w:t>ne of the informants in this study, explained that the approach without explicit Quranic verses and hadith quotations is actually an attraction for YukNgaji's target audience</w:t>
      </w:r>
      <w:r w:rsidR="007D343C">
        <w:rPr>
          <w:rFonts w:ascii="Times New Roman" w:hAnsi="Times New Roman" w:cs="Times New Roman"/>
          <w:sz w:val="24"/>
          <w:szCs w:val="24"/>
          <w:lang w:val="en-ID"/>
        </w:rPr>
        <w:t xml:space="preserve"> (Interview with Annisa Mujadilah,</w:t>
      </w:r>
      <w:r w:rsidR="00940980">
        <w:rPr>
          <w:rFonts w:ascii="Times New Roman" w:hAnsi="Times New Roman" w:cs="Times New Roman"/>
          <w:sz w:val="24"/>
          <w:szCs w:val="24"/>
          <w:lang w:val="en-ID"/>
        </w:rPr>
        <w:t xml:space="preserve"> February 9, 2025)</w:t>
      </w:r>
      <w:r w:rsidRPr="00F93614">
        <w:rPr>
          <w:rFonts w:ascii="Times New Roman" w:hAnsi="Times New Roman" w:cs="Times New Roman"/>
          <w:sz w:val="24"/>
          <w:szCs w:val="24"/>
          <w:lang w:val="en-ID"/>
        </w:rPr>
        <w:t xml:space="preserve">. She stated, </w:t>
      </w:r>
      <w:r w:rsidRPr="00F93614">
        <w:rPr>
          <w:rFonts w:ascii="Times New Roman" w:hAnsi="Times New Roman" w:cs="Times New Roman"/>
          <w:i/>
          <w:iCs/>
          <w:sz w:val="24"/>
          <w:szCs w:val="24"/>
          <w:lang w:val="en-ID"/>
        </w:rPr>
        <w:t>"What makes YukNgaji's posts interesting is precisely because there are no verses or hadiths. The target audience is people or young individuals who are not yet engaged in Islamic studies. If there were religious references from the start, it would feel too segmented. Later, when they attend the events, that's when the verses and hadiths are presented by the ustadz or speakers."</w:t>
      </w:r>
    </w:p>
    <w:p w14:paraId="73F21CFD" w14:textId="7415633A"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 xml:space="preserve">Thus, the absence of sacred text quotations does not imply a disregard for religious evidence but is rather part of a more inclusive and gradual communication strategy in delivering the message of </w:t>
      </w:r>
      <w:r w:rsidR="00EA7189">
        <w:rPr>
          <w:rFonts w:ascii="Times New Roman" w:hAnsi="Times New Roman" w:cs="Times New Roman"/>
          <w:sz w:val="24"/>
          <w:szCs w:val="24"/>
          <w:lang w:val="en-ID"/>
        </w:rPr>
        <w:t>community-based education</w:t>
      </w:r>
      <w:r w:rsidRPr="00F93614">
        <w:rPr>
          <w:rFonts w:ascii="Times New Roman" w:hAnsi="Times New Roman" w:cs="Times New Roman"/>
          <w:sz w:val="24"/>
          <w:szCs w:val="24"/>
          <w:lang w:val="en-ID"/>
        </w:rPr>
        <w:t>.</w:t>
      </w:r>
    </w:p>
    <w:p w14:paraId="2A4F075A"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Secondly, the verse about humanity's role as stewards (</w:t>
      </w:r>
      <w:r w:rsidRPr="00F93614">
        <w:rPr>
          <w:rFonts w:ascii="Times New Roman" w:hAnsi="Times New Roman" w:cs="Times New Roman"/>
          <w:i/>
          <w:iCs/>
          <w:sz w:val="24"/>
          <w:szCs w:val="24"/>
          <w:lang w:val="en-ID"/>
        </w:rPr>
        <w:t>khalifah</w:t>
      </w:r>
      <w:r w:rsidRPr="00F93614">
        <w:rPr>
          <w:rFonts w:ascii="Times New Roman" w:hAnsi="Times New Roman" w:cs="Times New Roman"/>
          <w:sz w:val="24"/>
          <w:szCs w:val="24"/>
          <w:lang w:val="en-ID"/>
        </w:rPr>
        <w:t xml:space="preserve">) on earth is already a familiar concept to YukNgaji's target audience, particularly those who have previously participated in </w:t>
      </w:r>
      <w:r w:rsidRPr="00F93614">
        <w:rPr>
          <w:rFonts w:ascii="Times New Roman" w:hAnsi="Times New Roman" w:cs="Times New Roman"/>
          <w:i/>
          <w:iCs/>
          <w:sz w:val="24"/>
          <w:szCs w:val="24"/>
          <w:lang w:val="en-ID"/>
        </w:rPr>
        <w:t>halaqah</w:t>
      </w:r>
      <w:r w:rsidRPr="00F93614">
        <w:rPr>
          <w:rFonts w:ascii="Times New Roman" w:hAnsi="Times New Roman" w:cs="Times New Roman"/>
          <w:sz w:val="24"/>
          <w:szCs w:val="24"/>
          <w:lang w:val="en-ID"/>
        </w:rPr>
        <w:t xml:space="preserve"> or Islamic study circles. This familiarity is linked to YukNgaji's methodological roots, which have a historical connection to the </w:t>
      </w:r>
      <w:r w:rsidRPr="00F93614">
        <w:rPr>
          <w:rFonts w:ascii="Times New Roman" w:hAnsi="Times New Roman" w:cs="Times New Roman"/>
          <w:i/>
          <w:iCs/>
          <w:sz w:val="24"/>
          <w:szCs w:val="24"/>
          <w:lang w:val="en-ID"/>
        </w:rPr>
        <w:t>dakwah</w:t>
      </w:r>
      <w:r w:rsidRPr="00F93614">
        <w:rPr>
          <w:rFonts w:ascii="Times New Roman" w:hAnsi="Times New Roman" w:cs="Times New Roman"/>
          <w:sz w:val="24"/>
          <w:szCs w:val="24"/>
          <w:lang w:val="en-ID"/>
        </w:rPr>
        <w:t xml:space="preserve"> (preaching) of Hizbut Tahrir Indonesia (HTI). In HTI's preaching tradition, the concept of </w:t>
      </w:r>
      <w:r w:rsidRPr="00F93614">
        <w:rPr>
          <w:rFonts w:ascii="Times New Roman" w:hAnsi="Times New Roman" w:cs="Times New Roman"/>
          <w:i/>
          <w:iCs/>
          <w:sz w:val="24"/>
          <w:szCs w:val="24"/>
          <w:lang w:val="en-ID"/>
        </w:rPr>
        <w:t>khilafah</w:t>
      </w:r>
      <w:r w:rsidRPr="00F93614">
        <w:rPr>
          <w:rFonts w:ascii="Times New Roman" w:hAnsi="Times New Roman" w:cs="Times New Roman"/>
          <w:sz w:val="24"/>
          <w:szCs w:val="24"/>
          <w:lang w:val="en-ID"/>
        </w:rPr>
        <w:t xml:space="preserve"> (caliphate) is understood as a transnational Muslim leadership and forms a foundational teaching in their </w:t>
      </w:r>
      <w:r w:rsidRPr="00F93614">
        <w:rPr>
          <w:rFonts w:ascii="Times New Roman" w:hAnsi="Times New Roman" w:cs="Times New Roman"/>
          <w:i/>
          <w:iCs/>
          <w:sz w:val="24"/>
          <w:szCs w:val="24"/>
          <w:lang w:val="en-ID"/>
        </w:rPr>
        <w:t>halaqah</w:t>
      </w:r>
      <w:r w:rsidRPr="00F93614">
        <w:rPr>
          <w:rFonts w:ascii="Times New Roman" w:hAnsi="Times New Roman" w:cs="Times New Roman"/>
          <w:sz w:val="24"/>
          <w:szCs w:val="24"/>
          <w:lang w:val="en-ID"/>
        </w:rPr>
        <w:t xml:space="preserve"> sessions</w:t>
      </w:r>
      <w:r w:rsidR="00F93614">
        <w:rPr>
          <w:rFonts w:ascii="Times New Roman" w:hAnsi="Times New Roman" w:cs="Times New Roman"/>
          <w:sz w:val="24"/>
          <w:szCs w:val="24"/>
          <w:lang w:val="en-ID"/>
        </w:rPr>
        <w:t xml:space="preserve"> </w:t>
      </w:r>
      <w:r w:rsidR="00F93614">
        <w:rPr>
          <w:rFonts w:ascii="Times New Roman" w:hAnsi="Times New Roman" w:cs="Times New Roman"/>
          <w:sz w:val="24"/>
          <w:szCs w:val="24"/>
          <w:lang w:val="en-ID"/>
        </w:rPr>
        <w:fldChar w:fldCharType="begin" w:fldLock="1"/>
      </w:r>
      <w:r w:rsidR="00CB18FE">
        <w:rPr>
          <w:rFonts w:ascii="Times New Roman" w:hAnsi="Times New Roman" w:cs="Times New Roman"/>
          <w:sz w:val="24"/>
          <w:szCs w:val="24"/>
          <w:lang w:val="en-ID"/>
        </w:rPr>
        <w:instrText>ADDIN CSL_CITATION {"citationItems":[{"id":"ITEM-1","itemData":{"author":[{"dropping-particle":"","family":"Hayati","given":"Nilda","non-dropping-particle":"","parse-names":false,"suffix":""}],"container-title":"Epismete","id":"ITEM-1","issue":"1","issued":{"date-parts":[["2017"]]},"page":"170–202","title":"Konsep Khilafah Islamiyyah Hizbut Tahrir Indonesia","type":"article-journal","volume":"12"},"uris":["http://www.mendeley.com/documents/?uuid=15285487-4e61-4323-a47d-ba873ce424d3"]}],"mendeley":{"formattedCitation":"(Hayati, 2017)","plainTextFormattedCitation":"(Hayati, 2017)","previouslyFormattedCitation":"(Hayati, 2017)"},"properties":{"noteIndex":0},"schema":"https://github.com/citation-style-language/schema/raw/master/csl-citation.json"}</w:instrText>
      </w:r>
      <w:r w:rsidR="00F93614">
        <w:rPr>
          <w:rFonts w:ascii="Times New Roman" w:hAnsi="Times New Roman" w:cs="Times New Roman"/>
          <w:sz w:val="24"/>
          <w:szCs w:val="24"/>
          <w:lang w:val="en-ID"/>
        </w:rPr>
        <w:fldChar w:fldCharType="separate"/>
      </w:r>
      <w:r w:rsidR="00F93614" w:rsidRPr="00F93614">
        <w:rPr>
          <w:rFonts w:ascii="Times New Roman" w:hAnsi="Times New Roman" w:cs="Times New Roman"/>
          <w:noProof/>
          <w:sz w:val="24"/>
          <w:szCs w:val="24"/>
          <w:lang w:val="en-ID"/>
        </w:rPr>
        <w:t>(Hayati, 2017)</w:t>
      </w:r>
      <w:r w:rsidR="00F93614">
        <w:rPr>
          <w:rFonts w:ascii="Times New Roman" w:hAnsi="Times New Roman" w:cs="Times New Roman"/>
          <w:sz w:val="24"/>
          <w:szCs w:val="24"/>
          <w:lang w:val="en-ID"/>
        </w:rPr>
        <w:fldChar w:fldCharType="end"/>
      </w:r>
      <w:r w:rsidRPr="00F93614">
        <w:rPr>
          <w:rFonts w:ascii="Times New Roman" w:hAnsi="Times New Roman" w:cs="Times New Roman"/>
          <w:sz w:val="24"/>
          <w:szCs w:val="24"/>
          <w:lang w:val="en-ID"/>
        </w:rPr>
        <w:t xml:space="preserve">. This perspective aligns with the thought of Taqiyuddin an-Nabhani, the founder of Hizb at-Tahrir globally, who emphasized the urgency of establishing a </w:t>
      </w:r>
      <w:r w:rsidRPr="00F93614">
        <w:rPr>
          <w:rFonts w:ascii="Times New Roman" w:hAnsi="Times New Roman" w:cs="Times New Roman"/>
          <w:i/>
          <w:iCs/>
          <w:sz w:val="24"/>
          <w:szCs w:val="24"/>
          <w:lang w:val="en-ID"/>
        </w:rPr>
        <w:t>khilafah</w:t>
      </w:r>
      <w:r w:rsidRPr="00F93614">
        <w:rPr>
          <w:rFonts w:ascii="Times New Roman" w:hAnsi="Times New Roman" w:cs="Times New Roman"/>
          <w:sz w:val="24"/>
          <w:szCs w:val="24"/>
          <w:lang w:val="en-ID"/>
        </w:rPr>
        <w:t xml:space="preserve"> as the ideal Islamic governance system</w:t>
      </w:r>
      <w:r w:rsidR="00CB18FE">
        <w:rPr>
          <w:rFonts w:ascii="Times New Roman" w:hAnsi="Times New Roman" w:cs="Times New Roman"/>
          <w:sz w:val="24"/>
          <w:szCs w:val="24"/>
          <w:lang w:val="en-ID"/>
        </w:rPr>
        <w:t xml:space="preserve"> </w:t>
      </w:r>
      <w:r w:rsidR="00CB18FE">
        <w:rPr>
          <w:rFonts w:ascii="Times New Roman" w:hAnsi="Times New Roman" w:cs="Times New Roman"/>
          <w:sz w:val="24"/>
          <w:szCs w:val="24"/>
          <w:lang w:val="en-ID"/>
        </w:rPr>
        <w:fldChar w:fldCharType="begin" w:fldLock="1"/>
      </w:r>
      <w:r w:rsidR="00875E05">
        <w:rPr>
          <w:rFonts w:ascii="Times New Roman" w:hAnsi="Times New Roman" w:cs="Times New Roman"/>
          <w:sz w:val="24"/>
          <w:szCs w:val="24"/>
          <w:lang w:val="en-ID"/>
        </w:rPr>
        <w:instrText>ADDIN CSL_CITATION {"citationItems":[{"id":"ITEM-1","itemData":{"author":[{"dropping-particle":"","family":"Juhari","given":"Imam Bonjol","non-dropping-particle":"","parse-names":false,"suffix":""},{"dropping-particle":"","family":"Malikah","given":"Riyadzul","non-dropping-particle":"","parse-names":false,"suffix":""}],"container-title":"Al-Manar Jurnal Kajian Alquran dan Hadis","id":"ITEM-1","issue":"1","issued":{"date-parts":[["2021"]]},"page":"41-52","title":"Kontroversi Penafsiran Sistem Politik Khilafah HTI","type":"article-journal","volume":"7"},"uris":["http://www.mendeley.com/documents/?uuid=18fd0e90-ba9b-4761-9204-03b22d20609b"]},{"id":"ITEM-2","itemData":{"abstract":"Social media, with its openness, provides new cyberspace that religious organizations use in conveying their religious messages, including the religious message of the Hizbut Tahrir Indonesia (HTI) organization. This paper aims to discuss the strategy of Hizbut Tahrir Indonesia (HTI) in influencing public opinion on social media after it was dissolved by the government through Perppu Ormas Number 2 of 2017. This study uses a qualitative method with data collection through online observations, field observations, interviews, and document reviews. This paper finds that HTI's struggle to ground the Khilafah ideology on social media is quite successful because it can take advantage of the momentum of national political dynamics. While social media is used as an essential instrument for disseminating Khilafah's opinion, various cases of post-truth political practice were also found. Unfortunately, the assumption that social media is safe for HTI, but that assumption has not been proven true. The criminal penalties received by its members have become a new threat to HTI on social media.","author":[{"dropping-particle":"","family":"Setia","given":"Paelani","non-dropping-particle":"","parse-names":false,"suffix":""}],"container-title":"Journal of Society and Development","id":"ITEM-2","issued":{"date-parts":[["2021"]]},"page":"33-45","title":"Membumikan Khilafah di Indonesia: Strategi Mobilisasi Opini Publik oleh Hizbut Tahrir Indonesia (HTI) di Media Sosial","type":"article-journal","volume":"1"},"uris":["http://www.mendeley.com/documents/?uuid=6aff6950-6309-4c07-9bf5-208f258480b1"]}],"mendeley":{"formattedCitation":"(Juhari &amp; Malikah, 2021; Setia, 2021)","plainTextFormattedCitation":"(Juhari &amp; Malikah, 2021; Setia, 2021)","previouslyFormattedCitation":"(Juhari &amp; Malikah, 2021; Setia, 2021)"},"properties":{"noteIndex":0},"schema":"https://github.com/citation-style-language/schema/raw/master/csl-citation.json"}</w:instrText>
      </w:r>
      <w:r w:rsidR="00CB18FE">
        <w:rPr>
          <w:rFonts w:ascii="Times New Roman" w:hAnsi="Times New Roman" w:cs="Times New Roman"/>
          <w:sz w:val="24"/>
          <w:szCs w:val="24"/>
          <w:lang w:val="en-ID"/>
        </w:rPr>
        <w:fldChar w:fldCharType="separate"/>
      </w:r>
      <w:r w:rsidR="00CB18FE" w:rsidRPr="00CB18FE">
        <w:rPr>
          <w:rFonts w:ascii="Times New Roman" w:hAnsi="Times New Roman" w:cs="Times New Roman"/>
          <w:noProof/>
          <w:sz w:val="24"/>
          <w:szCs w:val="24"/>
          <w:lang w:val="en-ID"/>
        </w:rPr>
        <w:t>(Juhari &amp; Malikah, 2021; Setia, 2021)</w:t>
      </w:r>
      <w:r w:rsidR="00CB18FE">
        <w:rPr>
          <w:rFonts w:ascii="Times New Roman" w:hAnsi="Times New Roman" w:cs="Times New Roman"/>
          <w:sz w:val="24"/>
          <w:szCs w:val="24"/>
          <w:lang w:val="en-ID"/>
        </w:rPr>
        <w:fldChar w:fldCharType="end"/>
      </w:r>
      <w:r w:rsidRPr="00F93614">
        <w:rPr>
          <w:rFonts w:ascii="Times New Roman" w:hAnsi="Times New Roman" w:cs="Times New Roman"/>
          <w:sz w:val="24"/>
          <w:szCs w:val="24"/>
          <w:lang w:val="en-ID"/>
        </w:rPr>
        <w:t>.</w:t>
      </w:r>
    </w:p>
    <w:p w14:paraId="34D9E1D6"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 xml:space="preserve">Therefore, YukNgaji’s decision not to always quote sacred texts directly in the #LessWaste campaign reflects a communication strategy that considers both message effectiveness and the audience’s background understanding. Rather than focusing on explicit religious evidence, they adopt a more practical and applicable approach to encourage active participation in the environmental conservation movement. However, this does not negate the emphasis and direct citation of green campaign religious texts in more clandestine settings, such as </w:t>
      </w:r>
      <w:r w:rsidRPr="00F93614">
        <w:rPr>
          <w:rFonts w:ascii="Times New Roman" w:hAnsi="Times New Roman" w:cs="Times New Roman"/>
          <w:i/>
          <w:iCs/>
          <w:sz w:val="24"/>
          <w:szCs w:val="24"/>
          <w:lang w:val="en-ID"/>
        </w:rPr>
        <w:t>halaqah</w:t>
      </w:r>
      <w:r w:rsidRPr="00F93614">
        <w:rPr>
          <w:rFonts w:ascii="Times New Roman" w:hAnsi="Times New Roman" w:cs="Times New Roman"/>
          <w:sz w:val="24"/>
          <w:szCs w:val="24"/>
          <w:lang w:val="en-ID"/>
        </w:rPr>
        <w:t>. In these more closed and exclusive study sessions, eco-theological concepts are often elaborated with direct references to Quranic verses and hadith that affirm human responsibility as stewards of the earth.</w:t>
      </w:r>
    </w:p>
    <w:p w14:paraId="25B995ED" w14:textId="053935A5"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 xml:space="preserve">This is reflected in the responses of the informants, who affirmed that theological understanding of environmental conservation is an integral part of </w:t>
      </w:r>
      <w:r w:rsidRPr="00F93614">
        <w:rPr>
          <w:rFonts w:ascii="Times New Roman" w:hAnsi="Times New Roman" w:cs="Times New Roman"/>
          <w:i/>
          <w:iCs/>
          <w:sz w:val="24"/>
          <w:szCs w:val="24"/>
          <w:lang w:val="en-ID"/>
        </w:rPr>
        <w:t>halaqah</w:t>
      </w:r>
      <w:r w:rsidRPr="00F93614">
        <w:rPr>
          <w:rFonts w:ascii="Times New Roman" w:hAnsi="Times New Roman" w:cs="Times New Roman"/>
          <w:sz w:val="24"/>
          <w:szCs w:val="24"/>
          <w:lang w:val="en-ID"/>
        </w:rPr>
        <w:t xml:space="preserve"> discussions. They revealed that in these forums, Quranic and hadith evidence is not only presented textually but also contextualized into everyday life, especially in practicing a low-waste lifestyle (#LessWaste). Thus, while YukNgaji’s social media strategy focuses on practical and applicative approaches, within the scope of </w:t>
      </w:r>
      <w:r w:rsidRPr="00F93614">
        <w:rPr>
          <w:rFonts w:ascii="Times New Roman" w:hAnsi="Times New Roman" w:cs="Times New Roman"/>
          <w:i/>
          <w:iCs/>
          <w:sz w:val="24"/>
          <w:szCs w:val="24"/>
          <w:lang w:val="en-ID"/>
        </w:rPr>
        <w:t>halaqah</w:t>
      </w:r>
      <w:r w:rsidRPr="00F93614">
        <w:rPr>
          <w:rFonts w:ascii="Times New Roman" w:hAnsi="Times New Roman" w:cs="Times New Roman"/>
          <w:sz w:val="24"/>
          <w:szCs w:val="24"/>
          <w:lang w:val="en-ID"/>
        </w:rPr>
        <w:t>, sacred text-based arguments remain a fundamental basis for fostering faith-based environmental awareness.</w:t>
      </w:r>
    </w:p>
    <w:p w14:paraId="5BB96E00"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lastRenderedPageBreak/>
        <w:t xml:space="preserve">In addition to </w:t>
      </w:r>
      <w:r w:rsidRPr="00F93614">
        <w:rPr>
          <w:rFonts w:ascii="Times New Roman" w:hAnsi="Times New Roman" w:cs="Times New Roman"/>
          <w:i/>
          <w:iCs/>
          <w:sz w:val="24"/>
          <w:szCs w:val="24"/>
          <w:lang w:val="en-ID"/>
        </w:rPr>
        <w:t>halaqah</w:t>
      </w:r>
      <w:r w:rsidRPr="00F93614">
        <w:rPr>
          <w:rFonts w:ascii="Times New Roman" w:hAnsi="Times New Roman" w:cs="Times New Roman"/>
          <w:sz w:val="24"/>
          <w:szCs w:val="24"/>
          <w:lang w:val="en-ID"/>
        </w:rPr>
        <w:t xml:space="preserve">, eco-theological narratives are also present in other media produced by YukNgaji, such as the comic </w:t>
      </w:r>
      <w:r w:rsidRPr="00F93614">
        <w:rPr>
          <w:rFonts w:ascii="Times New Roman" w:hAnsi="Times New Roman" w:cs="Times New Roman"/>
          <w:i/>
          <w:iCs/>
          <w:sz w:val="24"/>
          <w:szCs w:val="24"/>
          <w:lang w:val="en-ID"/>
        </w:rPr>
        <w:t>Guardians of the Earth</w:t>
      </w:r>
      <w:r w:rsidRPr="00F93614">
        <w:rPr>
          <w:rFonts w:ascii="Times New Roman" w:hAnsi="Times New Roman" w:cs="Times New Roman"/>
          <w:sz w:val="24"/>
          <w:szCs w:val="24"/>
          <w:lang w:val="en-ID"/>
        </w:rPr>
        <w:t>. According to information obtained from Annisa Mujadilah, this comic is one of the educational tools promoting the #LessWaste spirit. Unlike Instagram posts or YouTube videos that are freely accessible, this comic is not a standard issue handbook within the YukNgaji community. However, this does not diminish its relevance to the environmental conservation values being promoted.</w:t>
      </w:r>
    </w:p>
    <w:p w14:paraId="73BDEC16" w14:textId="326E888A"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i/>
          <w:iCs/>
          <w:sz w:val="24"/>
          <w:szCs w:val="24"/>
          <w:lang w:val="en-ID"/>
        </w:rPr>
        <w:t>Guardians of the Earth</w:t>
      </w:r>
      <w:r w:rsidRPr="00F93614">
        <w:rPr>
          <w:rFonts w:ascii="Times New Roman" w:hAnsi="Times New Roman" w:cs="Times New Roman"/>
          <w:sz w:val="24"/>
          <w:szCs w:val="24"/>
          <w:lang w:val="en-ID"/>
        </w:rPr>
        <w:t xml:space="preserve"> depicts the journey of Felix Siauw and his family on a road trip. Throughout the journey, they encounter various phenomena that serve as starting points for discussing Islamic values</w:t>
      </w:r>
      <w:r w:rsidR="00E85C1E">
        <w:rPr>
          <w:rFonts w:ascii="Times New Roman" w:hAnsi="Times New Roman" w:cs="Times New Roman"/>
          <w:sz w:val="24"/>
          <w:szCs w:val="24"/>
          <w:lang w:val="en-ID"/>
        </w:rPr>
        <w:t xml:space="preserve"> </w:t>
      </w:r>
      <w:r w:rsidR="00E85C1E">
        <w:rPr>
          <w:rFonts w:ascii="Times New Roman" w:hAnsi="Times New Roman" w:cs="Times New Roman"/>
          <w:sz w:val="24"/>
          <w:szCs w:val="24"/>
          <w:lang w:val="en-ID"/>
        </w:rPr>
        <w:fldChar w:fldCharType="begin" w:fldLock="1"/>
      </w:r>
      <w:r w:rsidR="00221389">
        <w:rPr>
          <w:rFonts w:ascii="Times New Roman" w:hAnsi="Times New Roman" w:cs="Times New Roman"/>
          <w:sz w:val="24"/>
          <w:szCs w:val="24"/>
          <w:lang w:val="en-ID"/>
        </w:rPr>
        <w:instrText>ADDIN CSL_CITATION {"citationItems":[{"id":"ITEM-1","itemData":{"author":[{"dropping-particle":"","family":"Siauw","given":"Felix","non-dropping-particle":"","parse-names":false,"suffix":""},{"dropping-particle":"","family":"Myodauz","given":"","non-dropping-particle":"","parse-names":false,"suffix":""}],"edition":"1","id":"ITEM-1","issued":{"date-parts":[["2021"]]},"publisher":"Al-Fatih Press","publisher-place":"Jakarta","title":"Guardians of The Earth","type":"book"},"uris":["http://www.mendeley.com/documents/?uuid=357adfc1-0104-4500-a296-42621edce49f","http://www.mendeley.com/documents/?uuid=ce079ac3-c185-444a-8369-7be517ecc34f"]}],"mendeley":{"formattedCitation":"(Siauw &amp; Myodauz, 2021)","plainTextFormattedCitation":"(Siauw &amp; Myodauz, 2021)","previouslyFormattedCitation":"(Siauw &amp; Myodauz, 2021)"},"properties":{"noteIndex":0},"schema":"https://github.com/citation-style-language/schema/raw/master/csl-citation.json"}</w:instrText>
      </w:r>
      <w:r w:rsidR="00E85C1E">
        <w:rPr>
          <w:rFonts w:ascii="Times New Roman" w:hAnsi="Times New Roman" w:cs="Times New Roman"/>
          <w:sz w:val="24"/>
          <w:szCs w:val="24"/>
          <w:lang w:val="en-ID"/>
        </w:rPr>
        <w:fldChar w:fldCharType="separate"/>
      </w:r>
      <w:r w:rsidR="00E85C1E" w:rsidRPr="00E85C1E">
        <w:rPr>
          <w:rFonts w:ascii="Times New Roman" w:hAnsi="Times New Roman" w:cs="Times New Roman"/>
          <w:noProof/>
          <w:sz w:val="24"/>
          <w:szCs w:val="24"/>
          <w:lang w:val="en-ID"/>
        </w:rPr>
        <w:t>(Siauw &amp; Myodauz, 2021)</w:t>
      </w:r>
      <w:r w:rsidR="00E85C1E">
        <w:rPr>
          <w:rFonts w:ascii="Times New Roman" w:hAnsi="Times New Roman" w:cs="Times New Roman"/>
          <w:sz w:val="24"/>
          <w:szCs w:val="24"/>
          <w:lang w:val="en-ID"/>
        </w:rPr>
        <w:fldChar w:fldCharType="end"/>
      </w:r>
      <w:r w:rsidRPr="00F93614">
        <w:rPr>
          <w:rFonts w:ascii="Times New Roman" w:hAnsi="Times New Roman" w:cs="Times New Roman"/>
          <w:sz w:val="24"/>
          <w:szCs w:val="24"/>
          <w:lang w:val="en-ID"/>
        </w:rPr>
        <w:t xml:space="preserve">. The comic not only highlights eco-theological aspects, such as the importance of proper waste disposal, reducing plastic use, and water conservation, but also covers other aspects of Islamic life, such as worship practices, halal food laws, and issues surrounding Baitul Maqdis. The delivery of these values tends to follow a hierarchical structure, where Felix Siauw, as the father, plays an authoritative role in advising his children. Through this narrative approach, </w:t>
      </w:r>
      <w:r w:rsidRPr="00F93614">
        <w:rPr>
          <w:rFonts w:ascii="Times New Roman" w:hAnsi="Times New Roman" w:cs="Times New Roman"/>
          <w:i/>
          <w:iCs/>
          <w:sz w:val="24"/>
          <w:szCs w:val="24"/>
          <w:lang w:val="en-ID"/>
        </w:rPr>
        <w:t>Guardians of the Earth</w:t>
      </w:r>
      <w:r w:rsidRPr="00F93614">
        <w:rPr>
          <w:rFonts w:ascii="Times New Roman" w:hAnsi="Times New Roman" w:cs="Times New Roman"/>
          <w:sz w:val="24"/>
          <w:szCs w:val="24"/>
          <w:lang w:val="en-ID"/>
        </w:rPr>
        <w:t xml:space="preserve"> serves as a medium that internalizes Islamic teachings gradually and contextually, including in terms of environmental awareness.</w:t>
      </w:r>
    </w:p>
    <w:p w14:paraId="5816EC05"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The eco-theological message in this comic is also reinforced by direct references to sacred texts. One of the verses quoted is QS. Al-An'am [6]:165:</w:t>
      </w:r>
    </w:p>
    <w:p w14:paraId="0269688B" w14:textId="77777777" w:rsidR="00AD142E" w:rsidRPr="00F93614" w:rsidRDefault="00AD142E" w:rsidP="00AD142E">
      <w:pPr>
        <w:spacing w:after="120"/>
        <w:ind w:firstLine="567"/>
        <w:jc w:val="both"/>
        <w:rPr>
          <w:rFonts w:ascii="Times New Roman" w:hAnsi="Times New Roman" w:cs="Times New Roman"/>
          <w:i/>
          <w:iCs/>
          <w:sz w:val="24"/>
          <w:szCs w:val="24"/>
          <w:lang w:val="en-ID"/>
        </w:rPr>
      </w:pPr>
      <w:r w:rsidRPr="00F93614">
        <w:rPr>
          <w:rFonts w:ascii="Times New Roman" w:hAnsi="Times New Roman" w:cs="Times New Roman"/>
          <w:i/>
          <w:iCs/>
          <w:sz w:val="24"/>
          <w:szCs w:val="24"/>
          <w:lang w:val="en-ID"/>
        </w:rPr>
        <w:t>"And it is He who has made you successors upon the earth and has raised some of you above others in degrees [of rank], to test you through what He has given you..."</w:t>
      </w:r>
    </w:p>
    <w:p w14:paraId="20DC3F1D"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This explicit use of religious texts underscores the theological foundation of YukNgaji’s environmental campaign, offering a more direct approach compared to their social media content, where the delivery is often more subtle and adapted to the general public.</w:t>
      </w:r>
    </w:p>
    <w:p w14:paraId="3C6E123B"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Additionally, the comic also cites QS. Ar-Rum [30]:41:</w:t>
      </w:r>
    </w:p>
    <w:p w14:paraId="65BE31FB" w14:textId="77777777" w:rsidR="00AD142E" w:rsidRPr="00F93614" w:rsidRDefault="00AD142E" w:rsidP="00AD142E">
      <w:pPr>
        <w:spacing w:after="120"/>
        <w:ind w:firstLine="567"/>
        <w:jc w:val="both"/>
        <w:rPr>
          <w:rFonts w:ascii="Times New Roman" w:hAnsi="Times New Roman" w:cs="Times New Roman"/>
          <w:i/>
          <w:iCs/>
          <w:sz w:val="24"/>
          <w:szCs w:val="24"/>
          <w:lang w:val="en-ID"/>
        </w:rPr>
      </w:pPr>
      <w:r w:rsidRPr="00F93614">
        <w:rPr>
          <w:rFonts w:ascii="Times New Roman" w:hAnsi="Times New Roman" w:cs="Times New Roman"/>
          <w:i/>
          <w:iCs/>
          <w:sz w:val="24"/>
          <w:szCs w:val="24"/>
          <w:lang w:val="en-ID"/>
        </w:rPr>
        <w:t>"Corruption has appeared throughout the land and sea by [reason of] what the hands of people have earned so He may let them taste part of [the consequence of] what they have done that perhaps they will return [to righteousness]."</w:t>
      </w:r>
    </w:p>
    <w:p w14:paraId="4C904E23"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 xml:space="preserve">This verse is often associated with the impact of excessive exploitation of nature, leading to environmental crises such as pollution and climate change. By including this verse, </w:t>
      </w:r>
      <w:r w:rsidRPr="00F93614">
        <w:rPr>
          <w:rFonts w:ascii="Times New Roman" w:hAnsi="Times New Roman" w:cs="Times New Roman"/>
          <w:i/>
          <w:iCs/>
          <w:sz w:val="24"/>
          <w:szCs w:val="24"/>
          <w:lang w:val="en-ID"/>
        </w:rPr>
        <w:t>Guardians of the Earth</w:t>
      </w:r>
      <w:r w:rsidRPr="00F93614">
        <w:rPr>
          <w:rFonts w:ascii="Times New Roman" w:hAnsi="Times New Roman" w:cs="Times New Roman"/>
          <w:sz w:val="24"/>
          <w:szCs w:val="24"/>
          <w:lang w:val="en-ID"/>
        </w:rPr>
        <w:t xml:space="preserve"> aims to instill an understanding that environmental damage is not merely a natural phenomenon but also a consequence of irresponsible human actions.</w:t>
      </w:r>
    </w:p>
    <w:p w14:paraId="57127A64" w14:textId="77777777" w:rsidR="00AD142E" w:rsidRPr="00F93614" w:rsidRDefault="00AD142E" w:rsidP="00AD142E">
      <w:pPr>
        <w:spacing w:after="120"/>
        <w:ind w:firstLine="567"/>
        <w:jc w:val="both"/>
        <w:rPr>
          <w:rFonts w:ascii="Times New Roman" w:hAnsi="Times New Roman" w:cs="Times New Roman"/>
          <w:i/>
          <w:iCs/>
          <w:sz w:val="24"/>
          <w:szCs w:val="24"/>
          <w:lang w:val="en-ID"/>
        </w:rPr>
      </w:pPr>
      <w:r w:rsidRPr="00F93614">
        <w:rPr>
          <w:rFonts w:ascii="Times New Roman" w:hAnsi="Times New Roman" w:cs="Times New Roman"/>
          <w:sz w:val="24"/>
          <w:szCs w:val="24"/>
          <w:lang w:val="en-ID"/>
        </w:rPr>
        <w:t xml:space="preserve">In addition to Qur’anic verses, the comic also features a hadith of the Prophet Muhammad that emphasizes the importance of human contribution to environmental preservation: </w:t>
      </w:r>
      <w:r w:rsidRPr="00F93614">
        <w:rPr>
          <w:rFonts w:ascii="Times New Roman" w:hAnsi="Times New Roman" w:cs="Times New Roman"/>
          <w:i/>
          <w:iCs/>
          <w:sz w:val="24"/>
          <w:szCs w:val="24"/>
          <w:lang w:val="en-ID"/>
        </w:rPr>
        <w:t>"If a Muslim plants a tree or sows seeds, and a bird, person, or animal eats from it, it is regarded as a charitable gift (sadaqah) for him."</w:t>
      </w:r>
    </w:p>
    <w:p w14:paraId="7AEE3AD2"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This hadith provides a moral incentive for Muslims to engage in reforestation and nature conservation. By planting a tree, one not only helps maintain environmental balance but also earns ongoing rewards (</w:t>
      </w:r>
      <w:r w:rsidRPr="00F93614">
        <w:rPr>
          <w:rFonts w:ascii="Times New Roman" w:hAnsi="Times New Roman" w:cs="Times New Roman"/>
          <w:i/>
          <w:iCs/>
          <w:sz w:val="24"/>
          <w:szCs w:val="24"/>
          <w:lang w:val="en-ID"/>
        </w:rPr>
        <w:t>pahala jariyah</w:t>
      </w:r>
      <w:r w:rsidRPr="00F93614">
        <w:rPr>
          <w:rFonts w:ascii="Times New Roman" w:hAnsi="Times New Roman" w:cs="Times New Roman"/>
          <w:sz w:val="24"/>
          <w:szCs w:val="24"/>
          <w:lang w:val="en-ID"/>
        </w:rPr>
        <w:t>).</w:t>
      </w:r>
    </w:p>
    <w:p w14:paraId="20538B18" w14:textId="77777777" w:rsidR="00AD142E" w:rsidRPr="00F93614" w:rsidRDefault="00AD142E" w:rsidP="00AD142E">
      <w:pPr>
        <w:pStyle w:val="ListParagraph"/>
        <w:numPr>
          <w:ilvl w:val="0"/>
          <w:numId w:val="1"/>
        </w:numPr>
        <w:spacing w:after="120"/>
        <w:ind w:left="360"/>
        <w:jc w:val="both"/>
        <w:rPr>
          <w:rFonts w:ascii="Times New Roman" w:hAnsi="Times New Roman" w:cs="Times New Roman"/>
          <w:sz w:val="24"/>
          <w:szCs w:val="24"/>
        </w:rPr>
      </w:pPr>
      <w:r w:rsidRPr="00F93614">
        <w:rPr>
          <w:rFonts w:ascii="Times New Roman" w:hAnsi="Times New Roman" w:cs="Times New Roman"/>
          <w:sz w:val="24"/>
          <w:szCs w:val="24"/>
        </w:rPr>
        <w:lastRenderedPageBreak/>
        <w:t>Living Qur'an-Hadith: Actualization of Eco-Theological Values by the YukNgaji Community</w:t>
      </w:r>
    </w:p>
    <w:p w14:paraId="400BD47C" w14:textId="77777777" w:rsidR="00AD142E" w:rsidRPr="00F93614" w:rsidRDefault="00AD142E" w:rsidP="00AD142E">
      <w:pPr>
        <w:spacing w:after="120"/>
        <w:ind w:firstLine="567"/>
        <w:jc w:val="both"/>
        <w:rPr>
          <w:rFonts w:ascii="Times New Roman" w:hAnsi="Times New Roman" w:cs="Times New Roman"/>
          <w:sz w:val="24"/>
          <w:szCs w:val="24"/>
        </w:rPr>
      </w:pPr>
      <w:r w:rsidRPr="00F93614">
        <w:rPr>
          <w:rFonts w:ascii="Times New Roman" w:hAnsi="Times New Roman" w:cs="Times New Roman"/>
          <w:sz w:val="24"/>
          <w:szCs w:val="24"/>
        </w:rPr>
        <w:t>Based on interviews with informants, there are three main practices in the #LessWaste campaign by the YukNgaji community that have high retention and are still ongoing among regular attendees of the study sessions. These practices not only become habits but also reflect the actualization of Islamic teachings in everyday life regarding environmental awareness.</w:t>
      </w:r>
    </w:p>
    <w:p w14:paraId="20E37ECD" w14:textId="77777777" w:rsidR="00AD142E" w:rsidRPr="00F93614" w:rsidRDefault="00AD142E" w:rsidP="00AD142E">
      <w:pPr>
        <w:pStyle w:val="ListParagraph"/>
        <w:numPr>
          <w:ilvl w:val="0"/>
          <w:numId w:val="5"/>
        </w:numPr>
        <w:spacing w:after="120"/>
        <w:jc w:val="both"/>
        <w:rPr>
          <w:rFonts w:ascii="Times New Roman" w:hAnsi="Times New Roman" w:cs="Times New Roman"/>
          <w:sz w:val="24"/>
          <w:szCs w:val="24"/>
        </w:rPr>
      </w:pPr>
      <w:r w:rsidRPr="00F93614">
        <w:rPr>
          <w:rFonts w:ascii="Times New Roman" w:hAnsi="Times New Roman" w:cs="Times New Roman"/>
          <w:sz w:val="24"/>
          <w:szCs w:val="24"/>
        </w:rPr>
        <w:t>Trash Charity (</w:t>
      </w:r>
      <w:r w:rsidRPr="00A55111">
        <w:rPr>
          <w:rFonts w:ascii="Times New Roman" w:hAnsi="Times New Roman" w:cs="Times New Roman"/>
          <w:i/>
          <w:iCs/>
          <w:sz w:val="24"/>
          <w:szCs w:val="24"/>
        </w:rPr>
        <w:t>Sedekah Sampah</w:t>
      </w:r>
      <w:r w:rsidRPr="00F93614">
        <w:rPr>
          <w:rFonts w:ascii="Times New Roman" w:hAnsi="Times New Roman" w:cs="Times New Roman"/>
          <w:sz w:val="24"/>
          <w:szCs w:val="24"/>
        </w:rPr>
        <w:t>)</w:t>
      </w:r>
    </w:p>
    <w:p w14:paraId="52844B93" w14:textId="534BA459" w:rsidR="00AD142E" w:rsidRPr="00F93614" w:rsidRDefault="00AD142E" w:rsidP="00AD142E">
      <w:pPr>
        <w:spacing w:after="120"/>
        <w:ind w:firstLine="567"/>
        <w:jc w:val="both"/>
        <w:rPr>
          <w:rFonts w:ascii="Times New Roman" w:hAnsi="Times New Roman" w:cs="Times New Roman"/>
          <w:sz w:val="24"/>
          <w:szCs w:val="24"/>
        </w:rPr>
      </w:pPr>
      <w:r w:rsidRPr="00F93614">
        <w:rPr>
          <w:rFonts w:ascii="Times New Roman" w:hAnsi="Times New Roman" w:cs="Times New Roman"/>
          <w:sz w:val="24"/>
          <w:szCs w:val="24"/>
        </w:rPr>
        <w:t>The trash charity program is one of the long-standing initiatives still running at Al-Hakim Mosque in BSD, which previously collaborated with YukNgaji in 2020 to transform the mosque into a more eco-friendly place of worship. Currently, the program is independently managed by the Mosque Prosperity Council (DKM) with a flexible trash collection schedule to accommodate the local community</w:t>
      </w:r>
      <w:r w:rsidR="00940980">
        <w:rPr>
          <w:rFonts w:ascii="Times New Roman" w:hAnsi="Times New Roman" w:cs="Times New Roman"/>
          <w:sz w:val="24"/>
          <w:szCs w:val="24"/>
        </w:rPr>
        <w:t xml:space="preserve"> (Interview with Nindie Hanjasari, January 12, 2025)</w:t>
      </w:r>
      <w:r w:rsidRPr="00F93614">
        <w:rPr>
          <w:rFonts w:ascii="Times New Roman" w:hAnsi="Times New Roman" w:cs="Times New Roman"/>
          <w:sz w:val="24"/>
          <w:szCs w:val="24"/>
        </w:rPr>
        <w:t>. This practice not only educates congregants on waste sorting and reduction but also internalizes the concept of charity in a broader sense—not merely through material or financial contributions but also by contributing to environmental cleanliness and sustainability.</w:t>
      </w:r>
    </w:p>
    <w:p w14:paraId="38541CB8" w14:textId="77777777" w:rsidR="00AD142E" w:rsidRPr="00F93614" w:rsidRDefault="00AD142E" w:rsidP="00AD142E">
      <w:pPr>
        <w:pStyle w:val="ListParagraph"/>
        <w:numPr>
          <w:ilvl w:val="0"/>
          <w:numId w:val="5"/>
        </w:numPr>
        <w:spacing w:after="120"/>
        <w:jc w:val="both"/>
        <w:rPr>
          <w:rFonts w:ascii="Times New Roman" w:hAnsi="Times New Roman" w:cs="Times New Roman"/>
          <w:sz w:val="24"/>
          <w:szCs w:val="24"/>
        </w:rPr>
      </w:pPr>
      <w:r w:rsidRPr="00F93614">
        <w:rPr>
          <w:rFonts w:ascii="Times New Roman" w:hAnsi="Times New Roman" w:cs="Times New Roman"/>
          <w:sz w:val="24"/>
          <w:szCs w:val="24"/>
        </w:rPr>
        <w:t>Study Session Water Tumbler</w:t>
      </w:r>
    </w:p>
    <w:p w14:paraId="0DDEA247" w14:textId="7CD27448" w:rsidR="00AD142E" w:rsidRDefault="00AD142E" w:rsidP="00AD142E">
      <w:pPr>
        <w:spacing w:after="120"/>
        <w:ind w:firstLine="567"/>
        <w:jc w:val="both"/>
        <w:rPr>
          <w:sz w:val="24"/>
          <w:szCs w:val="24"/>
        </w:rPr>
      </w:pPr>
      <w:r w:rsidRPr="00F93614">
        <w:rPr>
          <w:rFonts w:ascii="Times New Roman" w:hAnsi="Times New Roman" w:cs="Times New Roman"/>
          <w:sz w:val="24"/>
          <w:szCs w:val="24"/>
        </w:rPr>
        <w:t>During a visit to the YukNgaji Headquarters in Bogor, the researcher observed that every attendee brought their own water tumbler to the study sessions. At the venue, a water dispenser was provided, allowing participants to refill their drinks without needing single-use plastic bottles. This culture of bringing a tumbler has persisted due to several factors, including easy access to drinking water and the availability of official YukNgaji merchandise in the form of community-branded tumblers. By owning a YukNgaji-branded tumbler, attendees not only feel more connected to the community but also incorporate this habit into their personal identity.</w:t>
      </w:r>
    </w:p>
    <w:p w14:paraId="310432B2" w14:textId="30C3F33B" w:rsidR="00AD142E" w:rsidRPr="00AD142E" w:rsidRDefault="00940980" w:rsidP="00AD142E">
      <w:pPr>
        <w:spacing w:after="120"/>
        <w:ind w:firstLine="567"/>
        <w:jc w:val="both"/>
        <w:rPr>
          <w:sz w:val="24"/>
          <w:szCs w:val="24"/>
        </w:rPr>
      </w:pPr>
      <w:r>
        <w:rPr>
          <w:noProof/>
        </w:rPr>
        <w:drawing>
          <wp:anchor distT="0" distB="0" distL="114300" distR="114300" simplePos="0" relativeHeight="251660288" behindDoc="0" locked="0" layoutInCell="1" allowOverlap="1" wp14:anchorId="0B518EE8" wp14:editId="5A56A655">
            <wp:simplePos x="0" y="0"/>
            <wp:positionH relativeFrom="margin">
              <wp:posOffset>1191895</wp:posOffset>
            </wp:positionH>
            <wp:positionV relativeFrom="margin">
              <wp:posOffset>5520690</wp:posOffset>
            </wp:positionV>
            <wp:extent cx="3155950" cy="2358390"/>
            <wp:effectExtent l="0" t="0" r="6350" b="3810"/>
            <wp:wrapSquare wrapText="bothSides"/>
            <wp:docPr id="666571537"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5950" cy="2358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199349" w14:textId="77777777" w:rsidR="00AD142E" w:rsidRDefault="00AD142E">
      <w:pPr>
        <w:spacing w:after="120"/>
        <w:ind w:firstLine="567"/>
        <w:jc w:val="both"/>
        <w:rPr>
          <w:rFonts w:ascii="Times New Roman" w:eastAsia="Times New Roman" w:hAnsi="Times New Roman" w:cs="Times New Roman"/>
          <w:sz w:val="24"/>
          <w:szCs w:val="24"/>
        </w:rPr>
      </w:pPr>
    </w:p>
    <w:p w14:paraId="353408F9" w14:textId="77777777" w:rsidR="00AD142E" w:rsidRDefault="00AD142E">
      <w:pPr>
        <w:spacing w:after="120"/>
        <w:ind w:firstLine="567"/>
        <w:jc w:val="both"/>
        <w:rPr>
          <w:rFonts w:ascii="Times New Roman" w:eastAsia="Times New Roman" w:hAnsi="Times New Roman" w:cs="Times New Roman"/>
          <w:sz w:val="24"/>
          <w:szCs w:val="24"/>
        </w:rPr>
      </w:pPr>
    </w:p>
    <w:p w14:paraId="28490DCD" w14:textId="77777777" w:rsidR="00AD142E" w:rsidRDefault="00AD142E">
      <w:pPr>
        <w:spacing w:after="120"/>
        <w:ind w:firstLine="567"/>
        <w:jc w:val="both"/>
        <w:rPr>
          <w:rFonts w:ascii="Times New Roman" w:eastAsia="Times New Roman" w:hAnsi="Times New Roman" w:cs="Times New Roman"/>
          <w:sz w:val="24"/>
          <w:szCs w:val="24"/>
        </w:rPr>
      </w:pPr>
    </w:p>
    <w:p w14:paraId="15A3470B" w14:textId="77777777" w:rsidR="00AD142E" w:rsidRDefault="00AD142E">
      <w:pPr>
        <w:spacing w:after="120"/>
        <w:ind w:firstLine="567"/>
        <w:jc w:val="both"/>
        <w:rPr>
          <w:rFonts w:ascii="Times New Roman" w:eastAsia="Times New Roman" w:hAnsi="Times New Roman" w:cs="Times New Roman"/>
          <w:sz w:val="24"/>
          <w:szCs w:val="24"/>
        </w:rPr>
      </w:pPr>
    </w:p>
    <w:p w14:paraId="33E9351B" w14:textId="77777777" w:rsidR="00AD142E" w:rsidRDefault="00AD142E">
      <w:pPr>
        <w:spacing w:after="120"/>
        <w:ind w:firstLine="567"/>
        <w:jc w:val="both"/>
        <w:rPr>
          <w:rFonts w:ascii="Times New Roman" w:eastAsia="Times New Roman" w:hAnsi="Times New Roman" w:cs="Times New Roman"/>
          <w:sz w:val="24"/>
          <w:szCs w:val="24"/>
        </w:rPr>
      </w:pPr>
    </w:p>
    <w:p w14:paraId="14A72AEC" w14:textId="77777777" w:rsidR="00AD142E" w:rsidRDefault="00AD142E">
      <w:pPr>
        <w:spacing w:after="120"/>
        <w:ind w:firstLine="567"/>
        <w:jc w:val="both"/>
        <w:rPr>
          <w:rFonts w:ascii="Times New Roman" w:eastAsia="Times New Roman" w:hAnsi="Times New Roman" w:cs="Times New Roman"/>
          <w:sz w:val="24"/>
          <w:szCs w:val="24"/>
        </w:rPr>
      </w:pPr>
    </w:p>
    <w:p w14:paraId="6C26589A" w14:textId="77777777" w:rsidR="00AD142E" w:rsidRDefault="00AD142E">
      <w:pPr>
        <w:spacing w:after="120"/>
        <w:ind w:firstLine="567"/>
        <w:jc w:val="both"/>
        <w:rPr>
          <w:rFonts w:ascii="Times New Roman" w:eastAsia="Times New Roman" w:hAnsi="Times New Roman" w:cs="Times New Roman"/>
          <w:sz w:val="24"/>
          <w:szCs w:val="24"/>
        </w:rPr>
      </w:pPr>
    </w:p>
    <w:p w14:paraId="162206FB" w14:textId="77777777" w:rsidR="00E67B92" w:rsidRDefault="00E67B92" w:rsidP="0030728C">
      <w:pPr>
        <w:spacing w:after="120"/>
        <w:jc w:val="both"/>
        <w:rPr>
          <w:rFonts w:ascii="Times New Roman" w:eastAsia="Times New Roman" w:hAnsi="Times New Roman" w:cs="Times New Roman"/>
          <w:sz w:val="24"/>
          <w:szCs w:val="24"/>
        </w:rPr>
      </w:pPr>
    </w:p>
    <w:p w14:paraId="3272888D" w14:textId="77777777" w:rsidR="00AD142E" w:rsidRDefault="00AD142E" w:rsidP="00AD142E">
      <w:pPr>
        <w:spacing w:after="120"/>
        <w:jc w:val="center"/>
        <w:rPr>
          <w:rFonts w:ascii="Times New Roman" w:hAnsi="Times New Roman" w:cs="Times New Roman"/>
        </w:rPr>
      </w:pPr>
      <w:r w:rsidRPr="00AD142E">
        <w:rPr>
          <w:rFonts w:ascii="Times New Roman" w:hAnsi="Times New Roman" w:cs="Times New Roman"/>
          <w:b/>
          <w:bCs/>
        </w:rPr>
        <w:t>Figure 1.8.</w:t>
      </w:r>
      <w:r w:rsidRPr="00AD142E">
        <w:rPr>
          <w:rFonts w:ascii="Times New Roman" w:hAnsi="Times New Roman" w:cs="Times New Roman"/>
        </w:rPr>
        <w:t xml:space="preserve"> Refilling water bottles at a YukNgaji study session with personal tumblers (</w:t>
      </w:r>
      <w:r w:rsidRPr="00AD142E">
        <w:rPr>
          <w:rFonts w:ascii="Times New Roman" w:hAnsi="Times New Roman" w:cs="Times New Roman"/>
          <w:i/>
          <w:iCs/>
        </w:rPr>
        <w:t>Source: Instagram @yukngajiid, 2020</w:t>
      </w:r>
      <w:r w:rsidRPr="00AD142E">
        <w:rPr>
          <w:rFonts w:ascii="Times New Roman" w:hAnsi="Times New Roman" w:cs="Times New Roman"/>
        </w:rPr>
        <w:t>)</w:t>
      </w:r>
    </w:p>
    <w:p w14:paraId="3CD8F20D" w14:textId="77777777" w:rsidR="00940980" w:rsidRDefault="00940980" w:rsidP="00AD142E">
      <w:pPr>
        <w:spacing w:after="120"/>
        <w:jc w:val="center"/>
        <w:rPr>
          <w:rFonts w:ascii="Times New Roman" w:eastAsia="Times New Roman" w:hAnsi="Times New Roman" w:cs="Times New Roman"/>
          <w:sz w:val="24"/>
          <w:szCs w:val="24"/>
        </w:rPr>
      </w:pPr>
    </w:p>
    <w:p w14:paraId="6EED59FE" w14:textId="77777777" w:rsidR="00AD142E" w:rsidRPr="00F93614" w:rsidRDefault="00AD142E" w:rsidP="00AD142E">
      <w:pPr>
        <w:pStyle w:val="ListParagraph"/>
        <w:numPr>
          <w:ilvl w:val="0"/>
          <w:numId w:val="5"/>
        </w:numPr>
        <w:spacing w:after="120"/>
        <w:jc w:val="both"/>
        <w:rPr>
          <w:rFonts w:ascii="Times New Roman" w:hAnsi="Times New Roman" w:cs="Times New Roman"/>
          <w:sz w:val="24"/>
          <w:szCs w:val="24"/>
        </w:rPr>
      </w:pPr>
      <w:r w:rsidRPr="00F93614">
        <w:rPr>
          <w:rFonts w:ascii="Times New Roman" w:hAnsi="Times New Roman" w:cs="Times New Roman"/>
          <w:sz w:val="24"/>
          <w:szCs w:val="24"/>
        </w:rPr>
        <w:lastRenderedPageBreak/>
        <w:t>Decluttering: Organizing and Letting Go of Unnecessary Items</w:t>
      </w:r>
    </w:p>
    <w:p w14:paraId="22A25E23" w14:textId="6524270A"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 xml:space="preserve">One of the community members introduced the concept of </w:t>
      </w:r>
      <w:r w:rsidRPr="00F93614">
        <w:rPr>
          <w:rFonts w:ascii="Times New Roman" w:hAnsi="Times New Roman" w:cs="Times New Roman"/>
          <w:i/>
          <w:iCs/>
          <w:sz w:val="24"/>
          <w:szCs w:val="24"/>
          <w:lang w:val="en-ID"/>
        </w:rPr>
        <w:t>decluttering</w:t>
      </w:r>
      <w:r w:rsidRPr="00F93614">
        <w:rPr>
          <w:rFonts w:ascii="Times New Roman" w:hAnsi="Times New Roman" w:cs="Times New Roman"/>
          <w:sz w:val="24"/>
          <w:szCs w:val="24"/>
          <w:lang w:val="en-ID"/>
        </w:rPr>
        <w:t xml:space="preserve"> within the context of the #LessWaste movement at YukNgaji. This concept involves organizing and removing items that are no longer needed at home, either by selling pre-loved goods that are still in good condition or by donating them to those in need</w:t>
      </w:r>
      <w:r w:rsidR="00940980">
        <w:rPr>
          <w:rFonts w:ascii="Times New Roman" w:hAnsi="Times New Roman" w:cs="Times New Roman"/>
          <w:sz w:val="24"/>
          <w:szCs w:val="24"/>
          <w:lang w:val="en-ID"/>
        </w:rPr>
        <w:t xml:space="preserve"> (Interview with Muhammad Islamil, November 17, 2024)</w:t>
      </w:r>
      <w:r w:rsidRPr="00F93614">
        <w:rPr>
          <w:rFonts w:ascii="Times New Roman" w:hAnsi="Times New Roman" w:cs="Times New Roman"/>
          <w:sz w:val="24"/>
          <w:szCs w:val="24"/>
          <w:lang w:val="en-ID"/>
        </w:rPr>
        <w:t xml:space="preserve">. Annisa Mujadilah added that this practice is rooted in the Islamic principle of </w:t>
      </w:r>
      <w:r w:rsidRPr="00F93614">
        <w:rPr>
          <w:rFonts w:ascii="Times New Roman" w:hAnsi="Times New Roman" w:cs="Times New Roman"/>
          <w:i/>
          <w:iCs/>
          <w:sz w:val="24"/>
          <w:szCs w:val="24"/>
          <w:lang w:val="en-ID"/>
        </w:rPr>
        <w:t>hisab</w:t>
      </w:r>
      <w:r w:rsidRPr="00F93614">
        <w:rPr>
          <w:rFonts w:ascii="Times New Roman" w:hAnsi="Times New Roman" w:cs="Times New Roman"/>
          <w:sz w:val="24"/>
          <w:szCs w:val="24"/>
          <w:lang w:val="en-ID"/>
        </w:rPr>
        <w:t xml:space="preserve"> (accountability), which emphasizes that the more possessions a person has, the longer and more burdensome their reckoning will be in the afterlife. Thus, decluttering is not merely seen as an act of minimalism or material management but also as a form of spiritual reflection on one's responsibility towards their belongings.</w:t>
      </w:r>
    </w:p>
    <w:p w14:paraId="4A0217BE"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These three practices demonstrate that YukNgaji’s #LessWaste initiative is not merely a temporary trend but has become an integral part of the daily lives of its congregation as an expression of an Islamic lifestyle. By blending eco-theological values with tangible practices, this community shows that Islamic teachings on balance and responsibility towards nature can be implemented in simple yet sustainable ways.</w:t>
      </w:r>
    </w:p>
    <w:p w14:paraId="4D55A240" w14:textId="77777777" w:rsidR="00AD142E" w:rsidRPr="00F93614" w:rsidRDefault="00AD142E" w:rsidP="00AD142E">
      <w:pPr>
        <w:pStyle w:val="ListParagraph"/>
        <w:numPr>
          <w:ilvl w:val="0"/>
          <w:numId w:val="1"/>
        </w:numPr>
        <w:spacing w:after="120"/>
        <w:ind w:left="450"/>
        <w:jc w:val="both"/>
        <w:rPr>
          <w:rFonts w:ascii="Times New Roman" w:hAnsi="Times New Roman" w:cs="Times New Roman"/>
          <w:sz w:val="24"/>
          <w:szCs w:val="24"/>
        </w:rPr>
      </w:pPr>
      <w:r w:rsidRPr="00F93614">
        <w:rPr>
          <w:rFonts w:ascii="Times New Roman" w:hAnsi="Times New Roman" w:cs="Times New Roman"/>
          <w:sz w:val="24"/>
          <w:szCs w:val="24"/>
        </w:rPr>
        <w:t>Beyond Green Campaign: Long-Term Strategy in the YukNgaji Movement</w:t>
      </w:r>
    </w:p>
    <w:p w14:paraId="693E3D00"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Although the #LessWaste campaign initiated by the YukNgaji community appears to be an independent eco-theological movement focused on environmental issues, there are indications that this initiative is part of a larger long-term strategy. This strategy seems to be aimed at maintaining and expanding the influence of Hizbut Tahrir Indonesia (HTI) ideology through non-conventional approaches. Instead of directly promoting the caliphate narrative, the community utilizes popular themes among young people, such as environmental issues, to build an inclusive image that aligns with current trends.</w:t>
      </w:r>
    </w:p>
    <w:p w14:paraId="13B71B58" w14:textId="77777777" w:rsidR="00AD142E" w:rsidRPr="00F93614" w:rsidRDefault="00AD142E" w:rsidP="00AD142E">
      <w:pPr>
        <w:spacing w:after="120"/>
        <w:ind w:firstLine="567"/>
        <w:jc w:val="both"/>
        <w:rPr>
          <w:rFonts w:ascii="Times New Roman" w:hAnsi="Times New Roman" w:cs="Times New Roman"/>
          <w:sz w:val="24"/>
          <w:szCs w:val="24"/>
          <w:lang w:val="en-ID"/>
        </w:rPr>
      </w:pPr>
      <w:r w:rsidRPr="00F93614">
        <w:rPr>
          <w:rFonts w:ascii="Times New Roman" w:hAnsi="Times New Roman" w:cs="Times New Roman"/>
          <w:sz w:val="24"/>
          <w:szCs w:val="24"/>
          <w:lang w:val="en-ID"/>
        </w:rPr>
        <w:t>The decision to highlight environmental campaigns as part of YukNgaji’s programs is not merely a response to the rising ecological discourse but also reflects the movement’s adaptation to the socio-political landscape following HTI’s disbandment. Given the increasingly limited formal preaching space for HTI, the #LessWaste movement serves as a safe and effective medium to maintain public presence without appearing overly HTI-centric. Thus, this campaign is not just an invitation to adopt an eco-friendly lifestyle but also part of a broader masterplan to sustain the existence and influence of the caliphate ideology in a more flexible and publicly accepted format.</w:t>
      </w:r>
    </w:p>
    <w:p w14:paraId="72A0B97C" w14:textId="77777777" w:rsidR="00AD142E" w:rsidRPr="00F93614" w:rsidRDefault="00AD142E" w:rsidP="00AD142E">
      <w:pPr>
        <w:spacing w:after="120"/>
        <w:ind w:firstLine="567"/>
        <w:jc w:val="both"/>
        <w:rPr>
          <w:rFonts w:ascii="Times New Roman" w:eastAsia="Times New Roman" w:hAnsi="Times New Roman" w:cs="Times New Roman"/>
          <w:sz w:val="24"/>
          <w:szCs w:val="24"/>
        </w:rPr>
      </w:pPr>
      <w:r w:rsidRPr="00F93614">
        <w:rPr>
          <w:rFonts w:ascii="Times New Roman" w:hAnsi="Times New Roman" w:cs="Times New Roman"/>
          <w:sz w:val="24"/>
          <w:szCs w:val="24"/>
          <w:lang w:val="en-ID"/>
        </w:rPr>
        <w:t>At this point, it is crucial to examine whether the fragmentation of the caliphate spirit within the YukNgaji community remains persistent or is still ongoing. The seemingly neutral and socially-based campaign could be a way to implicitly convey the message that “we are not always talking about the caliphate.” However, behind the environmental narrative, there remains a thread connecting the community’s activities with the idea that the fundamental solution to various issues—including environmental concerns—is the establishment of ideal Islamic leadership. This principle aligns with HTI’s doctrine that systemic change can only occur if leadership changes on a larger scale, specifically through the caliphate.</w:t>
      </w:r>
    </w:p>
    <w:p w14:paraId="1AF8C4EF" w14:textId="77777777" w:rsidR="00AD142E" w:rsidRPr="00F93614" w:rsidRDefault="00AD142E" w:rsidP="00F93614">
      <w:pPr>
        <w:spacing w:after="120"/>
        <w:ind w:firstLine="567"/>
        <w:jc w:val="both"/>
        <w:rPr>
          <w:rFonts w:ascii="Times New Roman" w:eastAsia="Times New Roman" w:hAnsi="Times New Roman" w:cs="Times New Roman"/>
          <w:sz w:val="24"/>
          <w:szCs w:val="24"/>
        </w:rPr>
      </w:pPr>
      <w:r w:rsidRPr="00F93614">
        <w:rPr>
          <w:rFonts w:ascii="Times New Roman" w:hAnsi="Times New Roman" w:cs="Times New Roman"/>
          <w:sz w:val="24"/>
          <w:szCs w:val="24"/>
          <w:lang w:val="en-ID"/>
        </w:rPr>
        <w:lastRenderedPageBreak/>
        <w:t>Moreover, YukNgaji’s preference for always being viral and aligning with social media trends indicates a strategic communication pattern. It is not merely about gaining popularity but also about ensuring their da'wah (preaching) message reaches a broader audience. This is where the riding the wave approach plays a crucial role. By adopting popular issues, YukNgaji not only aims to attract young audiences but also subtly guides them toward a bigger vision of Islamic leadership. As highlighted by some informants, the #LessWaste activities are not just about ecology but also about who delivers the message and how it is positioned within a larger, more strategic narrative.</w:t>
      </w:r>
    </w:p>
    <w:p w14:paraId="54A7B41A" w14:textId="77777777" w:rsidR="008B3EE8" w:rsidRDefault="00303DE3">
      <w:pPr>
        <w:spacing w:before="360" w:after="120"/>
        <w:jc w:val="both"/>
        <w:rPr>
          <w:rFonts w:ascii="Kozuka Gothic Pro B" w:eastAsia="Kozuka Gothic Pro B" w:hAnsi="Kozuka Gothic Pro B" w:cs="Kozuka Gothic Pro B"/>
          <w:sz w:val="24"/>
          <w:szCs w:val="24"/>
        </w:rPr>
      </w:pPr>
      <w:r>
        <w:rPr>
          <w:rFonts w:ascii="Kozuka Gothic Pro B" w:eastAsia="Kozuka Gothic Pro B" w:hAnsi="Kozuka Gothic Pro B" w:cs="Kozuka Gothic Pro B"/>
          <w:b/>
          <w:sz w:val="24"/>
          <w:szCs w:val="24"/>
        </w:rPr>
        <w:t>Conclusion</w:t>
      </w:r>
    </w:p>
    <w:p w14:paraId="40B53AE3" w14:textId="52DCC6D2" w:rsidR="00AD142E" w:rsidRPr="00AD142E" w:rsidRDefault="00AD142E" w:rsidP="00AD142E">
      <w:pPr>
        <w:spacing w:after="120"/>
        <w:ind w:firstLine="567"/>
        <w:jc w:val="both"/>
        <w:rPr>
          <w:rFonts w:ascii="Times New Roman" w:eastAsia="Times New Roman" w:hAnsi="Times New Roman" w:cs="Times New Roman"/>
          <w:sz w:val="24"/>
          <w:szCs w:val="24"/>
        </w:rPr>
      </w:pPr>
      <w:r w:rsidRPr="00AD142E">
        <w:rPr>
          <w:rFonts w:ascii="Times New Roman" w:hAnsi="Times New Roman" w:cs="Times New Roman"/>
          <w:sz w:val="24"/>
          <w:szCs w:val="24"/>
          <w:lang w:val="en-ID"/>
        </w:rPr>
        <w:t>This study shows that the #LessWaste eco</w:t>
      </w:r>
      <w:r w:rsidR="00A55111">
        <w:rPr>
          <w:rFonts w:ascii="Times New Roman" w:hAnsi="Times New Roman" w:cs="Times New Roman"/>
          <w:sz w:val="24"/>
          <w:szCs w:val="24"/>
          <w:lang w:val="en-ID"/>
        </w:rPr>
        <w:t>-</w:t>
      </w:r>
      <w:r w:rsidRPr="00AD142E">
        <w:rPr>
          <w:rFonts w:ascii="Times New Roman" w:hAnsi="Times New Roman" w:cs="Times New Roman"/>
          <w:sz w:val="24"/>
          <w:szCs w:val="24"/>
          <w:lang w:val="en-ID"/>
        </w:rPr>
        <w:t xml:space="preserve">theological campaign by the YukNgaji community is not merely an environmental movement but also part of a broader and more strategic agenda. Through a hybrid activism approach, YukNgaji successfully combines clicktivism on social media with real-world actions, making this </w:t>
      </w:r>
      <w:r w:rsidR="0019667C">
        <w:rPr>
          <w:rFonts w:ascii="Times New Roman" w:hAnsi="Times New Roman" w:cs="Times New Roman"/>
          <w:sz w:val="24"/>
          <w:szCs w:val="24"/>
          <w:lang w:val="en-ID"/>
        </w:rPr>
        <w:t xml:space="preserve">community-based education </w:t>
      </w:r>
      <w:r w:rsidRPr="00AD142E">
        <w:rPr>
          <w:rFonts w:ascii="Times New Roman" w:hAnsi="Times New Roman" w:cs="Times New Roman"/>
          <w:sz w:val="24"/>
          <w:szCs w:val="24"/>
          <w:lang w:val="en-ID"/>
        </w:rPr>
        <w:t>movement not only viral but also sustainable in daily practices. Several initiatives with high retention among the community members, such as trash charity (</w:t>
      </w:r>
      <w:r w:rsidRPr="00AD142E">
        <w:rPr>
          <w:rFonts w:ascii="Times New Roman" w:hAnsi="Times New Roman" w:cs="Times New Roman"/>
          <w:i/>
          <w:iCs/>
          <w:sz w:val="24"/>
          <w:szCs w:val="24"/>
          <w:lang w:val="en-ID"/>
        </w:rPr>
        <w:t>sedekah sampah</w:t>
      </w:r>
      <w:r w:rsidRPr="00AD142E">
        <w:rPr>
          <w:rFonts w:ascii="Times New Roman" w:hAnsi="Times New Roman" w:cs="Times New Roman"/>
          <w:sz w:val="24"/>
          <w:szCs w:val="24"/>
          <w:lang w:val="en-ID"/>
        </w:rPr>
        <w:t>), bringing personal tumblers to study sessions (</w:t>
      </w:r>
      <w:r w:rsidRPr="00AD142E">
        <w:rPr>
          <w:rFonts w:ascii="Times New Roman" w:hAnsi="Times New Roman" w:cs="Times New Roman"/>
          <w:i/>
          <w:iCs/>
          <w:sz w:val="24"/>
          <w:szCs w:val="24"/>
          <w:lang w:val="en-ID"/>
        </w:rPr>
        <w:t>tumbler minum kajian</w:t>
      </w:r>
      <w:r w:rsidRPr="00AD142E">
        <w:rPr>
          <w:rFonts w:ascii="Times New Roman" w:hAnsi="Times New Roman" w:cs="Times New Roman"/>
          <w:sz w:val="24"/>
          <w:szCs w:val="24"/>
          <w:lang w:val="en-ID"/>
        </w:rPr>
        <w:t>), and decluttering, demonstrate that the eco-theological values they promote have been well internalized within the community.</w:t>
      </w:r>
    </w:p>
    <w:p w14:paraId="03A0F075" w14:textId="2E38F633" w:rsidR="00AD142E" w:rsidRPr="00AD142E" w:rsidRDefault="00AD142E" w:rsidP="00AD142E">
      <w:pPr>
        <w:spacing w:after="120"/>
        <w:ind w:firstLine="567"/>
        <w:jc w:val="both"/>
        <w:rPr>
          <w:rFonts w:ascii="Times New Roman" w:eastAsia="Times New Roman" w:hAnsi="Times New Roman" w:cs="Times New Roman"/>
          <w:sz w:val="24"/>
          <w:szCs w:val="24"/>
        </w:rPr>
      </w:pPr>
      <w:r w:rsidRPr="00AD142E">
        <w:rPr>
          <w:rFonts w:ascii="Times New Roman" w:hAnsi="Times New Roman" w:cs="Times New Roman"/>
          <w:sz w:val="24"/>
          <w:szCs w:val="24"/>
          <w:lang w:val="en-ID"/>
        </w:rPr>
        <w:t>However, this study also indicates that YukNgaji's eco</w:t>
      </w:r>
      <w:r w:rsidR="00A55111">
        <w:rPr>
          <w:rFonts w:ascii="Times New Roman" w:hAnsi="Times New Roman" w:cs="Times New Roman"/>
          <w:sz w:val="24"/>
          <w:szCs w:val="24"/>
          <w:lang w:val="en-ID"/>
        </w:rPr>
        <w:t>-</w:t>
      </w:r>
      <w:r w:rsidRPr="00AD142E">
        <w:rPr>
          <w:rFonts w:ascii="Times New Roman" w:hAnsi="Times New Roman" w:cs="Times New Roman"/>
          <w:sz w:val="24"/>
          <w:szCs w:val="24"/>
          <w:lang w:val="en-ID"/>
        </w:rPr>
        <w:t>theological campaign did not purely emerge from environmental awareness but is part of a larger master plan to maintain the community's existence and ideological influence. Consistent with Andre Moewashi's (2023) thesis, following the disbandment of HTI by the government, its exponents have adopted a more adaptive and non-conventional approach to promoting the caliphate narrative. By leveraging viral and popular issues, such as the environmental movement, YukNgaji appears to build a more progressive and relevant Islamic image for the younger generation.</w:t>
      </w:r>
    </w:p>
    <w:p w14:paraId="503571C0" w14:textId="5D25AB71" w:rsidR="00AD142E" w:rsidRPr="00AD142E" w:rsidRDefault="00AD142E" w:rsidP="00AD142E">
      <w:pPr>
        <w:spacing w:after="120"/>
        <w:ind w:firstLine="567"/>
        <w:jc w:val="both"/>
        <w:rPr>
          <w:rFonts w:ascii="Times New Roman" w:eastAsia="Times New Roman" w:hAnsi="Times New Roman" w:cs="Times New Roman"/>
          <w:sz w:val="24"/>
          <w:szCs w:val="24"/>
        </w:rPr>
      </w:pPr>
      <w:r w:rsidRPr="00AD142E">
        <w:rPr>
          <w:rFonts w:ascii="Times New Roman" w:hAnsi="Times New Roman" w:cs="Times New Roman"/>
          <w:sz w:val="24"/>
          <w:szCs w:val="24"/>
          <w:lang w:val="en-ID"/>
        </w:rPr>
        <w:t xml:space="preserve">The comic </w:t>
      </w:r>
      <w:r w:rsidRPr="00AD142E">
        <w:rPr>
          <w:rFonts w:ascii="Times New Roman" w:hAnsi="Times New Roman" w:cs="Times New Roman"/>
          <w:i/>
          <w:iCs/>
          <w:sz w:val="24"/>
          <w:szCs w:val="24"/>
          <w:lang w:val="en-ID"/>
        </w:rPr>
        <w:t>Guardians of the Earth</w:t>
      </w:r>
      <w:r w:rsidRPr="00AD142E">
        <w:rPr>
          <w:rFonts w:ascii="Times New Roman" w:hAnsi="Times New Roman" w:cs="Times New Roman"/>
          <w:sz w:val="24"/>
          <w:szCs w:val="24"/>
          <w:lang w:val="en-ID"/>
        </w:rPr>
        <w:t xml:space="preserve"> is a concrete example of how this c</w:t>
      </w:r>
      <w:r w:rsidR="0019667C">
        <w:rPr>
          <w:rFonts w:ascii="Times New Roman" w:hAnsi="Times New Roman" w:cs="Times New Roman"/>
          <w:sz w:val="24"/>
          <w:szCs w:val="24"/>
          <w:lang w:val="en-ID"/>
        </w:rPr>
        <w:t>ommunity-based education</w:t>
      </w:r>
      <w:r w:rsidRPr="00AD142E">
        <w:rPr>
          <w:rFonts w:ascii="Times New Roman" w:hAnsi="Times New Roman" w:cs="Times New Roman"/>
          <w:sz w:val="24"/>
          <w:szCs w:val="24"/>
          <w:lang w:val="en-ID"/>
        </w:rPr>
        <w:t xml:space="preserve"> is not merely a neutral ecological movement but also carries a particular ideological narrative. Although focusing on ecological values, the comic subtly introduces messages about the glory of Islam during the Ottoman era and calls for the liberation of Baitul Maqdis. This indicates that behind the #LessWaste campaign lies a broader narrative of Islam as a comprehensive (</w:t>
      </w:r>
      <w:r w:rsidRPr="00AD142E">
        <w:rPr>
          <w:rFonts w:ascii="Times New Roman" w:hAnsi="Times New Roman" w:cs="Times New Roman"/>
          <w:i/>
          <w:iCs/>
          <w:sz w:val="24"/>
          <w:szCs w:val="24"/>
          <w:lang w:val="en-ID"/>
        </w:rPr>
        <w:t>kaffah</w:t>
      </w:r>
      <w:r w:rsidRPr="00AD142E">
        <w:rPr>
          <w:rFonts w:ascii="Times New Roman" w:hAnsi="Times New Roman" w:cs="Times New Roman"/>
          <w:sz w:val="24"/>
          <w:szCs w:val="24"/>
          <w:lang w:val="en-ID"/>
        </w:rPr>
        <w:t>) system, encompassing political and civilizational aspects.</w:t>
      </w:r>
    </w:p>
    <w:p w14:paraId="2D59A3E6" w14:textId="7D1291DC" w:rsidR="00AD142E" w:rsidRPr="00AD142E" w:rsidRDefault="00AD142E" w:rsidP="00AD142E">
      <w:pPr>
        <w:spacing w:after="120"/>
        <w:ind w:firstLine="567"/>
        <w:jc w:val="both"/>
        <w:rPr>
          <w:rFonts w:ascii="Times New Roman" w:eastAsia="Times New Roman" w:hAnsi="Times New Roman" w:cs="Times New Roman"/>
          <w:sz w:val="24"/>
          <w:szCs w:val="24"/>
        </w:rPr>
      </w:pPr>
      <w:r w:rsidRPr="00AD142E">
        <w:rPr>
          <w:rFonts w:ascii="Times New Roman" w:hAnsi="Times New Roman" w:cs="Times New Roman"/>
          <w:sz w:val="24"/>
          <w:szCs w:val="24"/>
          <w:lang w:val="en-ID"/>
        </w:rPr>
        <w:t xml:space="preserve">While this ideological bias is evident in YukNgaji's campaign, it should not necessarily be viewed negatively. Every social and religious movement naturally carries a vision and mission aligned with the community’s foundational beliefs. In YukNgaji's case, the influence of HTI’s background is still apparent in their </w:t>
      </w:r>
      <w:r w:rsidR="0019667C">
        <w:rPr>
          <w:rFonts w:ascii="Times New Roman" w:hAnsi="Times New Roman" w:cs="Times New Roman"/>
          <w:sz w:val="24"/>
          <w:szCs w:val="24"/>
          <w:lang w:val="en-ID"/>
        </w:rPr>
        <w:t>community-based education</w:t>
      </w:r>
      <w:r w:rsidRPr="00AD142E">
        <w:rPr>
          <w:rFonts w:ascii="Times New Roman" w:hAnsi="Times New Roman" w:cs="Times New Roman"/>
          <w:sz w:val="24"/>
          <w:szCs w:val="24"/>
          <w:lang w:val="en-ID"/>
        </w:rPr>
        <w:t xml:space="preserve"> narrative, but through a more careful and flexible communication strategy. This adaptation demonstrates the community's ability to respond to the current socio-political context while maintaining its ideological vision in a more subtle and concealed format.</w:t>
      </w:r>
      <w:r w:rsidR="0019667C">
        <w:rPr>
          <w:rFonts w:ascii="Times New Roman" w:hAnsi="Times New Roman" w:cs="Times New Roman"/>
          <w:sz w:val="24"/>
          <w:szCs w:val="24"/>
          <w:lang w:val="en-ID"/>
        </w:rPr>
        <w:t xml:space="preserve"> However, as far as it remains open to public at large and it maintains as a forum of dialogue, interactive and inclusive </w:t>
      </w:r>
      <w:r w:rsidR="0019667C">
        <w:rPr>
          <w:rFonts w:ascii="Times New Roman" w:hAnsi="Times New Roman" w:cs="Times New Roman"/>
          <w:sz w:val="24"/>
          <w:szCs w:val="24"/>
          <w:lang w:val="en-ID"/>
        </w:rPr>
        <w:lastRenderedPageBreak/>
        <w:t xml:space="preserve">community-based learning, it will have larger support. When it tends to be more ideological, for sure it will perish. It is just like the cases of many Islamic communities in Indonesia.   </w:t>
      </w:r>
    </w:p>
    <w:p w14:paraId="1DA43B08" w14:textId="7D1CB781" w:rsidR="00FC4DFF" w:rsidRPr="00B06971" w:rsidRDefault="00AD142E" w:rsidP="00B06971">
      <w:pPr>
        <w:spacing w:after="120"/>
        <w:ind w:firstLine="567"/>
        <w:jc w:val="both"/>
        <w:rPr>
          <w:rFonts w:ascii="Times New Roman" w:hAnsi="Times New Roman" w:cs="Times New Roman"/>
          <w:sz w:val="24"/>
          <w:szCs w:val="24"/>
          <w:lang w:val="en-ID"/>
        </w:rPr>
      </w:pPr>
      <w:r w:rsidRPr="00AD142E">
        <w:rPr>
          <w:rFonts w:ascii="Times New Roman" w:hAnsi="Times New Roman" w:cs="Times New Roman"/>
          <w:sz w:val="24"/>
          <w:szCs w:val="24"/>
          <w:lang w:val="en-ID"/>
        </w:rPr>
        <w:t>Therefore, YukNgaji’s #LessWaste c</w:t>
      </w:r>
      <w:r w:rsidR="0019667C">
        <w:rPr>
          <w:rFonts w:ascii="Times New Roman" w:hAnsi="Times New Roman" w:cs="Times New Roman"/>
          <w:sz w:val="24"/>
          <w:szCs w:val="24"/>
          <w:lang w:val="en-ID"/>
        </w:rPr>
        <w:t>ommunity-based education</w:t>
      </w:r>
      <w:r w:rsidRPr="00AD142E">
        <w:rPr>
          <w:rFonts w:ascii="Times New Roman" w:hAnsi="Times New Roman" w:cs="Times New Roman"/>
          <w:sz w:val="24"/>
          <w:szCs w:val="24"/>
          <w:lang w:val="en-ID"/>
        </w:rPr>
        <w:t xml:space="preserve"> is not merely an expression of Islamic-based ecological awareness but also serves as a space to sustain a broader Islamic discourse—including the caliphate vision—in a more adaptive and socially integrated manner with contemporary issues.</w:t>
      </w:r>
      <w:r w:rsidR="0019584A">
        <w:rPr>
          <w:rFonts w:ascii="Times New Roman" w:hAnsi="Times New Roman" w:cs="Times New Roman"/>
          <w:sz w:val="24"/>
          <w:szCs w:val="24"/>
          <w:lang w:val="en-ID"/>
        </w:rPr>
        <w:t xml:space="preserve"> It may be potentially and gradually tends to be more inclusive, adaptive and accommodative to ‘civil Islam’.</w:t>
      </w:r>
    </w:p>
    <w:p w14:paraId="4079602C" w14:textId="77777777" w:rsidR="008B3EE8" w:rsidRDefault="00303DE3">
      <w:pPr>
        <w:spacing w:before="360" w:after="120"/>
        <w:rPr>
          <w:rFonts w:ascii="Kozuka Gothic Pro B" w:eastAsia="Kozuka Gothic Pro B" w:hAnsi="Kozuka Gothic Pro B" w:cs="Kozuka Gothic Pro B"/>
          <w:b/>
          <w:sz w:val="24"/>
          <w:szCs w:val="24"/>
        </w:rPr>
      </w:pPr>
      <w:r>
        <w:rPr>
          <w:rFonts w:ascii="Kozuka Gothic Pro B" w:eastAsia="Kozuka Gothic Pro B" w:hAnsi="Kozuka Gothic Pro B" w:cs="Kozuka Gothic Pro B"/>
          <w:b/>
          <w:sz w:val="24"/>
          <w:szCs w:val="24"/>
        </w:rPr>
        <w:t>References</w:t>
      </w:r>
    </w:p>
    <w:p w14:paraId="71CBED1A" w14:textId="63F46057" w:rsidR="00221389" w:rsidRPr="00221389" w:rsidRDefault="00FC4DFF"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Pr>
          <w:rFonts w:ascii="Times New Roman" w:eastAsia="Kozuka Gothic Pro B" w:hAnsi="Times New Roman" w:cs="Times New Roman"/>
          <w:b/>
          <w:sz w:val="24"/>
          <w:szCs w:val="24"/>
        </w:rPr>
        <w:fldChar w:fldCharType="begin" w:fldLock="1"/>
      </w:r>
      <w:r>
        <w:rPr>
          <w:rFonts w:ascii="Times New Roman" w:eastAsia="Kozuka Gothic Pro B" w:hAnsi="Times New Roman" w:cs="Times New Roman"/>
          <w:b/>
          <w:sz w:val="24"/>
          <w:szCs w:val="24"/>
        </w:rPr>
        <w:instrText xml:space="preserve">ADDIN Mendeley Bibliography CSL_BIBLIOGRAPHY </w:instrText>
      </w:r>
      <w:r>
        <w:rPr>
          <w:rFonts w:ascii="Times New Roman" w:eastAsia="Kozuka Gothic Pro B" w:hAnsi="Times New Roman" w:cs="Times New Roman"/>
          <w:b/>
          <w:sz w:val="24"/>
          <w:szCs w:val="24"/>
        </w:rPr>
        <w:fldChar w:fldCharType="separate"/>
      </w:r>
      <w:r w:rsidR="00221389" w:rsidRPr="00221389">
        <w:rPr>
          <w:rFonts w:ascii="Times New Roman" w:hAnsi="Times New Roman" w:cs="Times New Roman"/>
          <w:noProof/>
          <w:sz w:val="24"/>
        </w:rPr>
        <w:t xml:space="preserve">Abzar Duraesa, M., &amp; Ahyar, M. (2021). Islamic Popul[Ar]Ism: Religious Popularism and Activism in the Yukngaji Community. </w:t>
      </w:r>
      <w:r w:rsidR="00221389" w:rsidRPr="00221389">
        <w:rPr>
          <w:rFonts w:ascii="Times New Roman" w:hAnsi="Times New Roman" w:cs="Times New Roman"/>
          <w:i/>
          <w:iCs/>
          <w:noProof/>
          <w:sz w:val="24"/>
        </w:rPr>
        <w:t>Qudus International Journal of Islamic Studies</w:t>
      </w:r>
      <w:r w:rsidR="00221389" w:rsidRPr="00221389">
        <w:rPr>
          <w:rFonts w:ascii="Times New Roman" w:hAnsi="Times New Roman" w:cs="Times New Roman"/>
          <w:noProof/>
          <w:sz w:val="24"/>
        </w:rPr>
        <w:t xml:space="preserve">, </w:t>
      </w:r>
      <w:r w:rsidR="00221389" w:rsidRPr="00221389">
        <w:rPr>
          <w:rFonts w:ascii="Times New Roman" w:hAnsi="Times New Roman" w:cs="Times New Roman"/>
          <w:i/>
          <w:iCs/>
          <w:noProof/>
          <w:sz w:val="24"/>
        </w:rPr>
        <w:t>9</w:t>
      </w:r>
      <w:r w:rsidR="00221389" w:rsidRPr="00221389">
        <w:rPr>
          <w:rFonts w:ascii="Times New Roman" w:hAnsi="Times New Roman" w:cs="Times New Roman"/>
          <w:noProof/>
          <w:sz w:val="24"/>
        </w:rPr>
        <w:t>(2), 503–534. https://doi.org/10.21043/qijis.v9i2.7795</w:t>
      </w:r>
    </w:p>
    <w:p w14:paraId="3753E6D2" w14:textId="77777777" w:rsid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Achmad, A. F. U. (2024). </w:t>
      </w:r>
      <w:r w:rsidRPr="00221389">
        <w:rPr>
          <w:rFonts w:ascii="Times New Roman" w:hAnsi="Times New Roman" w:cs="Times New Roman"/>
          <w:i/>
          <w:iCs/>
          <w:noProof/>
          <w:sz w:val="24"/>
        </w:rPr>
        <w:t>Optimalisasi Manajemen Masjid dalam Meningkatkatan Sinergitas Lingkungan dan Masyarakat</w:t>
      </w:r>
      <w:r w:rsidRPr="00221389">
        <w:rPr>
          <w:rFonts w:ascii="Times New Roman" w:hAnsi="Times New Roman" w:cs="Times New Roman"/>
          <w:noProof/>
          <w:sz w:val="24"/>
        </w:rPr>
        <w:t xml:space="preserve"> [UIN Sunan Gunung Djati Bandung]. https://digilib.uinsgd.ac.id/id/eprint/90615</w:t>
      </w:r>
    </w:p>
    <w:p w14:paraId="4C1A977B" w14:textId="00F39CB8" w:rsidR="00037DE6" w:rsidRPr="00221389" w:rsidRDefault="00037DE6"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Pr>
          <w:rFonts w:ascii="Times New Roman" w:hAnsi="Times New Roman" w:cs="Times New Roman"/>
          <w:noProof/>
          <w:sz w:val="24"/>
        </w:rPr>
        <w:t>Aini, N. Member of YukNgaji Club, January 21, 2025.</w:t>
      </w:r>
    </w:p>
    <w:p w14:paraId="28CAE12E"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Akmaluddin, M. (2017). Pesan Profetik Lingkungan dalam Hadis. </w:t>
      </w:r>
      <w:r w:rsidRPr="00221389">
        <w:rPr>
          <w:rFonts w:ascii="Times New Roman" w:hAnsi="Times New Roman" w:cs="Times New Roman"/>
          <w:i/>
          <w:iCs/>
          <w:noProof/>
          <w:sz w:val="24"/>
        </w:rPr>
        <w:t>Jurnal Penelitian</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14</w:t>
      </w:r>
      <w:r w:rsidRPr="00221389">
        <w:rPr>
          <w:rFonts w:ascii="Times New Roman" w:hAnsi="Times New Roman" w:cs="Times New Roman"/>
          <w:noProof/>
          <w:sz w:val="24"/>
        </w:rPr>
        <w:t>(2), 149–170. https://doi.org/10.28918/jupe.v14i2.970</w:t>
      </w:r>
    </w:p>
    <w:p w14:paraId="0A2D61DA"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an naisaburi, Q. (2006). </w:t>
      </w:r>
      <w:r w:rsidRPr="00221389">
        <w:rPr>
          <w:rFonts w:ascii="Times New Roman" w:hAnsi="Times New Roman" w:cs="Times New Roman"/>
          <w:i/>
          <w:iCs/>
          <w:noProof/>
          <w:sz w:val="24"/>
        </w:rPr>
        <w:t>Muslim bin al-Ḥajjāj, Ṣaḥīḥ Muslim</w:t>
      </w:r>
      <w:r w:rsidRPr="00221389">
        <w:rPr>
          <w:rFonts w:ascii="Times New Roman" w:hAnsi="Times New Roman" w:cs="Times New Roman"/>
          <w:noProof/>
          <w:sz w:val="24"/>
        </w:rPr>
        <w:t xml:space="preserve"> (Hadits no.). Dar Thayyiba.</w:t>
      </w:r>
    </w:p>
    <w:p w14:paraId="0A0FAE42" w14:textId="77777777" w:rsid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Andi Eki Dwi Wahyuni, Mardan, &amp; Muhammad Yusuf. (2024). Kesadaran Ekologis; Pelestarian Lingkungan Dalam Al-Qur’an. </w:t>
      </w:r>
      <w:r w:rsidRPr="00221389">
        <w:rPr>
          <w:rFonts w:ascii="Times New Roman" w:hAnsi="Times New Roman" w:cs="Times New Roman"/>
          <w:i/>
          <w:iCs/>
          <w:noProof/>
          <w:sz w:val="24"/>
        </w:rPr>
        <w:t>Al-Mutsla: Jurnal Ilmu-Ilmu Keislaman Dan Kemasyarakatan</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6</w:t>
      </w:r>
      <w:r w:rsidRPr="00221389">
        <w:rPr>
          <w:rFonts w:ascii="Times New Roman" w:hAnsi="Times New Roman" w:cs="Times New Roman"/>
          <w:noProof/>
          <w:sz w:val="24"/>
        </w:rPr>
        <w:t>(1), 125–139. https://doi.org/10.46870/jstain.v6i1.963</w:t>
      </w:r>
    </w:p>
    <w:p w14:paraId="65BE74ED" w14:textId="78D33FC9" w:rsidR="00037DE6" w:rsidRPr="00221389" w:rsidRDefault="00037DE6"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Pr>
          <w:rFonts w:ascii="Times New Roman" w:hAnsi="Times New Roman" w:cs="Times New Roman"/>
          <w:noProof/>
          <w:sz w:val="24"/>
        </w:rPr>
        <w:t>Arham</w:t>
      </w:r>
      <w:r>
        <w:rPr>
          <w:rFonts w:ascii="Times New Roman" w:hAnsi="Times New Roman" w:cs="Times New Roman"/>
          <w:noProof/>
          <w:sz w:val="24"/>
        </w:rPr>
        <w:t xml:space="preserve">, </w:t>
      </w:r>
      <w:r>
        <w:rPr>
          <w:rFonts w:ascii="Times New Roman" w:hAnsi="Times New Roman" w:cs="Times New Roman"/>
          <w:noProof/>
          <w:sz w:val="24"/>
        </w:rPr>
        <w:t>I</w:t>
      </w:r>
      <w:r>
        <w:rPr>
          <w:rFonts w:ascii="Times New Roman" w:hAnsi="Times New Roman" w:cs="Times New Roman"/>
          <w:noProof/>
          <w:sz w:val="24"/>
        </w:rPr>
        <w:t xml:space="preserve">., Member of YukNgaji Club, Personal Interview, </w:t>
      </w:r>
      <w:r>
        <w:rPr>
          <w:rFonts w:ascii="Times New Roman" w:hAnsi="Times New Roman" w:cs="Times New Roman"/>
          <w:noProof/>
          <w:sz w:val="24"/>
        </w:rPr>
        <w:t>December 15,</w:t>
      </w:r>
      <w:r>
        <w:rPr>
          <w:rFonts w:ascii="Times New Roman" w:hAnsi="Times New Roman" w:cs="Times New Roman"/>
          <w:noProof/>
          <w:sz w:val="24"/>
        </w:rPr>
        <w:t xml:space="preserve"> 2024.</w:t>
      </w:r>
    </w:p>
    <w:p w14:paraId="169CC716"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Aswar, H. (2022). Hizb Ut-Tahrir ’ s Adaptation Strategies against the State Repression in Indonesia : A Social Movement Perspective. </w:t>
      </w:r>
      <w:r w:rsidRPr="00221389">
        <w:rPr>
          <w:rFonts w:ascii="Times New Roman" w:hAnsi="Times New Roman" w:cs="Times New Roman"/>
          <w:i/>
          <w:iCs/>
          <w:noProof/>
          <w:sz w:val="24"/>
        </w:rPr>
        <w:t>SUVANNABHUMI</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14</w:t>
      </w:r>
      <w:r w:rsidRPr="00221389">
        <w:rPr>
          <w:rFonts w:ascii="Times New Roman" w:hAnsi="Times New Roman" w:cs="Times New Roman"/>
          <w:noProof/>
          <w:sz w:val="24"/>
        </w:rPr>
        <w:t>(2), 233–249. https://doi.org/10.22801/svn.2022.14.2.233</w:t>
      </w:r>
    </w:p>
    <w:p w14:paraId="178E57CF"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Aula, L. G., &amp; Abas, Z. (2020). Da’wah Method by Preachers in the “Yuk Ngaji” Community Solo. </w:t>
      </w:r>
      <w:r w:rsidRPr="00221389">
        <w:rPr>
          <w:rFonts w:ascii="Times New Roman" w:hAnsi="Times New Roman" w:cs="Times New Roman"/>
          <w:i/>
          <w:iCs/>
          <w:noProof/>
          <w:sz w:val="24"/>
        </w:rPr>
        <w:t>Academic Journal of Da’wa and Communication</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w:t>
      </w:r>
      <w:r w:rsidRPr="00221389">
        <w:rPr>
          <w:rFonts w:ascii="Times New Roman" w:hAnsi="Times New Roman" w:cs="Times New Roman"/>
          <w:noProof/>
          <w:sz w:val="24"/>
        </w:rPr>
        <w:t>(2), 463–478. https://doi.org/10.22515/ajdc.v1i2.2729</w:t>
      </w:r>
    </w:p>
    <w:p w14:paraId="4ACB583F"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Boellstorff, T., Nardi, B., Pearce, C., &amp; Taylor, T. L. (2012). </w:t>
      </w:r>
      <w:r w:rsidRPr="00221389">
        <w:rPr>
          <w:rFonts w:ascii="Times New Roman" w:hAnsi="Times New Roman" w:cs="Times New Roman"/>
          <w:i/>
          <w:iCs/>
          <w:noProof/>
          <w:sz w:val="24"/>
        </w:rPr>
        <w:t>Ethnography and Virtual Worlds: A Handbook of Method</w:t>
      </w:r>
      <w:r w:rsidRPr="00221389">
        <w:rPr>
          <w:rFonts w:ascii="Times New Roman" w:hAnsi="Times New Roman" w:cs="Times New Roman"/>
          <w:noProof/>
          <w:sz w:val="24"/>
        </w:rPr>
        <w:t>. Princeton University Press.</w:t>
      </w:r>
    </w:p>
    <w:p w14:paraId="76053DA1"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Choironi, M. A. N., &amp; Ferdiansyah, H. (2023). </w:t>
      </w:r>
      <w:r w:rsidRPr="00221389">
        <w:rPr>
          <w:rFonts w:ascii="Times New Roman" w:hAnsi="Times New Roman" w:cs="Times New Roman"/>
          <w:i/>
          <w:iCs/>
          <w:noProof/>
          <w:sz w:val="24"/>
        </w:rPr>
        <w:t>Khotbah Hijau</w:t>
      </w:r>
      <w:r w:rsidRPr="00221389">
        <w:rPr>
          <w:rFonts w:ascii="Times New Roman" w:hAnsi="Times New Roman" w:cs="Times New Roman"/>
          <w:noProof/>
          <w:sz w:val="24"/>
        </w:rPr>
        <w:t>. Islami Digital Indonesia.</w:t>
      </w:r>
    </w:p>
    <w:p w14:paraId="421A3409"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Choudhary, R. K. S., Gopalakhrisnan, G., Khushalani, B., Ghadge, A. K., &amp; Mani, M. (2024). </w:t>
      </w:r>
      <w:r w:rsidRPr="00221389">
        <w:rPr>
          <w:rFonts w:ascii="Times New Roman" w:hAnsi="Times New Roman" w:cs="Times New Roman"/>
          <w:i/>
          <w:iCs/>
          <w:noProof/>
          <w:sz w:val="24"/>
        </w:rPr>
        <w:t>UNIVERSITIES HANDBOOK – 35 th EDITION ( 2024 )</w:t>
      </w:r>
      <w:r w:rsidRPr="00221389">
        <w:rPr>
          <w:rFonts w:ascii="Times New Roman" w:hAnsi="Times New Roman" w:cs="Times New Roman"/>
          <w:noProof/>
          <w:sz w:val="24"/>
        </w:rPr>
        <w:t xml:space="preserve"> (Vol. 62, Issue 26). Association of Indian Universities.</w:t>
      </w:r>
    </w:p>
    <w:p w14:paraId="024B2280"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Dewey, J. (2024). </w:t>
      </w:r>
      <w:r w:rsidRPr="00221389">
        <w:rPr>
          <w:rFonts w:ascii="Times New Roman" w:hAnsi="Times New Roman" w:cs="Times New Roman"/>
          <w:i/>
          <w:iCs/>
          <w:noProof/>
          <w:sz w:val="24"/>
        </w:rPr>
        <w:t>Democracy and Education</w:t>
      </w:r>
      <w:r w:rsidRPr="00221389">
        <w:rPr>
          <w:rFonts w:ascii="Times New Roman" w:hAnsi="Times New Roman" w:cs="Times New Roman"/>
          <w:noProof/>
          <w:sz w:val="24"/>
        </w:rPr>
        <w:t xml:space="preserve"> (N. Tampio (ed.)). Columbia University Press.</w:t>
      </w:r>
    </w:p>
    <w:p w14:paraId="17774B30"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Fatimah, A. S., &amp; . S. (2020). Dampak Eksploitasi Minyak Dan Gas Bumi Pada Degradasi Biota Perairan Dan Penurunan Kualitas Air Permukaan. </w:t>
      </w:r>
      <w:r w:rsidRPr="00221389">
        <w:rPr>
          <w:rFonts w:ascii="Times New Roman" w:hAnsi="Times New Roman" w:cs="Times New Roman"/>
          <w:i/>
          <w:iCs/>
          <w:noProof/>
          <w:sz w:val="24"/>
        </w:rPr>
        <w:t>Jurnal Offshore: Oil, Production Facilities and Renewable Energy</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4</w:t>
      </w:r>
      <w:r w:rsidRPr="00221389">
        <w:rPr>
          <w:rFonts w:ascii="Times New Roman" w:hAnsi="Times New Roman" w:cs="Times New Roman"/>
          <w:noProof/>
          <w:sz w:val="24"/>
        </w:rPr>
        <w:t>(1), 17–27. https://doi.org/10.30588/jo.v4i1.732</w:t>
      </w:r>
    </w:p>
    <w:p w14:paraId="568C3D3E"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Firas, M. F., Andriansyah, W. A., &amp; Saifullah. (2024). Deep Ecology : Telaah Atas Pandangan Ekologi Fazlur Rahman dengan lingkungan sekitarnya . 1 Menurut ajaran Islam , Allah SWT telah menciptakan segala Pemahaman tentang keterjalinan hubungan </w:t>
      </w:r>
      <w:r w:rsidRPr="00221389">
        <w:rPr>
          <w:rFonts w:ascii="Times New Roman" w:hAnsi="Times New Roman" w:cs="Times New Roman"/>
          <w:noProof/>
          <w:sz w:val="24"/>
        </w:rPr>
        <w:lastRenderedPageBreak/>
        <w:t xml:space="preserve">antara manusia dengan lingkungannya melalui pendekatan struktural. </w:t>
      </w:r>
      <w:r w:rsidRPr="00221389">
        <w:rPr>
          <w:rFonts w:ascii="Times New Roman" w:hAnsi="Times New Roman" w:cs="Times New Roman"/>
          <w:i/>
          <w:iCs/>
          <w:noProof/>
          <w:sz w:val="24"/>
        </w:rPr>
        <w:t>Journal of Humanities Issue</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2</w:t>
      </w:r>
      <w:r w:rsidRPr="00221389">
        <w:rPr>
          <w:rFonts w:ascii="Times New Roman" w:hAnsi="Times New Roman" w:cs="Times New Roman"/>
          <w:noProof/>
          <w:sz w:val="24"/>
        </w:rPr>
        <w:t>(2), 105–115.</w:t>
      </w:r>
    </w:p>
    <w:p w14:paraId="5D1644F8" w14:textId="77777777" w:rsid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Hanbal, A. bin. (2001). </w:t>
      </w:r>
      <w:r w:rsidRPr="00221389">
        <w:rPr>
          <w:rFonts w:ascii="Times New Roman" w:hAnsi="Times New Roman" w:cs="Times New Roman"/>
          <w:i/>
          <w:iCs/>
          <w:noProof/>
          <w:sz w:val="24"/>
        </w:rPr>
        <w:t>Musnad Ahmad Bin Hanbal</w:t>
      </w:r>
      <w:r w:rsidRPr="00221389">
        <w:rPr>
          <w:rFonts w:ascii="Times New Roman" w:hAnsi="Times New Roman" w:cs="Times New Roman"/>
          <w:noProof/>
          <w:sz w:val="24"/>
        </w:rPr>
        <w:t xml:space="preserve"> (No. Hadis). Ar-Risalah.</w:t>
      </w:r>
    </w:p>
    <w:p w14:paraId="7A9FBE09" w14:textId="4B704DF8" w:rsidR="00037DE6" w:rsidRPr="00221389" w:rsidRDefault="00037DE6"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Pr>
          <w:rFonts w:ascii="Times New Roman" w:hAnsi="Times New Roman" w:cs="Times New Roman"/>
          <w:noProof/>
          <w:sz w:val="24"/>
        </w:rPr>
        <w:t>Hanjasari, N. Manager of YukNgaji Club, Personal Interview, January 12, 2025.</w:t>
      </w:r>
    </w:p>
    <w:p w14:paraId="3A60C8F1"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Haq, A. M. I. (2023). Hizbut Tahrir Indonesia’s (HTI) Efforts The Idea Of Caliphate and Recruit Members after Being Banned by the Government. </w:t>
      </w:r>
      <w:r w:rsidRPr="00221389">
        <w:rPr>
          <w:rFonts w:ascii="Times New Roman" w:hAnsi="Times New Roman" w:cs="Times New Roman"/>
          <w:i/>
          <w:iCs/>
          <w:noProof/>
          <w:sz w:val="24"/>
        </w:rPr>
        <w:t>Islam Transformatif : Journal of Islamic Studies</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2</w:t>
      </w:r>
      <w:r w:rsidRPr="00221389">
        <w:rPr>
          <w:rFonts w:ascii="Times New Roman" w:hAnsi="Times New Roman" w:cs="Times New Roman"/>
          <w:noProof/>
          <w:sz w:val="24"/>
        </w:rPr>
        <w:t>(2), 97–111.</w:t>
      </w:r>
    </w:p>
    <w:p w14:paraId="2E09A024"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Harfitt, G., &amp; Chow, J. M. L. (2020). </w:t>
      </w:r>
      <w:r w:rsidRPr="00221389">
        <w:rPr>
          <w:rFonts w:ascii="Times New Roman" w:hAnsi="Times New Roman" w:cs="Times New Roman"/>
          <w:i/>
          <w:iCs/>
          <w:noProof/>
          <w:sz w:val="24"/>
        </w:rPr>
        <w:t>Employing Community-Based Experiential Learning in Teacher Education</w:t>
      </w:r>
      <w:r w:rsidRPr="00221389">
        <w:rPr>
          <w:rFonts w:ascii="Times New Roman" w:hAnsi="Times New Roman" w:cs="Times New Roman"/>
          <w:noProof/>
          <w:sz w:val="24"/>
        </w:rPr>
        <w:t>. Springer. https://doi.org/2366-7672</w:t>
      </w:r>
    </w:p>
    <w:p w14:paraId="42514FB5" w14:textId="77777777" w:rsid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Hayati, N. (2017). Konsep Khilafah Islamiyyah Hizbut Tahrir Indonesia. </w:t>
      </w:r>
      <w:r w:rsidRPr="00221389">
        <w:rPr>
          <w:rFonts w:ascii="Times New Roman" w:hAnsi="Times New Roman" w:cs="Times New Roman"/>
          <w:i/>
          <w:iCs/>
          <w:noProof/>
          <w:sz w:val="24"/>
        </w:rPr>
        <w:t>Epismete</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12</w:t>
      </w:r>
      <w:r w:rsidRPr="00221389">
        <w:rPr>
          <w:rFonts w:ascii="Times New Roman" w:hAnsi="Times New Roman" w:cs="Times New Roman"/>
          <w:noProof/>
          <w:sz w:val="24"/>
        </w:rPr>
        <w:t>(1), 170–202.</w:t>
      </w:r>
    </w:p>
    <w:p w14:paraId="7F450FDA" w14:textId="230314EB" w:rsidR="00037DE6" w:rsidRDefault="00037DE6"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Pr>
          <w:rFonts w:ascii="Times New Roman" w:hAnsi="Times New Roman" w:cs="Times New Roman"/>
          <w:noProof/>
          <w:sz w:val="24"/>
        </w:rPr>
        <w:t xml:space="preserve">Islamil, M., Member of YukNgaji Club, Personal Interview, November 17, 2024. </w:t>
      </w:r>
    </w:p>
    <w:p w14:paraId="446BA94C"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Iyengar, R., &amp; Shin, H. (2022). Community-Based Programs to Tackle Environmental Education and COVID-19: A Case Study from Millburn, New Jersey. </w:t>
      </w:r>
      <w:r w:rsidRPr="00221389">
        <w:rPr>
          <w:rFonts w:ascii="Times New Roman" w:hAnsi="Times New Roman" w:cs="Times New Roman"/>
          <w:i/>
          <w:iCs/>
          <w:noProof/>
          <w:sz w:val="24"/>
        </w:rPr>
        <w:t>Prospects</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51</w:t>
      </w:r>
      <w:r w:rsidRPr="00221389">
        <w:rPr>
          <w:rFonts w:ascii="Times New Roman" w:hAnsi="Times New Roman" w:cs="Times New Roman"/>
          <w:noProof/>
          <w:sz w:val="24"/>
        </w:rPr>
        <w:t>(4), 643–653. https://doi.org/10.1007/s11125-020-09467-0</w:t>
      </w:r>
    </w:p>
    <w:p w14:paraId="714A9A94"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Judijanto, L., &amp; Adiwjaya, S. (2024). Dampak Eksplorasi Sumber Daya Alam Terhadap Keberlanjutan Ekosistem Hutan Tropis di Kalimantan. </w:t>
      </w:r>
      <w:r w:rsidRPr="00221389">
        <w:rPr>
          <w:rFonts w:ascii="Times New Roman" w:hAnsi="Times New Roman" w:cs="Times New Roman"/>
          <w:i/>
          <w:iCs/>
          <w:noProof/>
          <w:sz w:val="24"/>
        </w:rPr>
        <w:t>Jurnal Geosains West Science</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2</w:t>
      </w:r>
      <w:r w:rsidRPr="00221389">
        <w:rPr>
          <w:rFonts w:ascii="Times New Roman" w:hAnsi="Times New Roman" w:cs="Times New Roman"/>
          <w:noProof/>
          <w:sz w:val="24"/>
        </w:rPr>
        <w:t>(3), 103–111. https://doi.org/10.58812/jgws.v2i03.1676</w:t>
      </w:r>
    </w:p>
    <w:p w14:paraId="56191507"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Juhari, I. B., &amp; Malikah, R. (2021). Kontroversi Penafsiran Sistem Politik Khilafah HTI. </w:t>
      </w:r>
      <w:r w:rsidRPr="00221389">
        <w:rPr>
          <w:rFonts w:ascii="Times New Roman" w:hAnsi="Times New Roman" w:cs="Times New Roman"/>
          <w:i/>
          <w:iCs/>
          <w:noProof/>
          <w:sz w:val="24"/>
        </w:rPr>
        <w:t>Al-Manar Jurnal Kajian Alquran Dan Hadis</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7</w:t>
      </w:r>
      <w:r w:rsidRPr="00221389">
        <w:rPr>
          <w:rFonts w:ascii="Times New Roman" w:hAnsi="Times New Roman" w:cs="Times New Roman"/>
          <w:noProof/>
          <w:sz w:val="24"/>
        </w:rPr>
        <w:t>(1), 41–52. 10.35719/amn.v7i1.4</w:t>
      </w:r>
    </w:p>
    <w:p w14:paraId="1B4891BA"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Khalik, S., &amp; Ansari, M. (2021). Silsilah al-Żahāb dalam Ṣaḥīḥ al-Bukhārī. </w:t>
      </w:r>
      <w:r w:rsidRPr="00221389">
        <w:rPr>
          <w:rFonts w:ascii="Times New Roman" w:hAnsi="Times New Roman" w:cs="Times New Roman"/>
          <w:i/>
          <w:iCs/>
          <w:noProof/>
          <w:sz w:val="24"/>
        </w:rPr>
        <w:t>Ihyaussunna</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w:t>
      </w:r>
      <w:r w:rsidRPr="00221389">
        <w:rPr>
          <w:rFonts w:ascii="Times New Roman" w:hAnsi="Times New Roman" w:cs="Times New Roman"/>
          <w:noProof/>
          <w:sz w:val="24"/>
        </w:rPr>
        <w:t>(2), 91–103.</w:t>
      </w:r>
    </w:p>
    <w:p w14:paraId="4A0B3A6D"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Kholis, N., &amp; Aulassyahied, Q. (2022). Understanding Ecological Hadiths With Interconnective Approaches in Responding to Ecological Problems. </w:t>
      </w:r>
      <w:r w:rsidRPr="00221389">
        <w:rPr>
          <w:rFonts w:ascii="Times New Roman" w:hAnsi="Times New Roman" w:cs="Times New Roman"/>
          <w:i/>
          <w:iCs/>
          <w:noProof/>
          <w:sz w:val="24"/>
        </w:rPr>
        <w:t>IJISH (International Journal of Islamic Studies and Humanities)</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5</w:t>
      </w:r>
      <w:r w:rsidRPr="00221389">
        <w:rPr>
          <w:rFonts w:ascii="Times New Roman" w:hAnsi="Times New Roman" w:cs="Times New Roman"/>
          <w:noProof/>
          <w:sz w:val="24"/>
        </w:rPr>
        <w:t>(1), 25–41. https://doi.org/10.26555/ijish.v5i1.5853</w:t>
      </w:r>
    </w:p>
    <w:p w14:paraId="2BCD47BB"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Lutfiah, Z. (2022). </w:t>
      </w:r>
      <w:r w:rsidRPr="00221389">
        <w:rPr>
          <w:rFonts w:ascii="Times New Roman" w:hAnsi="Times New Roman" w:cs="Times New Roman"/>
          <w:i/>
          <w:iCs/>
          <w:noProof/>
          <w:sz w:val="24"/>
        </w:rPr>
        <w:t>Budaya Peduli Lingkungan di Pondok (Studi Living Hadis di Pondok Pesantren Fadlun Minalloh, Wonokromo)</w:t>
      </w:r>
      <w:r w:rsidRPr="00221389">
        <w:rPr>
          <w:rFonts w:ascii="Times New Roman" w:hAnsi="Times New Roman" w:cs="Times New Roman"/>
          <w:noProof/>
          <w:sz w:val="24"/>
        </w:rPr>
        <w:t>. UIN Sunan Kalijaga Yogyakarta.</w:t>
      </w:r>
    </w:p>
    <w:p w14:paraId="7D45AC7E"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Madi, F. N. bin, &amp; Barmawi, M. (2022). Ayat-Ayat Spiritual Ekologi (Eco-Spirituality) dan Kontribusianya Pada Lingkungan Rawan Bencana Banjir (Studi Living Al-Qur’an). </w:t>
      </w:r>
      <w:r w:rsidRPr="00221389">
        <w:rPr>
          <w:rFonts w:ascii="Times New Roman" w:hAnsi="Times New Roman" w:cs="Times New Roman"/>
          <w:i/>
          <w:iCs/>
          <w:noProof/>
          <w:sz w:val="24"/>
        </w:rPr>
        <w:t>Islamika Inside …</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8</w:t>
      </w:r>
      <w:r w:rsidRPr="00221389">
        <w:rPr>
          <w:rFonts w:ascii="Times New Roman" w:hAnsi="Times New Roman" w:cs="Times New Roman"/>
          <w:noProof/>
          <w:sz w:val="24"/>
        </w:rPr>
        <w:t>(2), 233–251. http://islamikainside.iain-jember.ac.id/index.php/islamikainside/article/view/203</w:t>
      </w:r>
    </w:p>
    <w:p w14:paraId="74F75CA0"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Majah, M. bin Y. I. (2020). </w:t>
      </w:r>
      <w:r w:rsidRPr="00221389">
        <w:rPr>
          <w:rFonts w:ascii="Times New Roman" w:hAnsi="Times New Roman" w:cs="Times New Roman"/>
          <w:i/>
          <w:iCs/>
          <w:noProof/>
          <w:sz w:val="24"/>
        </w:rPr>
        <w:t>Sunan Ibnu Majah</w:t>
      </w:r>
      <w:r w:rsidRPr="00221389">
        <w:rPr>
          <w:rFonts w:ascii="Times New Roman" w:hAnsi="Times New Roman" w:cs="Times New Roman"/>
          <w:noProof/>
          <w:sz w:val="24"/>
        </w:rPr>
        <w:t xml:space="preserve"> (No. Hadis). Dar Ihya At-Turots.</w:t>
      </w:r>
    </w:p>
    <w:p w14:paraId="50A953E5" w14:textId="77777777" w:rsid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Manik, W. (2023). Reinterpretasi Ayat-Ayat Ekologi dalam Al-Qur’an: Perumusan Rencana Aksi Berbasis Konservasi Lingkungan, Masyarakat Cerdas Berkehidupan. </w:t>
      </w:r>
      <w:r w:rsidRPr="00221389">
        <w:rPr>
          <w:rFonts w:ascii="Times New Roman" w:hAnsi="Times New Roman" w:cs="Times New Roman"/>
          <w:i/>
          <w:iCs/>
          <w:noProof/>
          <w:sz w:val="24"/>
        </w:rPr>
        <w:t>Al-Fatih: Jurnal Pendidikan Dan Keislaman</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VI</w:t>
      </w:r>
      <w:r w:rsidRPr="00221389">
        <w:rPr>
          <w:rFonts w:ascii="Times New Roman" w:hAnsi="Times New Roman" w:cs="Times New Roman"/>
          <w:noProof/>
          <w:sz w:val="24"/>
        </w:rPr>
        <w:t>(2), 165–185.</w:t>
      </w:r>
    </w:p>
    <w:p w14:paraId="7DF603F6" w14:textId="09641F2A" w:rsidR="00037DE6" w:rsidRPr="00221389" w:rsidRDefault="00037DE6"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Pr>
          <w:rFonts w:ascii="Times New Roman" w:hAnsi="Times New Roman" w:cs="Times New Roman"/>
          <w:noProof/>
          <w:sz w:val="24"/>
        </w:rPr>
        <w:t>Mujadilah, A. Manager of YukNgaji Club, Personal Interview, February 9, 2025.</w:t>
      </w:r>
    </w:p>
    <w:p w14:paraId="0B045615"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Mukherjee, M., &amp; Koshal, N. (2020). “Other Ways of Knowing and Doing”: Globalizing Social Science Knowledge in Higher Education. </w:t>
      </w:r>
      <w:r w:rsidRPr="00221389">
        <w:rPr>
          <w:rFonts w:ascii="Times New Roman" w:hAnsi="Times New Roman" w:cs="Times New Roman"/>
          <w:i/>
          <w:iCs/>
          <w:noProof/>
          <w:sz w:val="24"/>
        </w:rPr>
        <w:t>International Education Journal</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19</w:t>
      </w:r>
      <w:r w:rsidRPr="00221389">
        <w:rPr>
          <w:rFonts w:ascii="Times New Roman" w:hAnsi="Times New Roman" w:cs="Times New Roman"/>
          <w:noProof/>
          <w:sz w:val="24"/>
        </w:rPr>
        <w:t>(1), 1–57.</w:t>
      </w:r>
    </w:p>
    <w:p w14:paraId="40670798"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Mutiarani, A., Mufidah, G., &amp; Yusuf, M. (2024). Dakwah Strategy of YukNgaji Community Towards Hallyu Fans through Korean Nuanced Content. </w:t>
      </w:r>
      <w:r w:rsidRPr="00221389">
        <w:rPr>
          <w:rFonts w:ascii="Times New Roman" w:hAnsi="Times New Roman" w:cs="Times New Roman"/>
          <w:i/>
          <w:iCs/>
          <w:noProof/>
          <w:sz w:val="24"/>
        </w:rPr>
        <w:t>Alhadharah: Jurnal Ilmu Dakwah</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23</w:t>
      </w:r>
      <w:r w:rsidRPr="00221389">
        <w:rPr>
          <w:rFonts w:ascii="Times New Roman" w:hAnsi="Times New Roman" w:cs="Times New Roman"/>
          <w:noProof/>
          <w:sz w:val="24"/>
        </w:rPr>
        <w:t>(1), 89–107. https://doi.org/10.18592/alhadharah.v23i1.12614</w:t>
      </w:r>
    </w:p>
    <w:p w14:paraId="4B9B3340"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Nasr, S. H. (1990). Islam and The Environmental Crisis. </w:t>
      </w:r>
      <w:r w:rsidRPr="00221389">
        <w:rPr>
          <w:rFonts w:ascii="Times New Roman" w:hAnsi="Times New Roman" w:cs="Times New Roman"/>
          <w:i/>
          <w:iCs/>
          <w:noProof/>
          <w:sz w:val="24"/>
        </w:rPr>
        <w:t>Islamic Quarterly: London</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34</w:t>
      </w:r>
      <w:r w:rsidRPr="00221389">
        <w:rPr>
          <w:rFonts w:ascii="Times New Roman" w:hAnsi="Times New Roman" w:cs="Times New Roman"/>
          <w:noProof/>
          <w:sz w:val="24"/>
        </w:rPr>
        <w:t>(4).</w:t>
      </w:r>
    </w:p>
    <w:p w14:paraId="1C0A00B5"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lastRenderedPageBreak/>
        <w:t xml:space="preserve">Ng, L. H. X., &amp; Carley, K. M. (2022). </w:t>
      </w:r>
      <w:r w:rsidRPr="00221389">
        <w:rPr>
          <w:rFonts w:ascii="Times New Roman" w:hAnsi="Times New Roman" w:cs="Times New Roman"/>
          <w:i/>
          <w:iCs/>
          <w:noProof/>
          <w:sz w:val="24"/>
        </w:rPr>
        <w:t>A Combined Synchronization Index for Grassroots Activism on Social Media</w:t>
      </w:r>
      <w:r w:rsidRPr="00221389">
        <w:rPr>
          <w:rFonts w:ascii="Times New Roman" w:hAnsi="Times New Roman" w:cs="Times New Roman"/>
          <w:noProof/>
          <w:sz w:val="24"/>
        </w:rPr>
        <w:t>.</w:t>
      </w:r>
    </w:p>
    <w:p w14:paraId="46C9ED28"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Oe, H., Yamaoka, Y., &amp; Ochiai, H. (2022). A Qualitative Assessment of Community Learning Initiatives for Environmental Awareness and Behaviour Change: Applying UNESCO Education for Sustainable Development(ESD) Framework. </w:t>
      </w:r>
      <w:r w:rsidRPr="00221389">
        <w:rPr>
          <w:rFonts w:ascii="Times New Roman" w:hAnsi="Times New Roman" w:cs="Times New Roman"/>
          <w:i/>
          <w:iCs/>
          <w:noProof/>
          <w:sz w:val="24"/>
        </w:rPr>
        <w:t>International Journal of Environmental Research and Public Health</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19</w:t>
      </w:r>
      <w:r w:rsidRPr="00221389">
        <w:rPr>
          <w:rFonts w:ascii="Times New Roman" w:hAnsi="Times New Roman" w:cs="Times New Roman"/>
          <w:noProof/>
          <w:sz w:val="24"/>
        </w:rPr>
        <w:t>(6). https://doi.org/10.3390/ijerph19063528</w:t>
      </w:r>
    </w:p>
    <w:p w14:paraId="4B9BE35C"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Rohman, A. N., Nurdin, A., Eken, M., &amp; Bax, W. B. (2023). Da’wah Approach to The Strawberry Generation: A Study on Yuk Ngaji TV Channel. </w:t>
      </w:r>
      <w:r w:rsidRPr="00221389">
        <w:rPr>
          <w:rFonts w:ascii="Times New Roman" w:hAnsi="Times New Roman" w:cs="Times New Roman"/>
          <w:i/>
          <w:iCs/>
          <w:noProof/>
          <w:sz w:val="24"/>
        </w:rPr>
        <w:t>Islamic Communication Journal</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8</w:t>
      </w:r>
      <w:r w:rsidRPr="00221389">
        <w:rPr>
          <w:rFonts w:ascii="Times New Roman" w:hAnsi="Times New Roman" w:cs="Times New Roman"/>
          <w:noProof/>
          <w:sz w:val="24"/>
        </w:rPr>
        <w:t>(2), 303–228. https://doi.org/10.21580/icj.2023.8.2.16331</w:t>
      </w:r>
    </w:p>
    <w:p w14:paraId="366E135E"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Said, M., Yunus, M., Rahman, A., Asiah, S., Tahir, M. T., Paizin, K., &amp; Wulandari, S. (2023). PENYULUHAN KONSERVASI LINGKUNGAN BERBASIS AL QUR’AN(Living Qur’an dan Penguatan Nilai-Nilai Qur’ani Pada Masyarakat Sembalun Bumbung Terhadap Ayat-Ayat Ekologi dan Konservasi). </w:t>
      </w:r>
      <w:r w:rsidRPr="00221389">
        <w:rPr>
          <w:rFonts w:ascii="Times New Roman" w:hAnsi="Times New Roman" w:cs="Times New Roman"/>
          <w:i/>
          <w:iCs/>
          <w:noProof/>
          <w:sz w:val="24"/>
        </w:rPr>
        <w:t>Empowerment: Jurnal Pengabdian Kepada Masyarakat</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3</w:t>
      </w:r>
      <w:r w:rsidRPr="00221389">
        <w:rPr>
          <w:rFonts w:ascii="Times New Roman" w:hAnsi="Times New Roman" w:cs="Times New Roman"/>
          <w:noProof/>
          <w:sz w:val="24"/>
        </w:rPr>
        <w:t>(1), 30–38. https://doi.org/10.51700/empowerment.v3i1.438</w:t>
      </w:r>
    </w:p>
    <w:p w14:paraId="37E9D9E9" w14:textId="77777777" w:rsid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Salagi, R. R. (2023). </w:t>
      </w:r>
      <w:r w:rsidRPr="00221389">
        <w:rPr>
          <w:rFonts w:ascii="Times New Roman" w:hAnsi="Times New Roman" w:cs="Times New Roman"/>
          <w:i/>
          <w:iCs/>
          <w:noProof/>
          <w:sz w:val="24"/>
        </w:rPr>
        <w:t>Efektivitas Komunitas Yuk Ngaji Sebagai Media Dakwah Di Bandar Lampung</w:t>
      </w:r>
      <w:r w:rsidRPr="00221389">
        <w:rPr>
          <w:rFonts w:ascii="Times New Roman" w:hAnsi="Times New Roman" w:cs="Times New Roman"/>
          <w:noProof/>
          <w:sz w:val="24"/>
        </w:rPr>
        <w:t xml:space="preserve"> [UIN Raden Intan Lampung]. http://repository.radenintan.ac.id/id/eprint/23252%0Ahttp://repository.radenintan.ac.id/23252/1/COVER BAB 1 BAB 2 DAPUS.pdf</w:t>
      </w:r>
    </w:p>
    <w:p w14:paraId="11666DB5" w14:textId="7F45EAAF" w:rsidR="00037DE6" w:rsidRDefault="00037DE6" w:rsidP="00037DE6">
      <w:pPr>
        <w:widowControl w:val="0"/>
        <w:autoSpaceDE w:val="0"/>
        <w:autoSpaceDN w:val="0"/>
        <w:adjustRightInd w:val="0"/>
        <w:spacing w:after="60" w:line="240" w:lineRule="auto"/>
        <w:ind w:left="480" w:hanging="480"/>
        <w:jc w:val="both"/>
        <w:rPr>
          <w:rFonts w:ascii="Times New Roman" w:hAnsi="Times New Roman" w:cs="Times New Roman"/>
          <w:noProof/>
          <w:sz w:val="24"/>
        </w:rPr>
      </w:pPr>
      <w:r>
        <w:rPr>
          <w:rFonts w:ascii="Times New Roman" w:hAnsi="Times New Roman" w:cs="Times New Roman"/>
          <w:noProof/>
          <w:sz w:val="24"/>
        </w:rPr>
        <w:t>Salim, A. Senior of Yuk Ngaji, Senior Educator of YukNgaji Club, Personal Interview, January 19, 2025.</w:t>
      </w:r>
    </w:p>
    <w:p w14:paraId="408A0C8D" w14:textId="005D093C" w:rsidR="00037DE6" w:rsidRPr="00221389" w:rsidRDefault="00037DE6" w:rsidP="00037DE6">
      <w:pPr>
        <w:widowControl w:val="0"/>
        <w:autoSpaceDE w:val="0"/>
        <w:autoSpaceDN w:val="0"/>
        <w:adjustRightInd w:val="0"/>
        <w:spacing w:after="60" w:line="240" w:lineRule="auto"/>
        <w:ind w:left="480" w:hanging="480"/>
        <w:jc w:val="both"/>
        <w:rPr>
          <w:rFonts w:ascii="Times New Roman" w:hAnsi="Times New Roman" w:cs="Times New Roman"/>
          <w:noProof/>
          <w:sz w:val="24"/>
        </w:rPr>
      </w:pPr>
      <w:r>
        <w:rPr>
          <w:rFonts w:ascii="Times New Roman" w:hAnsi="Times New Roman" w:cs="Times New Roman"/>
          <w:noProof/>
          <w:sz w:val="24"/>
        </w:rPr>
        <w:t xml:space="preserve">Salim, A. Senior of Yuk Ngaji, Senior Educator of YukNgaji Club, </w:t>
      </w:r>
      <w:r>
        <w:rPr>
          <w:rFonts w:ascii="Times New Roman" w:hAnsi="Times New Roman" w:cs="Times New Roman"/>
          <w:noProof/>
          <w:sz w:val="24"/>
        </w:rPr>
        <w:t>Personal Interview, Februay 25</w:t>
      </w:r>
      <w:r>
        <w:rPr>
          <w:rFonts w:ascii="Times New Roman" w:hAnsi="Times New Roman" w:cs="Times New Roman"/>
          <w:noProof/>
          <w:sz w:val="24"/>
        </w:rPr>
        <w:t>, 2025.</w:t>
      </w:r>
    </w:p>
    <w:p w14:paraId="2159948A"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Setia, P. (2021). Membumikan Khilafah di Indonesia: Strategi Mobilisasi Opini Publik oleh Hizbut Tahrir Indonesia (HTI) di Media Sosial. </w:t>
      </w:r>
      <w:r w:rsidRPr="00221389">
        <w:rPr>
          <w:rFonts w:ascii="Times New Roman" w:hAnsi="Times New Roman" w:cs="Times New Roman"/>
          <w:i/>
          <w:iCs/>
          <w:noProof/>
          <w:sz w:val="24"/>
        </w:rPr>
        <w:t>Journal of Society and Development</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w:t>
      </w:r>
      <w:r w:rsidRPr="00221389">
        <w:rPr>
          <w:rFonts w:ascii="Times New Roman" w:hAnsi="Times New Roman" w:cs="Times New Roman"/>
          <w:noProof/>
          <w:sz w:val="24"/>
        </w:rPr>
        <w:t>, 33–45. http://journal.medpro.my.id/index.php/jsd</w:t>
      </w:r>
    </w:p>
    <w:p w14:paraId="04A44442"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Sholihin, A. S. (2025). Menelisik Urgensitas Fikih Ekologi terhadap Pelestarian Lingkungan Hidup. </w:t>
      </w:r>
      <w:r w:rsidRPr="00221389">
        <w:rPr>
          <w:rFonts w:ascii="Times New Roman" w:hAnsi="Times New Roman" w:cs="Times New Roman"/>
          <w:i/>
          <w:iCs/>
          <w:noProof/>
          <w:sz w:val="24"/>
        </w:rPr>
        <w:t>Iqtishaduna: Jurnal Ilmiah Mahasiswa Jurusan Hukum Ekonomi Syariah</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6</w:t>
      </w:r>
      <w:r w:rsidRPr="00221389">
        <w:rPr>
          <w:rFonts w:ascii="Times New Roman" w:hAnsi="Times New Roman" w:cs="Times New Roman"/>
          <w:noProof/>
          <w:sz w:val="24"/>
        </w:rPr>
        <w:t>(3), 637–646. https://doi.org/10.24252/iqtishaduna.vi.54558</w:t>
      </w:r>
    </w:p>
    <w:p w14:paraId="2CDB4E73"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Siauw, F., &amp; Myodauz. (2021). </w:t>
      </w:r>
      <w:r w:rsidRPr="00221389">
        <w:rPr>
          <w:rFonts w:ascii="Times New Roman" w:hAnsi="Times New Roman" w:cs="Times New Roman"/>
          <w:i/>
          <w:iCs/>
          <w:noProof/>
          <w:sz w:val="24"/>
        </w:rPr>
        <w:t>Guardians of The Earth</w:t>
      </w:r>
      <w:r w:rsidRPr="00221389">
        <w:rPr>
          <w:rFonts w:ascii="Times New Roman" w:hAnsi="Times New Roman" w:cs="Times New Roman"/>
          <w:noProof/>
          <w:sz w:val="24"/>
        </w:rPr>
        <w:t xml:space="preserve"> (1st ed.). Al-Fatih Press.</w:t>
      </w:r>
    </w:p>
    <w:p w14:paraId="745D6DA3"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Sopian, D. A. (2020). Strategi Dakwah Dalam Menerapkan Nilai Ajaran Islam Di Komunitas “Yuk Ngaji” Wilayah Bandung. </w:t>
      </w:r>
      <w:r w:rsidRPr="00221389">
        <w:rPr>
          <w:rFonts w:ascii="Times New Roman" w:hAnsi="Times New Roman" w:cs="Times New Roman"/>
          <w:i/>
          <w:iCs/>
          <w:noProof/>
          <w:sz w:val="24"/>
        </w:rPr>
        <w:t>JURNAL SYNTAX IMPERATIF : Jurnal Ilmu Sosial Dan Pendidikan</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w:t>
      </w:r>
      <w:r w:rsidRPr="00221389">
        <w:rPr>
          <w:rFonts w:ascii="Times New Roman" w:hAnsi="Times New Roman" w:cs="Times New Roman"/>
          <w:noProof/>
          <w:sz w:val="24"/>
        </w:rPr>
        <w:t>(1), 1. https://doi.org/10.36418/syntax-imperatif.v1i1.3</w:t>
      </w:r>
    </w:p>
    <w:p w14:paraId="3F43FA94"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Suciati, I., Purwasito, A., &amp; Rahmanto, A. (2019). Involvement “Yuk Ngaji Solo” Community to Building Youth Morality. </w:t>
      </w:r>
      <w:r w:rsidRPr="00221389">
        <w:rPr>
          <w:rFonts w:ascii="Times New Roman" w:hAnsi="Times New Roman" w:cs="Times New Roman"/>
          <w:i/>
          <w:iCs/>
          <w:noProof/>
          <w:sz w:val="24"/>
        </w:rPr>
        <w:t>Proceedings of the 3rd International Conference on Indonesian Social &amp; Political Enquiries (ICISPE 2018)</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366</w:t>
      </w:r>
      <w:r w:rsidRPr="00221389">
        <w:rPr>
          <w:rFonts w:ascii="Times New Roman" w:hAnsi="Times New Roman" w:cs="Times New Roman"/>
          <w:noProof/>
          <w:sz w:val="24"/>
        </w:rPr>
        <w:t>(Icispe), 14–20.</w:t>
      </w:r>
    </w:p>
    <w:p w14:paraId="2DF0DD0E"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Tata, N., Fatmawati, F., &amp; Aflaha, U. (2024). Respon Agama terhadap Krisis Lingkungan: Studi Implementasi Paradigma Eco-Theology di Pondok Pesantren An-Nur Yogyakarta. </w:t>
      </w:r>
      <w:r w:rsidRPr="00221389">
        <w:rPr>
          <w:rFonts w:ascii="Times New Roman" w:hAnsi="Times New Roman" w:cs="Times New Roman"/>
          <w:i/>
          <w:iCs/>
          <w:noProof/>
          <w:sz w:val="24"/>
        </w:rPr>
        <w:t>Al-i’jaz: Jurnal Studi Al-Qur’an, Falsafah Dan Keislaman</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6</w:t>
      </w:r>
      <w:r w:rsidRPr="00221389">
        <w:rPr>
          <w:rFonts w:ascii="Times New Roman" w:hAnsi="Times New Roman" w:cs="Times New Roman"/>
          <w:noProof/>
          <w:sz w:val="24"/>
        </w:rPr>
        <w:t>(2), 111–134. https://doi.org/10.53563/ai.v6i2.211</w:t>
      </w:r>
    </w:p>
    <w:p w14:paraId="0C5D1B09"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Thobroni, A. Y., Syamsudin, S., &amp; Rizqiyah, A. (2024). Peran Ajaran Agama di Kalangan Komunitas Laskar Hijau dalam Melaksanakan Konservasi Hutan Gunung Lemongan Lumajang: Kajian Living Qur’an. </w:t>
      </w:r>
      <w:r w:rsidRPr="00221389">
        <w:rPr>
          <w:rFonts w:ascii="Times New Roman" w:hAnsi="Times New Roman" w:cs="Times New Roman"/>
          <w:i/>
          <w:iCs/>
          <w:noProof/>
          <w:sz w:val="24"/>
        </w:rPr>
        <w:t>KACA: Karunia Cahaya Allah</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14</w:t>
      </w:r>
      <w:r w:rsidRPr="00221389">
        <w:rPr>
          <w:rFonts w:ascii="Times New Roman" w:hAnsi="Times New Roman" w:cs="Times New Roman"/>
          <w:noProof/>
          <w:sz w:val="24"/>
        </w:rPr>
        <w:t>(2), 215–237.</w:t>
      </w:r>
    </w:p>
    <w:p w14:paraId="6AE2DD8B"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Ubab, A. J. (2022). Penerapan Tafsir Ekologis Dalam Usaha Merawat Lingkungan Pesantren. </w:t>
      </w:r>
      <w:r w:rsidRPr="00221389">
        <w:rPr>
          <w:rFonts w:ascii="Times New Roman" w:hAnsi="Times New Roman" w:cs="Times New Roman"/>
          <w:i/>
          <w:iCs/>
          <w:noProof/>
          <w:sz w:val="24"/>
        </w:rPr>
        <w:t>The International Journal of Pegon : Islam Nusantara Civilization</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8</w:t>
      </w:r>
      <w:r w:rsidRPr="00221389">
        <w:rPr>
          <w:rFonts w:ascii="Times New Roman" w:hAnsi="Times New Roman" w:cs="Times New Roman"/>
          <w:noProof/>
          <w:sz w:val="24"/>
        </w:rPr>
        <w:t xml:space="preserve">(02), 93–106. </w:t>
      </w:r>
      <w:r w:rsidRPr="00221389">
        <w:rPr>
          <w:rFonts w:ascii="Times New Roman" w:hAnsi="Times New Roman" w:cs="Times New Roman"/>
          <w:noProof/>
          <w:sz w:val="24"/>
        </w:rPr>
        <w:lastRenderedPageBreak/>
        <w:t>https://doi.org/10.51925/inc.v8i02.69</w:t>
      </w:r>
    </w:p>
    <w:p w14:paraId="1C59FCF5"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Waheeda binti H. Abdul Rahman, &amp; Mutakin, A. (2023). Fiqh Ekologi; Upaya Merawat Lingkungan Hidup Berbasis Konsep Maqashid Syariah. </w:t>
      </w:r>
      <w:r w:rsidRPr="00221389">
        <w:rPr>
          <w:rFonts w:ascii="Times New Roman" w:hAnsi="Times New Roman" w:cs="Times New Roman"/>
          <w:i/>
          <w:iCs/>
          <w:noProof/>
          <w:sz w:val="24"/>
        </w:rPr>
        <w:t>Syariah: Journal of Fiqh Studies</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w:t>
      </w:r>
      <w:r w:rsidRPr="00221389">
        <w:rPr>
          <w:rFonts w:ascii="Times New Roman" w:hAnsi="Times New Roman" w:cs="Times New Roman"/>
          <w:noProof/>
          <w:sz w:val="24"/>
        </w:rPr>
        <w:t>(2), 107–126. https://doi.org/10.61570/syariah.v1i2.31</w:t>
      </w:r>
    </w:p>
    <w:p w14:paraId="434A065D"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Wallace-Wells, D. (2019). </w:t>
      </w:r>
      <w:r w:rsidRPr="00221389">
        <w:rPr>
          <w:rFonts w:ascii="Times New Roman" w:hAnsi="Times New Roman" w:cs="Times New Roman"/>
          <w:i/>
          <w:iCs/>
          <w:noProof/>
          <w:sz w:val="24"/>
        </w:rPr>
        <w:t>The Uninhabitable Earth: Life After Warming</w:t>
      </w:r>
      <w:r w:rsidRPr="00221389">
        <w:rPr>
          <w:rFonts w:ascii="Times New Roman" w:hAnsi="Times New Roman" w:cs="Times New Roman"/>
          <w:noProof/>
          <w:sz w:val="24"/>
        </w:rPr>
        <w:t>. Crown Publishing Group. https://doi.org/2018051268</w:t>
      </w:r>
    </w:p>
    <w:p w14:paraId="09E302F1" w14:textId="77777777" w:rsidR="00221389" w:rsidRPr="00221389" w:rsidRDefault="00221389" w:rsidP="00B06971">
      <w:pPr>
        <w:widowControl w:val="0"/>
        <w:autoSpaceDE w:val="0"/>
        <w:autoSpaceDN w:val="0"/>
        <w:adjustRightInd w:val="0"/>
        <w:spacing w:after="60" w:line="240" w:lineRule="auto"/>
        <w:ind w:left="480" w:hanging="480"/>
        <w:jc w:val="both"/>
        <w:rPr>
          <w:rFonts w:ascii="Times New Roman" w:hAnsi="Times New Roman" w:cs="Times New Roman"/>
          <w:noProof/>
          <w:sz w:val="24"/>
        </w:rPr>
      </w:pPr>
      <w:r w:rsidRPr="00221389">
        <w:rPr>
          <w:rFonts w:ascii="Times New Roman" w:hAnsi="Times New Roman" w:cs="Times New Roman"/>
          <w:noProof/>
          <w:sz w:val="24"/>
        </w:rPr>
        <w:t xml:space="preserve">Zhang, R., Zhang, Y., Lin, H., Feng, X., Fu, T. M., &amp; Wang, Y. (2020). NOx emission reduction and recovery during COVID-19 in East China. </w:t>
      </w:r>
      <w:r w:rsidRPr="00221389">
        <w:rPr>
          <w:rFonts w:ascii="Times New Roman" w:hAnsi="Times New Roman" w:cs="Times New Roman"/>
          <w:i/>
          <w:iCs/>
          <w:noProof/>
          <w:sz w:val="24"/>
        </w:rPr>
        <w:t>Atmosphere</w:t>
      </w:r>
      <w:r w:rsidRPr="00221389">
        <w:rPr>
          <w:rFonts w:ascii="Times New Roman" w:hAnsi="Times New Roman" w:cs="Times New Roman"/>
          <w:noProof/>
          <w:sz w:val="24"/>
        </w:rPr>
        <w:t xml:space="preserve">, </w:t>
      </w:r>
      <w:r w:rsidRPr="00221389">
        <w:rPr>
          <w:rFonts w:ascii="Times New Roman" w:hAnsi="Times New Roman" w:cs="Times New Roman"/>
          <w:i/>
          <w:iCs/>
          <w:noProof/>
          <w:sz w:val="24"/>
        </w:rPr>
        <w:t>11</w:t>
      </w:r>
      <w:r w:rsidRPr="00221389">
        <w:rPr>
          <w:rFonts w:ascii="Times New Roman" w:hAnsi="Times New Roman" w:cs="Times New Roman"/>
          <w:noProof/>
          <w:sz w:val="24"/>
        </w:rPr>
        <w:t>(4), 1–15. https://doi.org/10.3390/ATMOS11040433</w:t>
      </w:r>
    </w:p>
    <w:p w14:paraId="185C6AA2" w14:textId="77777777" w:rsidR="00FC4DFF" w:rsidRPr="00FC4DFF" w:rsidRDefault="00FC4DFF" w:rsidP="00B06971">
      <w:pPr>
        <w:spacing w:after="60"/>
        <w:jc w:val="both"/>
        <w:rPr>
          <w:rFonts w:ascii="Times New Roman" w:eastAsia="Kozuka Gothic Pro B" w:hAnsi="Times New Roman" w:cs="Times New Roman"/>
          <w:b/>
          <w:sz w:val="24"/>
          <w:szCs w:val="24"/>
        </w:rPr>
      </w:pPr>
      <w:r>
        <w:rPr>
          <w:rFonts w:ascii="Times New Roman" w:eastAsia="Kozuka Gothic Pro B" w:hAnsi="Times New Roman" w:cs="Times New Roman"/>
          <w:b/>
          <w:sz w:val="24"/>
          <w:szCs w:val="24"/>
        </w:rPr>
        <w:fldChar w:fldCharType="end"/>
      </w:r>
    </w:p>
    <w:p w14:paraId="2C7389D1" w14:textId="77777777" w:rsidR="008B3EE8" w:rsidRDefault="008B3EE8" w:rsidP="00CB18FE">
      <w:pPr>
        <w:spacing w:after="120" w:line="240" w:lineRule="auto"/>
        <w:jc w:val="both"/>
        <w:rPr>
          <w:rFonts w:ascii="EB Garamond" w:eastAsia="EB Garamond" w:hAnsi="EB Garamond" w:cs="EB Garamond"/>
          <w:sz w:val="24"/>
          <w:szCs w:val="24"/>
        </w:rPr>
      </w:pPr>
    </w:p>
    <w:sectPr w:rsidR="008B3EE8">
      <w:type w:val="continuous"/>
      <w:pgSz w:w="11907" w:h="16839"/>
      <w:pgMar w:top="1418" w:right="1418" w:bottom="1418" w:left="1418" w:header="1134" w:footer="851" w:gutter="0"/>
      <w:cols w:space="720" w:equalWidth="0">
        <w:col w:w="906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E007C" w14:textId="77777777" w:rsidR="00826D64" w:rsidRDefault="00826D64">
      <w:pPr>
        <w:spacing w:after="0" w:line="240" w:lineRule="auto"/>
      </w:pPr>
      <w:r>
        <w:separator/>
      </w:r>
    </w:p>
  </w:endnote>
  <w:endnote w:type="continuationSeparator" w:id="0">
    <w:p w14:paraId="520932BB" w14:textId="77777777" w:rsidR="00826D64" w:rsidRDefault="00826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ibre Baskerville">
    <w:altName w:val="Times New Roman"/>
    <w:charset w:val="00"/>
    <w:family w:val="auto"/>
    <w:pitch w:val="variable"/>
    <w:sig w:usb0="A00000BF" w:usb1="5000005B" w:usb2="00000000" w:usb3="00000000" w:csb0="00000093" w:csb1="00000000"/>
  </w:font>
  <w:font w:name="Kozuka Gothic Pro B">
    <w:altName w:val="Yu Gothic"/>
    <w:panose1 w:val="00000000000000000000"/>
    <w:charset w:val="80"/>
    <w:family w:val="swiss"/>
    <w:notTrueType/>
    <w:pitch w:val="variable"/>
    <w:sig w:usb0="00000283" w:usb1="2AC71C11" w:usb2="00000012" w:usb3="00000000" w:csb0="00020005" w:csb1="00000000"/>
  </w:font>
  <w:font w:name="EB Garamond">
    <w:altName w:val="Times New Roman"/>
    <w:charset w:val="00"/>
    <w:family w:val="auto"/>
    <w:pitch w:val="variable"/>
    <w:sig w:usb0="E00002FF" w:usb1="02000413" w:usb2="00000000" w:usb3="00000000" w:csb0="0000019F" w:csb1="00000000"/>
  </w:font>
  <w:font w:name="DaunPenh">
    <w:charset w:val="00"/>
    <w:family w:val="auto"/>
    <w:pitch w:val="variable"/>
    <w:sig w:usb0="80000003" w:usb1="00000000" w:usb2="00010000" w:usb3="00000000" w:csb0="00000001" w:csb1="00000000"/>
  </w:font>
  <w:font w:name="Palatino Linotype">
    <w:panose1 w:val="02040502050505030304"/>
    <w:charset w:val="00"/>
    <w:family w:val="roman"/>
    <w:pitch w:val="variable"/>
    <w:sig w:usb0="E0000287" w:usb1="40000013" w:usb2="00000000" w:usb3="00000000" w:csb0="0000019F" w:csb1="00000000"/>
  </w:font>
  <w:font w:name="Sorts Mill Goudy">
    <w:altName w:val="Calibri"/>
    <w:charset w:val="00"/>
    <w:family w:val="auto"/>
    <w:pitch w:val="default"/>
  </w:font>
  <w:font w:name="Kozuka Gothic Pro M">
    <w:altName w:val="Yu Gothic"/>
    <w:panose1 w:val="00000000000000000000"/>
    <w:charset w:val="80"/>
    <w:family w:val="swiss"/>
    <w:notTrueType/>
    <w:pitch w:val="variable"/>
    <w:sig w:usb0="00000283" w:usb1="2AC71C11" w:usb2="00000012" w:usb3="00000000" w:csb0="00020005"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6671" w14:textId="77777777" w:rsidR="008B3EE8" w:rsidRDefault="00303DE3">
    <w:pPr>
      <w:pBdr>
        <w:top w:val="nil"/>
        <w:left w:val="nil"/>
        <w:bottom w:val="nil"/>
        <w:right w:val="nil"/>
        <w:between w:val="nil"/>
      </w:pBdr>
      <w:spacing w:before="120" w:after="0" w:line="240" w:lineRule="auto"/>
      <w:rPr>
        <w:rFonts w:ascii="DaunPenh" w:eastAsia="DaunPenh" w:hAnsi="DaunPenh" w:cs="DaunPenh"/>
        <w:color w:val="000000"/>
      </w:rPr>
    </w:pPr>
    <w:r>
      <w:rPr>
        <w:rFonts w:ascii="Palatino Linotype" w:eastAsia="Palatino Linotype" w:hAnsi="Palatino Linotype" w:cs="Palatino Linotype"/>
        <w:color w:val="000000"/>
        <w:sz w:val="32"/>
        <w:szCs w:val="32"/>
      </w:rPr>
      <w:fldChar w:fldCharType="begin"/>
    </w:r>
    <w:r>
      <w:rPr>
        <w:rFonts w:ascii="Palatino Linotype" w:eastAsia="Palatino Linotype" w:hAnsi="Palatino Linotype" w:cs="Palatino Linotype"/>
        <w:color w:val="000000"/>
        <w:sz w:val="32"/>
        <w:szCs w:val="32"/>
      </w:rPr>
      <w:instrText>PAGE</w:instrText>
    </w:r>
    <w:r>
      <w:rPr>
        <w:rFonts w:ascii="Palatino Linotype" w:eastAsia="Palatino Linotype" w:hAnsi="Palatino Linotype" w:cs="Palatino Linotype"/>
        <w:color w:val="000000"/>
        <w:sz w:val="32"/>
        <w:szCs w:val="32"/>
      </w:rPr>
      <w:fldChar w:fldCharType="separate"/>
    </w:r>
    <w:r w:rsidR="006B03C6">
      <w:rPr>
        <w:rFonts w:ascii="Palatino Linotype" w:eastAsia="Palatino Linotype" w:hAnsi="Palatino Linotype" w:cs="Palatino Linotype"/>
        <w:noProof/>
        <w:color w:val="000000"/>
        <w:sz w:val="32"/>
        <w:szCs w:val="32"/>
      </w:rPr>
      <w:t>4</w:t>
    </w:r>
    <w:r>
      <w:rPr>
        <w:rFonts w:ascii="Palatino Linotype" w:eastAsia="Palatino Linotype" w:hAnsi="Palatino Linotype" w:cs="Palatino Linotype"/>
        <w:color w:val="000000"/>
        <w:sz w:val="32"/>
        <w:szCs w:val="32"/>
      </w:rPr>
      <w:fldChar w:fldCharType="end"/>
    </w:r>
    <w:r>
      <w:rPr>
        <w:rFonts w:ascii="Palatino Linotype" w:eastAsia="Palatino Linotype" w:hAnsi="Palatino Linotype" w:cs="Palatino Linotype"/>
        <w:color w:val="000000"/>
        <w:sz w:val="32"/>
        <w:szCs w:val="32"/>
      </w:rPr>
      <w:t xml:space="preserve"> - x</w:t>
    </w:r>
    <w:r>
      <w:rPr>
        <w:rFonts w:ascii="Sorts Mill Goudy" w:eastAsia="Sorts Mill Goudy" w:hAnsi="Sorts Mill Goudy" w:cs="Sorts Mill Goudy"/>
        <w:color w:val="000000"/>
        <w:sz w:val="32"/>
        <w:szCs w:val="3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4EA65" w14:textId="77777777" w:rsidR="008B3EE8" w:rsidRDefault="00303DE3">
    <w:pPr>
      <w:pBdr>
        <w:top w:val="nil"/>
        <w:left w:val="nil"/>
        <w:bottom w:val="nil"/>
        <w:right w:val="nil"/>
        <w:between w:val="nil"/>
      </w:pBdr>
      <w:spacing w:before="120" w:after="0" w:line="240" w:lineRule="auto"/>
      <w:jc w:val="right"/>
      <w:rPr>
        <w:rFonts w:ascii="DaunPenh" w:eastAsia="DaunPenh" w:hAnsi="DaunPenh" w:cs="DaunPenh"/>
        <w:color w:val="000000"/>
      </w:rPr>
    </w:pPr>
    <w:r>
      <w:rPr>
        <w:rFonts w:ascii="Palatino Linotype" w:eastAsia="Palatino Linotype" w:hAnsi="Palatino Linotype" w:cs="Palatino Linotype"/>
        <w:color w:val="000000"/>
        <w:sz w:val="32"/>
        <w:szCs w:val="32"/>
      </w:rPr>
      <w:t>|</w:t>
    </w:r>
    <w:r>
      <w:rPr>
        <w:rFonts w:ascii="Palatino Linotype" w:eastAsia="Palatino Linotype" w:hAnsi="Palatino Linotype" w:cs="Palatino Linotype"/>
        <w:color w:val="000000"/>
        <w:sz w:val="32"/>
        <w:szCs w:val="32"/>
      </w:rPr>
      <w:fldChar w:fldCharType="begin"/>
    </w:r>
    <w:r>
      <w:rPr>
        <w:rFonts w:ascii="Palatino Linotype" w:eastAsia="Palatino Linotype" w:hAnsi="Palatino Linotype" w:cs="Palatino Linotype"/>
        <w:color w:val="000000"/>
        <w:sz w:val="32"/>
        <w:szCs w:val="32"/>
      </w:rPr>
      <w:instrText>PAGE</w:instrText>
    </w:r>
    <w:r>
      <w:rPr>
        <w:rFonts w:ascii="Palatino Linotype" w:eastAsia="Palatino Linotype" w:hAnsi="Palatino Linotype" w:cs="Palatino Linotype"/>
        <w:color w:val="000000"/>
        <w:sz w:val="32"/>
        <w:szCs w:val="32"/>
      </w:rPr>
      <w:fldChar w:fldCharType="separate"/>
    </w:r>
    <w:r w:rsidR="006B03C6">
      <w:rPr>
        <w:rFonts w:ascii="Palatino Linotype" w:eastAsia="Palatino Linotype" w:hAnsi="Palatino Linotype" w:cs="Palatino Linotype"/>
        <w:noProof/>
        <w:color w:val="000000"/>
        <w:sz w:val="32"/>
        <w:szCs w:val="32"/>
      </w:rPr>
      <w:t>3</w:t>
    </w:r>
    <w:r>
      <w:rPr>
        <w:rFonts w:ascii="Palatino Linotype" w:eastAsia="Palatino Linotype" w:hAnsi="Palatino Linotype" w:cs="Palatino Linotype"/>
        <w:color w:val="000000"/>
        <w:sz w:val="32"/>
        <w:szCs w:val="32"/>
      </w:rPr>
      <w:fldChar w:fldCharType="end"/>
    </w:r>
    <w:r>
      <w:rPr>
        <w:rFonts w:ascii="Palatino Linotype" w:eastAsia="Palatino Linotype" w:hAnsi="Palatino Linotype" w:cs="Palatino Linotype"/>
        <w:color w:val="000000"/>
        <w:sz w:val="32"/>
        <w:szCs w:val="32"/>
      </w:rPr>
      <w:t xml:space="preserve"> - 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8DC9" w14:textId="77777777" w:rsidR="00826D64" w:rsidRDefault="00826D64">
      <w:pPr>
        <w:spacing w:after="0" w:line="240" w:lineRule="auto"/>
      </w:pPr>
      <w:r>
        <w:separator/>
      </w:r>
    </w:p>
  </w:footnote>
  <w:footnote w:type="continuationSeparator" w:id="0">
    <w:p w14:paraId="28B4ECC5" w14:textId="77777777" w:rsidR="00826D64" w:rsidRDefault="00826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4DEDD" w14:textId="77777777" w:rsidR="008B3EE8" w:rsidRDefault="00303DE3">
    <w:pPr>
      <w:pStyle w:val="Title"/>
      <w:spacing w:before="120" w:after="240"/>
      <w:ind w:right="-2"/>
      <w:rPr>
        <w:rFonts w:ascii="DaunPenh" w:eastAsia="DaunPenh" w:hAnsi="DaunPenh" w:cs="DaunPenh"/>
      </w:rPr>
    </w:pPr>
    <w:r>
      <w:rPr>
        <w:rFonts w:ascii="DaunPenh" w:eastAsia="DaunPenh" w:hAnsi="DaunPenh" w:cs="DaunPenh"/>
      </w:rPr>
      <w:t>TARBIYA: Journal of Education in Muslim Society, x (x), 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3504" w14:textId="77777777" w:rsidR="008B3EE8" w:rsidRDefault="00303DE3">
    <w:pPr>
      <w:pStyle w:val="Title"/>
      <w:spacing w:before="120" w:after="240"/>
      <w:ind w:right="-2"/>
      <w:rPr>
        <w:rFonts w:ascii="DaunPenh" w:eastAsia="DaunPenh" w:hAnsi="DaunPenh" w:cs="DaunPenh"/>
      </w:rPr>
    </w:pPr>
    <w:r>
      <w:tab/>
    </w:r>
    <w:r>
      <w:rPr>
        <w:rFonts w:ascii="DaunPenh" w:eastAsia="DaunPenh" w:hAnsi="DaunPenh" w:cs="DaunPenh"/>
      </w:rPr>
      <w:t>TARBIYA: Journal of Education in Muslim Society, x (x),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F3140"/>
    <w:multiLevelType w:val="hybridMultilevel"/>
    <w:tmpl w:val="6AD62DD2"/>
    <w:lvl w:ilvl="0" w:tplc="7472CBC2">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17A84104"/>
    <w:multiLevelType w:val="hybridMultilevel"/>
    <w:tmpl w:val="09988E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C21177"/>
    <w:multiLevelType w:val="hybridMultilevel"/>
    <w:tmpl w:val="ECF2C5CE"/>
    <w:lvl w:ilvl="0" w:tplc="C40486A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3AB73FB4"/>
    <w:multiLevelType w:val="hybridMultilevel"/>
    <w:tmpl w:val="4574F1E4"/>
    <w:lvl w:ilvl="0" w:tplc="25C2D73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655B3076"/>
    <w:multiLevelType w:val="hybridMultilevel"/>
    <w:tmpl w:val="82C0A170"/>
    <w:lvl w:ilvl="0" w:tplc="11F89F3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1017931068">
    <w:abstractNumId w:val="1"/>
  </w:num>
  <w:num w:numId="2" w16cid:durableId="1806465359">
    <w:abstractNumId w:val="3"/>
  </w:num>
  <w:num w:numId="3" w16cid:durableId="504131548">
    <w:abstractNumId w:val="4"/>
  </w:num>
  <w:num w:numId="4" w16cid:durableId="272909374">
    <w:abstractNumId w:val="0"/>
  </w:num>
  <w:num w:numId="5" w16cid:durableId="1820420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B3EE8"/>
    <w:rsid w:val="000022AD"/>
    <w:rsid w:val="00013A73"/>
    <w:rsid w:val="00037DE6"/>
    <w:rsid w:val="00095988"/>
    <w:rsid w:val="000A10D4"/>
    <w:rsid w:val="000D3719"/>
    <w:rsid w:val="000F265D"/>
    <w:rsid w:val="00157307"/>
    <w:rsid w:val="001906C6"/>
    <w:rsid w:val="00194576"/>
    <w:rsid w:val="0019584A"/>
    <w:rsid w:val="0019667C"/>
    <w:rsid w:val="00216E82"/>
    <w:rsid w:val="00217439"/>
    <w:rsid w:val="00221389"/>
    <w:rsid w:val="00241BBB"/>
    <w:rsid w:val="00296D63"/>
    <w:rsid w:val="00303DE3"/>
    <w:rsid w:val="0030728C"/>
    <w:rsid w:val="003314C1"/>
    <w:rsid w:val="003F44E5"/>
    <w:rsid w:val="00424379"/>
    <w:rsid w:val="00454B44"/>
    <w:rsid w:val="004611D7"/>
    <w:rsid w:val="00482316"/>
    <w:rsid w:val="004A269C"/>
    <w:rsid w:val="004D4CA5"/>
    <w:rsid w:val="00507BA7"/>
    <w:rsid w:val="005B1BB5"/>
    <w:rsid w:val="005F31A0"/>
    <w:rsid w:val="00694BA5"/>
    <w:rsid w:val="006A3A39"/>
    <w:rsid w:val="006B03C6"/>
    <w:rsid w:val="006C50EA"/>
    <w:rsid w:val="00717D50"/>
    <w:rsid w:val="007348D3"/>
    <w:rsid w:val="00774E58"/>
    <w:rsid w:val="007779A2"/>
    <w:rsid w:val="007B344E"/>
    <w:rsid w:val="007C317B"/>
    <w:rsid w:val="007C41A1"/>
    <w:rsid w:val="007D343C"/>
    <w:rsid w:val="00820D23"/>
    <w:rsid w:val="00826D64"/>
    <w:rsid w:val="00875E05"/>
    <w:rsid w:val="008B3EE8"/>
    <w:rsid w:val="008C5622"/>
    <w:rsid w:val="00907471"/>
    <w:rsid w:val="00912F26"/>
    <w:rsid w:val="00940980"/>
    <w:rsid w:val="00A07A89"/>
    <w:rsid w:val="00A37DF8"/>
    <w:rsid w:val="00A55111"/>
    <w:rsid w:val="00A90526"/>
    <w:rsid w:val="00AD142E"/>
    <w:rsid w:val="00AD3B39"/>
    <w:rsid w:val="00B06971"/>
    <w:rsid w:val="00B26CC1"/>
    <w:rsid w:val="00B92E45"/>
    <w:rsid w:val="00BC717F"/>
    <w:rsid w:val="00BF3A74"/>
    <w:rsid w:val="00C30590"/>
    <w:rsid w:val="00C94279"/>
    <w:rsid w:val="00CB18FE"/>
    <w:rsid w:val="00D514DC"/>
    <w:rsid w:val="00DA7752"/>
    <w:rsid w:val="00DF3295"/>
    <w:rsid w:val="00E2374A"/>
    <w:rsid w:val="00E35A1E"/>
    <w:rsid w:val="00E37FDE"/>
    <w:rsid w:val="00E56556"/>
    <w:rsid w:val="00E67B92"/>
    <w:rsid w:val="00E70CBA"/>
    <w:rsid w:val="00E85C1E"/>
    <w:rsid w:val="00E874A4"/>
    <w:rsid w:val="00EA3DDE"/>
    <w:rsid w:val="00EA7189"/>
    <w:rsid w:val="00EB48D7"/>
    <w:rsid w:val="00EF1B60"/>
    <w:rsid w:val="00F13AFE"/>
    <w:rsid w:val="00F37C3C"/>
    <w:rsid w:val="00F61737"/>
    <w:rsid w:val="00F64BB7"/>
    <w:rsid w:val="00F7239A"/>
    <w:rsid w:val="00F93614"/>
    <w:rsid w:val="00FA17C9"/>
    <w:rsid w:val="00FC4DFF"/>
    <w:rsid w:val="00FC5C1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E4123"/>
  <w15:docId w15:val="{7C87C20E-5A06-4D6B-B564-86D72AFD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0" w:line="240" w:lineRule="auto"/>
      <w:jc w:val="center"/>
    </w:pPr>
    <w:rPr>
      <w:rFonts w:ascii="Times New Roman" w:eastAsia="Times New Roman" w:hAnsi="Times New Roman" w:cs="Times New Roman"/>
      <w:b/>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styleId="Hyperlink">
    <w:name w:val="Hyperlink"/>
    <w:basedOn w:val="DefaultParagraphFont"/>
    <w:uiPriority w:val="99"/>
    <w:unhideWhenUsed/>
    <w:rsid w:val="006B03C6"/>
    <w:rPr>
      <w:color w:val="0000FF" w:themeColor="hyperlink"/>
      <w:u w:val="single"/>
    </w:rPr>
  </w:style>
  <w:style w:type="character" w:styleId="FootnoteReference">
    <w:name w:val="footnote reference"/>
    <w:semiHidden/>
    <w:rsid w:val="004D4CA5"/>
    <w:rPr>
      <w:rFonts w:ascii="Times New Roman" w:hAnsi="Times New Roman"/>
      <w:sz w:val="18"/>
      <w:vertAlign w:val="superscript"/>
    </w:rPr>
  </w:style>
  <w:style w:type="paragraph" w:styleId="FootnoteText">
    <w:name w:val="footnote text"/>
    <w:basedOn w:val="Normal"/>
    <w:link w:val="FootnoteTextChar"/>
    <w:semiHidden/>
    <w:rsid w:val="004D4CA5"/>
    <w:pPr>
      <w:spacing w:after="80" w:line="240" w:lineRule="auto"/>
      <w:ind w:left="144" w:hanging="144"/>
      <w:jc w:val="both"/>
    </w:pPr>
    <w:rPr>
      <w:rFonts w:ascii="Times New Roman" w:eastAsia="Times New Roman" w:hAnsi="Times New Roman" w:cs="Times New Roman"/>
      <w:sz w:val="18"/>
      <w:szCs w:val="20"/>
      <w:lang w:eastAsia="en-US"/>
    </w:rPr>
  </w:style>
  <w:style w:type="character" w:customStyle="1" w:styleId="FootnoteTextChar">
    <w:name w:val="Footnote Text Char"/>
    <w:basedOn w:val="DefaultParagraphFont"/>
    <w:link w:val="FootnoteText"/>
    <w:semiHidden/>
    <w:rsid w:val="004D4CA5"/>
    <w:rPr>
      <w:rFonts w:ascii="Times New Roman" w:eastAsia="Times New Roman" w:hAnsi="Times New Roman" w:cs="Times New Roman"/>
      <w:sz w:val="18"/>
      <w:szCs w:val="20"/>
      <w:lang w:eastAsia="en-US"/>
    </w:rPr>
  </w:style>
  <w:style w:type="paragraph" w:styleId="ListParagraph">
    <w:name w:val="List Paragraph"/>
    <w:basedOn w:val="Normal"/>
    <w:uiPriority w:val="34"/>
    <w:qFormat/>
    <w:rsid w:val="00F61737"/>
    <w:pPr>
      <w:ind w:left="720"/>
      <w:contextualSpacing/>
    </w:pPr>
  </w:style>
  <w:style w:type="paragraph" w:styleId="BodyTextIndent2">
    <w:name w:val="Body Text Indent 2"/>
    <w:basedOn w:val="Normal"/>
    <w:link w:val="BodyTextIndent2Char"/>
    <w:semiHidden/>
    <w:rsid w:val="00F61737"/>
    <w:pPr>
      <w:spacing w:after="80" w:line="240" w:lineRule="auto"/>
      <w:ind w:firstLine="144"/>
      <w:jc w:val="both"/>
    </w:pPr>
    <w:rPr>
      <w:rFonts w:ascii="Times New Roman" w:eastAsia="Times New Roman" w:hAnsi="Times New Roman" w:cs="Times New Roman"/>
      <w:sz w:val="20"/>
      <w:szCs w:val="20"/>
      <w:lang w:eastAsia="en-US"/>
    </w:rPr>
  </w:style>
  <w:style w:type="character" w:customStyle="1" w:styleId="BodyTextIndent2Char">
    <w:name w:val="Body Text Indent 2 Char"/>
    <w:basedOn w:val="DefaultParagraphFont"/>
    <w:link w:val="BodyTextIndent2"/>
    <w:semiHidden/>
    <w:rsid w:val="00F61737"/>
    <w:rPr>
      <w:rFonts w:ascii="Times New Roman" w:eastAsia="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3536">
      <w:bodyDiv w:val="1"/>
      <w:marLeft w:val="0"/>
      <w:marRight w:val="0"/>
      <w:marTop w:val="0"/>
      <w:marBottom w:val="0"/>
      <w:divBdr>
        <w:top w:val="none" w:sz="0" w:space="0" w:color="auto"/>
        <w:left w:val="none" w:sz="0" w:space="0" w:color="auto"/>
        <w:bottom w:val="none" w:sz="0" w:space="0" w:color="auto"/>
        <w:right w:val="none" w:sz="0" w:space="0" w:color="auto"/>
      </w:divBdr>
      <w:divsChild>
        <w:div w:id="1662351115">
          <w:marLeft w:val="0"/>
          <w:marRight w:val="0"/>
          <w:marTop w:val="0"/>
          <w:marBottom w:val="0"/>
          <w:divBdr>
            <w:top w:val="none" w:sz="0" w:space="0" w:color="auto"/>
            <w:left w:val="none" w:sz="0" w:space="0" w:color="auto"/>
            <w:bottom w:val="none" w:sz="0" w:space="0" w:color="auto"/>
            <w:right w:val="none" w:sz="0" w:space="0" w:color="auto"/>
          </w:divBdr>
          <w:divsChild>
            <w:div w:id="8573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72072">
      <w:bodyDiv w:val="1"/>
      <w:marLeft w:val="0"/>
      <w:marRight w:val="0"/>
      <w:marTop w:val="0"/>
      <w:marBottom w:val="0"/>
      <w:divBdr>
        <w:top w:val="none" w:sz="0" w:space="0" w:color="auto"/>
        <w:left w:val="none" w:sz="0" w:space="0" w:color="auto"/>
        <w:bottom w:val="none" w:sz="0" w:space="0" w:color="auto"/>
        <w:right w:val="none" w:sz="0" w:space="0" w:color="auto"/>
      </w:divBdr>
      <w:divsChild>
        <w:div w:id="2132243656">
          <w:marLeft w:val="0"/>
          <w:marRight w:val="0"/>
          <w:marTop w:val="0"/>
          <w:marBottom w:val="0"/>
          <w:divBdr>
            <w:top w:val="none" w:sz="0" w:space="0" w:color="auto"/>
            <w:left w:val="none" w:sz="0" w:space="0" w:color="auto"/>
            <w:bottom w:val="none" w:sz="0" w:space="0" w:color="auto"/>
            <w:right w:val="none" w:sz="0" w:space="0" w:color="auto"/>
          </w:divBdr>
          <w:divsChild>
            <w:div w:id="6827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76794">
      <w:bodyDiv w:val="1"/>
      <w:marLeft w:val="0"/>
      <w:marRight w:val="0"/>
      <w:marTop w:val="0"/>
      <w:marBottom w:val="0"/>
      <w:divBdr>
        <w:top w:val="none" w:sz="0" w:space="0" w:color="auto"/>
        <w:left w:val="none" w:sz="0" w:space="0" w:color="auto"/>
        <w:bottom w:val="none" w:sz="0" w:space="0" w:color="auto"/>
        <w:right w:val="none" w:sz="0" w:space="0" w:color="auto"/>
      </w:divBdr>
      <w:divsChild>
        <w:div w:id="2052536949">
          <w:marLeft w:val="0"/>
          <w:marRight w:val="0"/>
          <w:marTop w:val="0"/>
          <w:marBottom w:val="0"/>
          <w:divBdr>
            <w:top w:val="none" w:sz="0" w:space="0" w:color="auto"/>
            <w:left w:val="none" w:sz="0" w:space="0" w:color="auto"/>
            <w:bottom w:val="none" w:sz="0" w:space="0" w:color="auto"/>
            <w:right w:val="none" w:sz="0" w:space="0" w:color="auto"/>
          </w:divBdr>
          <w:divsChild>
            <w:div w:id="83199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730778">
      <w:bodyDiv w:val="1"/>
      <w:marLeft w:val="0"/>
      <w:marRight w:val="0"/>
      <w:marTop w:val="0"/>
      <w:marBottom w:val="0"/>
      <w:divBdr>
        <w:top w:val="none" w:sz="0" w:space="0" w:color="auto"/>
        <w:left w:val="none" w:sz="0" w:space="0" w:color="auto"/>
        <w:bottom w:val="none" w:sz="0" w:space="0" w:color="auto"/>
        <w:right w:val="none" w:sz="0" w:space="0" w:color="auto"/>
      </w:divBdr>
    </w:div>
    <w:div w:id="1918395089">
      <w:bodyDiv w:val="1"/>
      <w:marLeft w:val="0"/>
      <w:marRight w:val="0"/>
      <w:marTop w:val="0"/>
      <w:marBottom w:val="0"/>
      <w:divBdr>
        <w:top w:val="none" w:sz="0" w:space="0" w:color="auto"/>
        <w:left w:val="none" w:sz="0" w:space="0" w:color="auto"/>
        <w:bottom w:val="none" w:sz="0" w:space="0" w:color="auto"/>
        <w:right w:val="none" w:sz="0" w:space="0" w:color="auto"/>
      </w:divBdr>
      <w:divsChild>
        <w:div w:id="583032371">
          <w:marLeft w:val="0"/>
          <w:marRight w:val="0"/>
          <w:marTop w:val="0"/>
          <w:marBottom w:val="0"/>
          <w:divBdr>
            <w:top w:val="none" w:sz="0" w:space="0" w:color="auto"/>
            <w:left w:val="none" w:sz="0" w:space="0" w:color="auto"/>
            <w:bottom w:val="none" w:sz="0" w:space="0" w:color="auto"/>
            <w:right w:val="none" w:sz="0" w:space="0" w:color="auto"/>
          </w:divBdr>
          <w:divsChild>
            <w:div w:id="159909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85377">
      <w:bodyDiv w:val="1"/>
      <w:marLeft w:val="0"/>
      <w:marRight w:val="0"/>
      <w:marTop w:val="0"/>
      <w:marBottom w:val="0"/>
      <w:divBdr>
        <w:top w:val="none" w:sz="0" w:space="0" w:color="auto"/>
        <w:left w:val="none" w:sz="0" w:space="0" w:color="auto"/>
        <w:bottom w:val="none" w:sz="0" w:space="0" w:color="auto"/>
        <w:right w:val="none" w:sz="0" w:space="0" w:color="auto"/>
      </w:divBdr>
      <w:divsChild>
        <w:div w:id="1603295334">
          <w:marLeft w:val="0"/>
          <w:marRight w:val="0"/>
          <w:marTop w:val="0"/>
          <w:marBottom w:val="0"/>
          <w:divBdr>
            <w:top w:val="none" w:sz="0" w:space="0" w:color="auto"/>
            <w:left w:val="none" w:sz="0" w:space="0" w:color="auto"/>
            <w:bottom w:val="none" w:sz="0" w:space="0" w:color="auto"/>
            <w:right w:val="none" w:sz="0" w:space="0" w:color="auto"/>
          </w:divBdr>
          <w:divsChild>
            <w:div w:id="20062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076">
      <w:bodyDiv w:val="1"/>
      <w:marLeft w:val="0"/>
      <w:marRight w:val="0"/>
      <w:marTop w:val="0"/>
      <w:marBottom w:val="0"/>
      <w:divBdr>
        <w:top w:val="none" w:sz="0" w:space="0" w:color="auto"/>
        <w:left w:val="none" w:sz="0" w:space="0" w:color="auto"/>
        <w:bottom w:val="none" w:sz="0" w:space="0" w:color="auto"/>
        <w:right w:val="none" w:sz="0" w:space="0" w:color="auto"/>
      </w:divBdr>
      <w:divsChild>
        <w:div w:id="2012561392">
          <w:marLeft w:val="0"/>
          <w:marRight w:val="0"/>
          <w:marTop w:val="0"/>
          <w:marBottom w:val="0"/>
          <w:divBdr>
            <w:top w:val="none" w:sz="0" w:space="0" w:color="auto"/>
            <w:left w:val="none" w:sz="0" w:space="0" w:color="auto"/>
            <w:bottom w:val="none" w:sz="0" w:space="0" w:color="auto"/>
            <w:right w:val="none" w:sz="0" w:space="0" w:color="auto"/>
          </w:divBdr>
          <w:divsChild>
            <w:div w:id="73947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739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E67DE-A857-4E76-8C0E-E654E8E4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23</Pages>
  <Words>22161</Words>
  <Characters>126322</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Syahrul Ramadhan HD</cp:lastModifiedBy>
  <cp:revision>29</cp:revision>
  <dcterms:created xsi:type="dcterms:W3CDTF">2024-03-14T07:20:00Z</dcterms:created>
  <dcterms:modified xsi:type="dcterms:W3CDTF">2025-03-18T13:34:00Z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http://www.zotero.org/styles/chicago-fullnote-bibliography-short-title-subsequent</vt:lpwstr>
  </property>
  <property fmtid="{D5CDD505-2E9C-101B-9397-08002B2CF9AE}" pid="11" name="Mendeley Recent Style Name 4_1">
    <vt:lpwstr>Chicago Manual of Style 17th edition (full note, short title subsequent)</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1fddb4d7-f1b8-34c9-a96d-55283169ddfe</vt:lpwstr>
  </property>
  <property fmtid="{D5CDD505-2E9C-101B-9397-08002B2CF9AE}" pid="24" name="Mendeley Citation Style_1">
    <vt:lpwstr>http://www.zotero.org/styles/apa</vt:lpwstr>
  </property>
</Properties>
</file>