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D3" w:rsidRDefault="008F0713">
      <w:pPr>
        <w:widowControl w:val="0"/>
        <w:spacing w:after="0" w:line="288" w:lineRule="auto"/>
        <w:rPr>
          <w:rFonts w:ascii="Arial" w:eastAsia="Arial" w:hAnsi="Arial" w:cs="Arial"/>
          <w:sz w:val="27"/>
          <w:szCs w:val="27"/>
        </w:rPr>
      </w:pPr>
      <w:r>
        <w:rPr>
          <w:rFonts w:ascii="Arial" w:eastAsia="Arial" w:hAnsi="Arial" w:cs="Arial"/>
          <w:sz w:val="27"/>
          <w:szCs w:val="27"/>
        </w:rPr>
        <w:t xml:space="preserve"> </w:t>
      </w:r>
    </w:p>
    <w:p w:rsidR="005551D3" w:rsidRDefault="008F0713">
      <w:pPr>
        <w:widowControl w:val="0"/>
        <w:pBdr>
          <w:top w:val="nil"/>
          <w:left w:val="nil"/>
          <w:bottom w:val="nil"/>
          <w:right w:val="nil"/>
          <w:between w:val="nil"/>
        </w:pBdr>
        <w:spacing w:after="0" w:line="276" w:lineRule="auto"/>
        <w:rPr>
          <w:rFonts w:ascii="Arial" w:eastAsia="Arial" w:hAnsi="Arial" w:cs="Arial"/>
        </w:rPr>
      </w:pPr>
      <w:r>
        <w:rPr>
          <w:rFonts w:ascii="Arial" w:eastAsia="Arial" w:hAnsi="Arial" w:cs="Arial"/>
        </w:rPr>
        <w:t>7</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551D3">
        <w:tc>
          <w:tcPr>
            <w:tcW w:w="9016" w:type="dxa"/>
            <w:tcBorders>
              <w:left w:val="nil"/>
              <w:bottom w:val="single" w:sz="4" w:space="0" w:color="000000"/>
              <w:right w:val="nil"/>
            </w:tcBorders>
          </w:tcPr>
          <w:p w:rsidR="005551D3" w:rsidRDefault="005551D3">
            <w:pPr>
              <w:jc w:val="center"/>
              <w:rPr>
                <w:rFonts w:ascii="Garamond" w:eastAsia="Garamond" w:hAnsi="Garamond" w:cs="Garamond"/>
                <w:b/>
                <w:sz w:val="24"/>
                <w:szCs w:val="24"/>
              </w:rPr>
            </w:pPr>
          </w:p>
          <w:p w:rsidR="00462D9E" w:rsidRDefault="00462D9E" w:rsidP="00462D9E">
            <w:pPr>
              <w:spacing w:line="235" w:lineRule="auto"/>
              <w:jc w:val="center"/>
              <w:rPr>
                <w:rFonts w:ascii="Garamond" w:eastAsia="Garamond" w:hAnsi="Garamond" w:cs="Garamond"/>
                <w:b/>
                <w:sz w:val="28"/>
                <w:szCs w:val="28"/>
                <w:lang w:val="id-ID"/>
              </w:rPr>
            </w:pPr>
            <w:r w:rsidRPr="00462D9E">
              <w:rPr>
                <w:rFonts w:ascii="Garamond" w:eastAsia="Garamond" w:hAnsi="Garamond" w:cs="Garamond"/>
                <w:b/>
                <w:sz w:val="28"/>
                <w:szCs w:val="28"/>
              </w:rPr>
              <w:t>The Role of Village Community Empowerment Institutions in Improving Community Welfare</w:t>
            </w:r>
          </w:p>
          <w:p w:rsidR="005551D3" w:rsidRDefault="005551D3">
            <w:pPr>
              <w:spacing w:line="235" w:lineRule="auto"/>
              <w:jc w:val="center"/>
              <w:rPr>
                <w:rFonts w:ascii="Garamond" w:eastAsia="Garamond" w:hAnsi="Garamond" w:cs="Garamond"/>
                <w:b/>
                <w:sz w:val="28"/>
                <w:szCs w:val="28"/>
              </w:rPr>
            </w:pPr>
          </w:p>
          <w:p w:rsidR="005551D3" w:rsidRPr="00B93CCE" w:rsidRDefault="008F0713">
            <w:pPr>
              <w:spacing w:line="235" w:lineRule="auto"/>
              <w:jc w:val="center"/>
              <w:rPr>
                <w:sz w:val="24"/>
                <w:szCs w:val="24"/>
              </w:rPr>
            </w:pPr>
            <w:r w:rsidRPr="00B93CCE">
              <w:rPr>
                <w:sz w:val="24"/>
                <w:szCs w:val="24"/>
              </w:rPr>
              <w:t xml:space="preserve"> </w:t>
            </w:r>
          </w:p>
          <w:p w:rsidR="005551D3" w:rsidRPr="00B93CCE" w:rsidRDefault="008F0713" w:rsidP="00906DBB">
            <w:pPr>
              <w:spacing w:line="235" w:lineRule="auto"/>
              <w:jc w:val="center"/>
              <w:rPr>
                <w:rFonts w:ascii="Garamond" w:eastAsia="Garamond" w:hAnsi="Garamond" w:cs="Garamond"/>
                <w:b/>
                <w:sz w:val="24"/>
                <w:szCs w:val="24"/>
              </w:rPr>
            </w:pPr>
            <w:r w:rsidRPr="00B93CCE">
              <w:rPr>
                <w:rFonts w:ascii="Garamond" w:eastAsia="Garamond" w:hAnsi="Garamond" w:cs="Garamond"/>
                <w:b/>
                <w:sz w:val="24"/>
                <w:szCs w:val="24"/>
                <w:vertAlign w:val="superscript"/>
              </w:rPr>
              <w:t>1</w:t>
            </w:r>
            <w:r w:rsidR="00462D9E" w:rsidRPr="00B93CCE">
              <w:rPr>
                <w:rFonts w:ascii="Garamond" w:eastAsia="Garamond" w:hAnsi="Garamond" w:cs="Garamond"/>
                <w:b/>
                <w:sz w:val="24"/>
                <w:szCs w:val="24"/>
                <w:lang w:val="id-ID"/>
              </w:rPr>
              <w:t>Darwisa Sihombing</w:t>
            </w:r>
            <w:r w:rsidRPr="00B93CCE">
              <w:rPr>
                <w:rFonts w:ascii="Garamond" w:eastAsia="Garamond" w:hAnsi="Garamond" w:cs="Garamond"/>
                <w:b/>
                <w:sz w:val="24"/>
                <w:szCs w:val="24"/>
              </w:rPr>
              <w:t xml:space="preserve">,  </w:t>
            </w:r>
            <w:r w:rsidRPr="00B93CCE">
              <w:rPr>
                <w:rFonts w:ascii="Garamond" w:eastAsia="Garamond" w:hAnsi="Garamond" w:cs="Garamond"/>
                <w:b/>
                <w:sz w:val="24"/>
                <w:szCs w:val="24"/>
                <w:vertAlign w:val="superscript"/>
              </w:rPr>
              <w:t>2</w:t>
            </w:r>
            <w:r w:rsidR="00462D9E" w:rsidRPr="00B93CCE">
              <w:rPr>
                <w:rFonts w:ascii="Garamond" w:eastAsia="Garamond" w:hAnsi="Garamond" w:cs="Garamond"/>
                <w:b/>
                <w:sz w:val="24"/>
                <w:szCs w:val="24"/>
                <w:lang w:val="id-ID"/>
              </w:rPr>
              <w:t>Anas Habibi Ritonga</w:t>
            </w:r>
            <w:r w:rsidRPr="00B93CCE">
              <w:rPr>
                <w:rFonts w:ascii="Garamond" w:eastAsia="Garamond" w:hAnsi="Garamond" w:cs="Garamond"/>
                <w:b/>
                <w:sz w:val="24"/>
                <w:szCs w:val="24"/>
              </w:rPr>
              <w:t xml:space="preserve">, </w:t>
            </w:r>
            <w:r w:rsidRPr="00B93CCE">
              <w:rPr>
                <w:rFonts w:ascii="Garamond" w:eastAsia="Garamond" w:hAnsi="Garamond" w:cs="Garamond"/>
                <w:b/>
                <w:sz w:val="24"/>
                <w:szCs w:val="24"/>
                <w:vertAlign w:val="superscript"/>
              </w:rPr>
              <w:t>3</w:t>
            </w:r>
            <w:r w:rsidR="00906DBB" w:rsidRPr="00B93CCE">
              <w:rPr>
                <w:rFonts w:ascii="Garamond" w:eastAsia="Garamond" w:hAnsi="Garamond" w:cs="Garamond"/>
                <w:b/>
                <w:sz w:val="24"/>
                <w:szCs w:val="24"/>
                <w:lang w:val="id-ID"/>
              </w:rPr>
              <w:t>Masrul Efendi Umar Harahap</w:t>
            </w:r>
            <w:r w:rsidR="00B93CCE">
              <w:rPr>
                <w:rFonts w:ascii="Garamond" w:eastAsia="Garamond" w:hAnsi="Garamond" w:cs="Garamond"/>
                <w:b/>
                <w:sz w:val="24"/>
                <w:szCs w:val="24"/>
                <w:vertAlign w:val="superscript"/>
                <w:lang w:val="id-ID"/>
              </w:rPr>
              <w:t xml:space="preserve"> 4</w:t>
            </w:r>
            <w:r w:rsidR="00906DBB" w:rsidRPr="00B93CCE">
              <w:rPr>
                <w:rFonts w:ascii="Garamond" w:eastAsia="Garamond" w:hAnsi="Garamond" w:cs="Garamond"/>
                <w:b/>
                <w:sz w:val="24"/>
                <w:szCs w:val="24"/>
                <w:lang w:val="id-ID"/>
              </w:rPr>
              <w:t xml:space="preserve">Nurharisyah </w:t>
            </w:r>
            <w:r w:rsidR="00B93CCE">
              <w:rPr>
                <w:rFonts w:ascii="Garamond" w:eastAsia="Garamond" w:hAnsi="Garamond" w:cs="Garamond"/>
                <w:b/>
                <w:sz w:val="24"/>
                <w:szCs w:val="24"/>
                <w:lang w:val="id-ID"/>
              </w:rPr>
              <w:t>Hasibuan</w:t>
            </w:r>
          </w:p>
          <w:p w:rsidR="005551D3" w:rsidRPr="00B93CCE" w:rsidRDefault="003F559F" w:rsidP="003F559F">
            <w:pPr>
              <w:spacing w:line="235" w:lineRule="auto"/>
              <w:jc w:val="center"/>
              <w:rPr>
                <w:rFonts w:asciiTheme="majorBidi" w:hAnsiTheme="majorBidi" w:cstheme="majorBidi"/>
                <w:sz w:val="24"/>
                <w:szCs w:val="24"/>
                <w:lang w:val="id-ID"/>
              </w:rPr>
            </w:pPr>
            <w:r w:rsidRPr="00B93CCE">
              <w:rPr>
                <w:rFonts w:asciiTheme="majorBidi" w:hAnsiTheme="majorBidi" w:cstheme="majorBidi"/>
                <w:sz w:val="24"/>
                <w:szCs w:val="24"/>
                <w:lang w:val="id-ID"/>
              </w:rPr>
              <w:t xml:space="preserve">Community Development, Faculty of Da'wah and Communication Sciences, Syekh Ali Hasan Ahmad Addary University, Padangsidimpuan </w:t>
            </w:r>
          </w:p>
          <w:p w:rsidR="005551D3" w:rsidRPr="00B93CCE" w:rsidRDefault="008F0713" w:rsidP="003F559F">
            <w:pPr>
              <w:spacing w:line="432" w:lineRule="auto"/>
              <w:jc w:val="center"/>
              <w:rPr>
                <w:rFonts w:asciiTheme="majorBidi" w:hAnsiTheme="majorBidi" w:cstheme="majorBidi"/>
                <w:sz w:val="24"/>
                <w:szCs w:val="24"/>
                <w:lang w:val="id-ID"/>
              </w:rPr>
            </w:pPr>
            <w:r w:rsidRPr="00B93CCE">
              <w:rPr>
                <w:rFonts w:asciiTheme="majorBidi" w:hAnsiTheme="majorBidi" w:cstheme="majorBidi"/>
                <w:sz w:val="24"/>
                <w:szCs w:val="24"/>
              </w:rPr>
              <w:t xml:space="preserve">E-mail: </w:t>
            </w:r>
            <w:r w:rsidR="003F559F" w:rsidRPr="00B93CCE">
              <w:rPr>
                <w:rFonts w:asciiTheme="majorBidi" w:hAnsiTheme="majorBidi" w:cstheme="majorBidi"/>
                <w:sz w:val="24"/>
                <w:szCs w:val="24"/>
                <w:lang w:val="id-ID"/>
              </w:rPr>
              <w:t>nurharisyah@uinsyahada.ac.id</w:t>
            </w:r>
          </w:p>
          <w:p w:rsidR="005551D3" w:rsidRDefault="005551D3">
            <w:pPr>
              <w:spacing w:before="240" w:after="240"/>
              <w:jc w:val="center"/>
              <w:rPr>
                <w:rFonts w:ascii="Times New Roman" w:eastAsia="Times New Roman" w:hAnsi="Times New Roman" w:cs="Times New Roman"/>
                <w:b/>
              </w:rPr>
            </w:pPr>
          </w:p>
          <w:p w:rsidR="005551D3" w:rsidRDefault="005551D3">
            <w:pPr>
              <w:tabs>
                <w:tab w:val="left" w:pos="6246"/>
              </w:tabs>
              <w:spacing w:line="360" w:lineRule="auto"/>
              <w:jc w:val="center"/>
              <w:rPr>
                <w:sz w:val="24"/>
                <w:szCs w:val="24"/>
              </w:rPr>
            </w:pPr>
          </w:p>
        </w:tc>
      </w:tr>
      <w:tr w:rsidR="005551D3">
        <w:tc>
          <w:tcPr>
            <w:tcW w:w="9016" w:type="dxa"/>
            <w:tcBorders>
              <w:left w:val="nil"/>
              <w:bottom w:val="single" w:sz="4" w:space="0" w:color="000000"/>
              <w:right w:val="nil"/>
            </w:tcBorders>
          </w:tcPr>
          <w:p w:rsidR="005551D3" w:rsidRDefault="008F0713">
            <w:pPr>
              <w:tabs>
                <w:tab w:val="left" w:pos="5610"/>
              </w:tabs>
              <w:spacing w:line="360" w:lineRule="auto"/>
              <w:jc w:val="center"/>
              <w:rPr>
                <w:rFonts w:ascii="Times New Roman" w:eastAsia="Times New Roman" w:hAnsi="Times New Roman" w:cs="Times New Roman"/>
              </w:rPr>
            </w:pPr>
            <w:proofErr w:type="gramStart"/>
            <w:r>
              <w:rPr>
                <w:b/>
              </w:rPr>
              <w:t>Submit :</w:t>
            </w:r>
            <w:proofErr w:type="gramEnd"/>
            <w:r>
              <w:rPr>
                <w:b/>
              </w:rPr>
              <w:t xml:space="preserve"> </w:t>
            </w:r>
            <w:r>
              <w:t>............,</w:t>
            </w:r>
            <w:r>
              <w:rPr>
                <w:b/>
              </w:rPr>
              <w:t xml:space="preserve"> </w:t>
            </w:r>
            <w:proofErr w:type="spellStart"/>
            <w:r>
              <w:rPr>
                <w:b/>
              </w:rPr>
              <w:t>Revisi</w:t>
            </w:r>
            <w:proofErr w:type="spellEnd"/>
            <w:r>
              <w:rPr>
                <w:b/>
              </w:rPr>
              <w:t xml:space="preserve"> : </w:t>
            </w:r>
            <w:r>
              <w:t>............</w:t>
            </w:r>
            <w:r>
              <w:rPr>
                <w:b/>
              </w:rPr>
              <w:t xml:space="preserve"> , Approve : </w:t>
            </w:r>
            <w:r>
              <w:t>................</w:t>
            </w:r>
          </w:p>
        </w:tc>
      </w:tr>
      <w:tr w:rsidR="005551D3">
        <w:tc>
          <w:tcPr>
            <w:tcW w:w="9016" w:type="dxa"/>
            <w:tcBorders>
              <w:left w:val="nil"/>
              <w:right w:val="nil"/>
            </w:tcBorders>
          </w:tcPr>
          <w:p w:rsidR="005551D3" w:rsidRPr="00B93CCE" w:rsidRDefault="005551D3">
            <w:pPr>
              <w:jc w:val="both"/>
              <w:rPr>
                <w:rFonts w:asciiTheme="majorBidi" w:hAnsiTheme="majorBidi" w:cstheme="majorBidi"/>
                <w:b/>
                <w:bCs/>
              </w:rPr>
            </w:pPr>
          </w:p>
          <w:p w:rsidR="005551D3" w:rsidRPr="00B93CCE" w:rsidRDefault="008F0713" w:rsidP="00EE104B">
            <w:pPr>
              <w:spacing w:line="235" w:lineRule="auto"/>
              <w:jc w:val="center"/>
              <w:rPr>
                <w:rFonts w:asciiTheme="majorBidi" w:hAnsiTheme="majorBidi" w:cstheme="majorBidi"/>
                <w:b/>
                <w:bCs/>
                <w:lang w:val="id-ID"/>
              </w:rPr>
            </w:pPr>
            <w:r w:rsidRPr="00B93CCE">
              <w:rPr>
                <w:rFonts w:asciiTheme="majorBidi" w:hAnsiTheme="majorBidi" w:cstheme="majorBidi"/>
                <w:b/>
                <w:bCs/>
              </w:rPr>
              <w:t>Abstract</w:t>
            </w:r>
          </w:p>
          <w:p w:rsidR="005551D3" w:rsidRPr="00B93CCE" w:rsidRDefault="008F0713">
            <w:pPr>
              <w:spacing w:line="235" w:lineRule="auto"/>
              <w:jc w:val="both"/>
              <w:rPr>
                <w:rFonts w:asciiTheme="majorBidi" w:hAnsiTheme="majorBidi" w:cstheme="majorBidi"/>
                <w:b/>
                <w:bCs/>
              </w:rPr>
            </w:pPr>
            <w:r w:rsidRPr="00B93CCE">
              <w:rPr>
                <w:rFonts w:asciiTheme="majorBidi" w:hAnsiTheme="majorBidi" w:cstheme="majorBidi"/>
                <w:b/>
                <w:bCs/>
              </w:rPr>
              <w:t xml:space="preserve"> </w:t>
            </w:r>
          </w:p>
          <w:p w:rsidR="00B93CCE" w:rsidRPr="00B93CCE" w:rsidRDefault="00B93CCE" w:rsidP="00B93CCE">
            <w:pPr>
              <w:pStyle w:val="Heading3"/>
              <w:spacing w:before="0"/>
              <w:jc w:val="both"/>
              <w:outlineLvl w:val="2"/>
              <w:rPr>
                <w:rFonts w:asciiTheme="majorBidi" w:hAnsiTheme="majorBidi" w:cstheme="majorBidi"/>
                <w:bCs/>
                <w:i/>
                <w:iCs/>
                <w:sz w:val="22"/>
                <w:szCs w:val="22"/>
                <w:lang w:val="id-ID"/>
              </w:rPr>
            </w:pPr>
            <w:r w:rsidRPr="00B93CCE">
              <w:rPr>
                <w:rFonts w:asciiTheme="majorBidi" w:hAnsiTheme="majorBidi" w:cstheme="majorBidi"/>
                <w:bCs/>
                <w:i/>
                <w:iCs/>
                <w:sz w:val="22"/>
                <w:szCs w:val="22"/>
              </w:rPr>
              <w:t xml:space="preserve">The LPMD, as a partner of the village government, plays a role in supporting village development that involves community participation, voicing the aspirations of the community, and bridging the gap between the community and the village head. However, there are issues such as the lack of understanding among the community regarding the functions of LPMD, low levels of community participation in communal activities, and a lack of efforts to unify perceptions among various stakeholders, resulting in a sense of one-sided development. This research aims to evaluate the condition of LPMD in </w:t>
            </w:r>
            <w:proofErr w:type="spellStart"/>
            <w:r w:rsidRPr="00B93CCE">
              <w:rPr>
                <w:rFonts w:asciiTheme="majorBidi" w:hAnsiTheme="majorBidi" w:cstheme="majorBidi"/>
                <w:bCs/>
                <w:i/>
                <w:iCs/>
                <w:sz w:val="22"/>
                <w:szCs w:val="22"/>
              </w:rPr>
              <w:t>Siuhom</w:t>
            </w:r>
            <w:proofErr w:type="spellEnd"/>
            <w:r w:rsidRPr="00B93CCE">
              <w:rPr>
                <w:rFonts w:asciiTheme="majorBidi" w:hAnsiTheme="majorBidi" w:cstheme="majorBidi"/>
                <w:bCs/>
                <w:i/>
                <w:iCs/>
                <w:sz w:val="22"/>
                <w:szCs w:val="22"/>
              </w:rPr>
              <w:t xml:space="preserve"> Village and its role in improving community welfare. The research method used is qualitative descriptive with </w:t>
            </w:r>
            <w:r w:rsidRPr="00B93CCE">
              <w:rPr>
                <w:rFonts w:asciiTheme="majorBidi" w:hAnsiTheme="majorBidi" w:cstheme="majorBidi"/>
                <w:bCs/>
                <w:i/>
                <w:iCs/>
                <w:sz w:val="22"/>
                <w:szCs w:val="22"/>
                <w:lang w:val="id-ID"/>
              </w:rPr>
              <w:t>12</w:t>
            </w:r>
            <w:r w:rsidRPr="00B93CCE">
              <w:rPr>
                <w:rFonts w:asciiTheme="majorBidi" w:hAnsiTheme="majorBidi" w:cstheme="majorBidi"/>
                <w:bCs/>
                <w:i/>
                <w:iCs/>
                <w:sz w:val="22"/>
                <w:szCs w:val="22"/>
              </w:rPr>
              <w:t xml:space="preserve"> informants. Data were collected through observation, interviews, and documentation, with data analysis using collection, reduction, presentation, and conclusion drawing techniques. The research findings indicate that LPMD in </w:t>
            </w:r>
            <w:proofErr w:type="spellStart"/>
            <w:r w:rsidRPr="00B93CCE">
              <w:rPr>
                <w:rFonts w:asciiTheme="majorBidi" w:hAnsiTheme="majorBidi" w:cstheme="majorBidi"/>
                <w:bCs/>
                <w:i/>
                <w:iCs/>
                <w:sz w:val="22"/>
                <w:szCs w:val="22"/>
              </w:rPr>
              <w:t>Siuhom</w:t>
            </w:r>
            <w:proofErr w:type="spellEnd"/>
            <w:r w:rsidRPr="00B93CCE">
              <w:rPr>
                <w:rFonts w:asciiTheme="majorBidi" w:hAnsiTheme="majorBidi" w:cstheme="majorBidi"/>
                <w:bCs/>
                <w:i/>
                <w:iCs/>
                <w:sz w:val="22"/>
                <w:szCs w:val="22"/>
              </w:rPr>
              <w:t xml:space="preserve"> Village has effectively fulfilled its role in supporting the village government's efforts to enhance community welfare. This is reflected in various roles performed, such as proposing the development and renovation of educational facilities, enhancing agricultural productivity, constructing road infrastructure, suggesting training for </w:t>
            </w:r>
            <w:proofErr w:type="spellStart"/>
            <w:r w:rsidRPr="00B93CCE">
              <w:rPr>
                <w:rFonts w:asciiTheme="majorBidi" w:hAnsiTheme="majorBidi" w:cstheme="majorBidi"/>
                <w:bCs/>
                <w:i/>
                <w:iCs/>
                <w:sz w:val="22"/>
                <w:szCs w:val="22"/>
              </w:rPr>
              <w:t>posyandu</w:t>
            </w:r>
            <w:proofErr w:type="spellEnd"/>
            <w:r w:rsidRPr="00B93CCE">
              <w:rPr>
                <w:rFonts w:asciiTheme="majorBidi" w:hAnsiTheme="majorBidi" w:cstheme="majorBidi"/>
                <w:bCs/>
                <w:i/>
                <w:iCs/>
                <w:sz w:val="22"/>
                <w:szCs w:val="22"/>
              </w:rPr>
              <w:t xml:space="preserve"> cadres, as well as forming livestock groups and providing training on organic and manure fertilizer production to improve community economy. </w:t>
            </w:r>
          </w:p>
          <w:p w:rsidR="00B93CCE" w:rsidRPr="00B93CCE" w:rsidRDefault="00B93CCE" w:rsidP="00B93CCE">
            <w:pPr>
              <w:pStyle w:val="Heading3"/>
              <w:spacing w:before="0"/>
              <w:jc w:val="both"/>
              <w:outlineLvl w:val="2"/>
              <w:rPr>
                <w:rFonts w:asciiTheme="majorBidi" w:hAnsiTheme="majorBidi" w:cstheme="majorBidi"/>
                <w:bCs/>
                <w:i/>
                <w:iCs/>
                <w:sz w:val="22"/>
                <w:szCs w:val="22"/>
              </w:rPr>
            </w:pPr>
            <w:r w:rsidRPr="00B93CCE">
              <w:rPr>
                <w:rFonts w:asciiTheme="majorBidi" w:hAnsiTheme="majorBidi" w:cstheme="majorBidi"/>
                <w:bCs/>
                <w:i/>
                <w:iCs/>
                <w:sz w:val="22"/>
                <w:szCs w:val="22"/>
              </w:rPr>
              <w:t>Keywords: Role, Village Community Empowerment Institution (LPMD), Community Welfare</w:t>
            </w:r>
          </w:p>
          <w:p w:rsidR="005551D3" w:rsidRDefault="005551D3">
            <w:pPr>
              <w:spacing w:before="80" w:after="80" w:line="235" w:lineRule="auto"/>
              <w:jc w:val="both"/>
            </w:pPr>
          </w:p>
          <w:p w:rsidR="005551D3" w:rsidRDefault="008F0713">
            <w:pPr>
              <w:spacing w:before="80" w:after="80" w:line="235" w:lineRule="auto"/>
              <w:jc w:val="both"/>
            </w:pPr>
            <w:r>
              <w:t xml:space="preserve"> </w:t>
            </w:r>
          </w:p>
          <w:p w:rsidR="009B549A" w:rsidRPr="009B549A" w:rsidRDefault="009B549A" w:rsidP="009B549A">
            <w:pPr>
              <w:spacing w:line="235" w:lineRule="auto"/>
              <w:jc w:val="both"/>
              <w:rPr>
                <w:lang w:val="id-ID"/>
              </w:rPr>
            </w:pPr>
          </w:p>
          <w:p w:rsidR="005551D3" w:rsidRDefault="005551D3" w:rsidP="00001F4A">
            <w:pPr>
              <w:spacing w:line="432" w:lineRule="auto"/>
              <w:jc w:val="both"/>
              <w:rPr>
                <w:sz w:val="24"/>
                <w:szCs w:val="24"/>
              </w:rPr>
            </w:pPr>
          </w:p>
        </w:tc>
      </w:tr>
    </w:tbl>
    <w:p w:rsidR="005551D3" w:rsidRDefault="005551D3">
      <w:pPr>
        <w:rPr>
          <w:sz w:val="24"/>
          <w:szCs w:val="24"/>
        </w:rPr>
      </w:pPr>
    </w:p>
    <w:p w:rsidR="005551D3" w:rsidRDefault="005551D3">
      <w:pPr>
        <w:rPr>
          <w:rFonts w:ascii="Times New Roman" w:eastAsia="Times New Roman" w:hAnsi="Times New Roman" w:cs="Times New Roman"/>
          <w:b/>
          <w:sz w:val="27"/>
          <w:szCs w:val="27"/>
        </w:rPr>
      </w:pPr>
    </w:p>
    <w:p w:rsidR="005551D3" w:rsidRDefault="005551D3">
      <w:pPr>
        <w:rPr>
          <w:rFonts w:ascii="Times New Roman" w:eastAsia="Times New Roman" w:hAnsi="Times New Roman" w:cs="Times New Roman"/>
          <w:b/>
          <w:sz w:val="27"/>
          <w:szCs w:val="27"/>
        </w:rPr>
      </w:pPr>
    </w:p>
    <w:p w:rsidR="005551D3" w:rsidRDefault="005551D3">
      <w:pPr>
        <w:rPr>
          <w:rFonts w:ascii="Times New Roman" w:eastAsia="Times New Roman" w:hAnsi="Times New Roman" w:cs="Times New Roman"/>
          <w:b/>
          <w:sz w:val="27"/>
          <w:szCs w:val="27"/>
        </w:rPr>
      </w:pPr>
    </w:p>
    <w:p w:rsidR="005551D3" w:rsidRDefault="005551D3">
      <w:pPr>
        <w:rPr>
          <w:rFonts w:ascii="Times New Roman" w:eastAsia="Times New Roman" w:hAnsi="Times New Roman" w:cs="Times New Roman"/>
          <w:b/>
          <w:sz w:val="27"/>
          <w:szCs w:val="27"/>
        </w:rPr>
      </w:pPr>
    </w:p>
    <w:p w:rsidR="005551D3" w:rsidRDefault="005551D3">
      <w:pPr>
        <w:rPr>
          <w:rFonts w:ascii="Times New Roman" w:eastAsia="Times New Roman" w:hAnsi="Times New Roman" w:cs="Times New Roman"/>
          <w:b/>
          <w:sz w:val="27"/>
          <w:szCs w:val="27"/>
        </w:rPr>
      </w:pPr>
    </w:p>
    <w:p w:rsidR="005551D3" w:rsidRDefault="005551D3">
      <w:pPr>
        <w:rPr>
          <w:rFonts w:ascii="Times New Roman" w:eastAsia="Times New Roman" w:hAnsi="Times New Roman" w:cs="Times New Roman"/>
          <w:b/>
          <w:sz w:val="27"/>
          <w:szCs w:val="27"/>
        </w:rPr>
      </w:pPr>
    </w:p>
    <w:p w:rsidR="005551D3" w:rsidRPr="007631E5" w:rsidRDefault="008F0713">
      <w:pPr>
        <w:rPr>
          <w:rFonts w:asciiTheme="majorBidi" w:eastAsia="Times New Roman" w:hAnsiTheme="majorBidi" w:cstheme="majorBidi"/>
          <w:b/>
          <w:sz w:val="24"/>
          <w:szCs w:val="24"/>
        </w:rPr>
      </w:pPr>
      <w:r w:rsidRPr="007631E5">
        <w:rPr>
          <w:rFonts w:asciiTheme="majorBidi" w:eastAsia="Times New Roman" w:hAnsiTheme="majorBidi" w:cstheme="majorBidi"/>
          <w:b/>
          <w:sz w:val="24"/>
          <w:szCs w:val="24"/>
        </w:rPr>
        <w:t xml:space="preserve">INTRODUCTION </w:t>
      </w:r>
    </w:p>
    <w:p w:rsidR="00001F4A" w:rsidRPr="007631E5" w:rsidRDefault="00001F4A" w:rsidP="00001F4A">
      <w:pPr>
        <w:spacing w:after="40" w:line="432" w:lineRule="auto"/>
        <w:ind w:firstLine="540"/>
        <w:jc w:val="both"/>
        <w:rPr>
          <w:rFonts w:asciiTheme="majorBidi" w:hAnsiTheme="majorBidi" w:cstheme="majorBidi"/>
          <w:sz w:val="24"/>
          <w:szCs w:val="24"/>
          <w:lang w:val="id-ID"/>
        </w:rPr>
      </w:pPr>
      <w:r w:rsidRPr="007631E5">
        <w:rPr>
          <w:rFonts w:asciiTheme="majorBidi" w:hAnsiTheme="majorBidi" w:cstheme="majorBidi"/>
          <w:sz w:val="24"/>
          <w:szCs w:val="24"/>
          <w:lang w:val="id-ID"/>
        </w:rPr>
        <w:t>In Indonesia, there is a tendency to place position above role. This tendency is driven by a strong urge to prioritize materialism over spiritualism. Materialism is often measured by physical attributes or characteristics that tend to be consumptive. A person's status is often assessed based on these physical attributes, such as titles, luxurious residences, vehicles, clothing, and so on. Although these things are important, they are not the most crucial in human social interaction (Soerjono Soekanto, 2012).</w:t>
      </w:r>
    </w:p>
    <w:p w:rsidR="00001F4A" w:rsidRPr="007631E5" w:rsidRDefault="00001F4A" w:rsidP="00001F4A">
      <w:pPr>
        <w:spacing w:after="40" w:line="432" w:lineRule="auto"/>
        <w:ind w:firstLine="540"/>
        <w:jc w:val="both"/>
        <w:rPr>
          <w:rFonts w:asciiTheme="majorBidi" w:hAnsiTheme="majorBidi" w:cstheme="majorBidi"/>
          <w:sz w:val="24"/>
          <w:szCs w:val="24"/>
          <w:lang w:val="id-ID"/>
        </w:rPr>
      </w:pPr>
      <w:r w:rsidRPr="007631E5">
        <w:rPr>
          <w:rFonts w:asciiTheme="majorBidi" w:hAnsiTheme="majorBidi" w:cstheme="majorBidi"/>
          <w:sz w:val="24"/>
          <w:szCs w:val="24"/>
          <w:lang w:val="id-ID"/>
        </w:rPr>
        <w:t>In social interaction, it is often overlooked that the most important thing is performing the role. Frequently, position is prioritized, leading to an imbalanced relationship that should not occur. This imbalanced relationship tends to reinforce the notion that one party only has rights while the other only has obligations (Gagola et al., 2017). Community institutions provide a significant opportunity to perform these roles and require partnerships. The partnership emphasized here is between the Village Community Empowerment Institution (LPMD) and the village head, where both must work together to achieve community welfare.</w:t>
      </w:r>
    </w:p>
    <w:p w:rsidR="00001F4A" w:rsidRPr="007631E5" w:rsidRDefault="00001F4A" w:rsidP="00001F4A">
      <w:pPr>
        <w:spacing w:after="40" w:line="432" w:lineRule="auto"/>
        <w:ind w:firstLine="540"/>
        <w:jc w:val="both"/>
        <w:rPr>
          <w:rFonts w:asciiTheme="majorBidi" w:hAnsiTheme="majorBidi" w:cstheme="majorBidi"/>
          <w:sz w:val="24"/>
          <w:szCs w:val="24"/>
          <w:lang w:val="id-ID"/>
        </w:rPr>
      </w:pPr>
      <w:r w:rsidRPr="007631E5">
        <w:rPr>
          <w:rFonts w:asciiTheme="majorBidi" w:hAnsiTheme="majorBidi" w:cstheme="majorBidi"/>
          <w:sz w:val="24"/>
          <w:szCs w:val="24"/>
          <w:lang w:val="id-ID"/>
        </w:rPr>
        <w:t>LPMD is an institution regulated by written law to implement participatory empowerment aimed at building a capable and prosperous society. LPMD is a community institution derived from and conducted for the community. According to existing policies, LPMD acts as an institution that facilitates the participation of various parties, including the community, village government, and other institutions, in efforts to realize sustainable development (Candika &amp; Herdiana, 2020).</w:t>
      </w:r>
    </w:p>
    <w:p w:rsidR="00001F4A" w:rsidRPr="007631E5" w:rsidRDefault="00001F4A" w:rsidP="00001F4A">
      <w:pPr>
        <w:spacing w:after="40" w:line="432" w:lineRule="auto"/>
        <w:ind w:firstLine="540"/>
        <w:jc w:val="both"/>
        <w:rPr>
          <w:rFonts w:asciiTheme="majorBidi" w:hAnsiTheme="majorBidi" w:cstheme="majorBidi"/>
          <w:sz w:val="24"/>
          <w:szCs w:val="24"/>
          <w:lang w:val="id-ID"/>
        </w:rPr>
      </w:pPr>
    </w:p>
    <w:p w:rsidR="00001F4A" w:rsidRPr="007631E5" w:rsidRDefault="00001F4A" w:rsidP="00001F4A">
      <w:pPr>
        <w:spacing w:after="40" w:line="432" w:lineRule="auto"/>
        <w:ind w:firstLine="540"/>
        <w:jc w:val="both"/>
        <w:rPr>
          <w:rFonts w:asciiTheme="majorBidi" w:hAnsiTheme="majorBidi" w:cstheme="majorBidi"/>
          <w:sz w:val="24"/>
          <w:szCs w:val="24"/>
          <w:lang w:val="id-ID"/>
        </w:rPr>
      </w:pPr>
      <w:r w:rsidRPr="007631E5">
        <w:rPr>
          <w:rFonts w:asciiTheme="majorBidi" w:hAnsiTheme="majorBidi" w:cstheme="majorBidi"/>
          <w:sz w:val="24"/>
          <w:szCs w:val="24"/>
          <w:lang w:val="id-ID"/>
        </w:rPr>
        <w:t xml:space="preserve">Additionally, the Village Community Empowerment Institution (LPMD) functions as an institution that promotes and maintains the tradition of mutual cooperation within the community as a form of citizen participation in their village's development. Thus, LPMD is </w:t>
      </w:r>
      <w:r w:rsidRPr="007631E5">
        <w:rPr>
          <w:rFonts w:asciiTheme="majorBidi" w:hAnsiTheme="majorBidi" w:cstheme="majorBidi"/>
          <w:sz w:val="24"/>
          <w:szCs w:val="24"/>
          <w:lang w:val="id-ID"/>
        </w:rPr>
        <w:lastRenderedPageBreak/>
        <w:t>expected to be the main driver in increasing community participation in the development process. This aims to foster awareness in the community that development is not solely the government's responsibility but also a shared responsibility of the entire community (Lamongan, 2016).</w:t>
      </w:r>
    </w:p>
    <w:p w:rsidR="00001F4A" w:rsidRPr="007631E5" w:rsidRDefault="00001F4A" w:rsidP="00001F4A">
      <w:pPr>
        <w:spacing w:after="40" w:line="432" w:lineRule="auto"/>
        <w:ind w:firstLine="540"/>
        <w:jc w:val="both"/>
        <w:rPr>
          <w:rFonts w:asciiTheme="majorBidi" w:hAnsiTheme="majorBidi" w:cstheme="majorBidi"/>
          <w:sz w:val="24"/>
          <w:szCs w:val="24"/>
          <w:lang w:val="id-ID"/>
        </w:rPr>
      </w:pPr>
      <w:r w:rsidRPr="007631E5">
        <w:rPr>
          <w:rFonts w:asciiTheme="majorBidi" w:hAnsiTheme="majorBidi" w:cstheme="majorBidi"/>
          <w:sz w:val="24"/>
          <w:szCs w:val="24"/>
          <w:lang w:val="id-ID"/>
        </w:rPr>
        <w:t>The emergence of various social problems within the community indicates weaknesses and lack of welfare among residents. Social problems reflect conditions, situations, or behaviors that are not expected or desired and often contradict societal expectations. As a result, the community's situation or condition does not meet the ideal standards or expectations desired by society (Nindatu, 2019). Social problems often arise in various sectors such as education, economy, social affairs, and environment. Village community empowerment is an active effort to increase awareness, independence, welfare, and meet community needs. Village empowerment aims to transform the community from a weak state into a stronger, prosperous, and civilized society (Dakwah et al., 2017).</w:t>
      </w:r>
    </w:p>
    <w:p w:rsidR="005551D3" w:rsidRPr="007631E5" w:rsidRDefault="005551D3">
      <w:pPr>
        <w:spacing w:after="40" w:line="432" w:lineRule="auto"/>
        <w:ind w:firstLine="540"/>
        <w:jc w:val="both"/>
        <w:rPr>
          <w:rFonts w:asciiTheme="majorBidi" w:hAnsiTheme="majorBidi" w:cstheme="majorBidi"/>
          <w:sz w:val="24"/>
          <w:szCs w:val="24"/>
        </w:rPr>
      </w:pPr>
    </w:p>
    <w:p w:rsidR="005551D3" w:rsidRPr="007631E5" w:rsidRDefault="008F0713">
      <w:pPr>
        <w:spacing w:after="60" w:line="360" w:lineRule="auto"/>
        <w:jc w:val="both"/>
        <w:rPr>
          <w:rFonts w:asciiTheme="majorBidi" w:hAnsiTheme="majorBidi" w:cstheme="majorBidi"/>
          <w:color w:val="000000"/>
          <w:sz w:val="24"/>
          <w:szCs w:val="24"/>
        </w:rPr>
      </w:pPr>
      <w:r w:rsidRPr="007631E5">
        <w:rPr>
          <w:rFonts w:asciiTheme="majorBidi" w:hAnsiTheme="majorBidi" w:cstheme="majorBidi"/>
          <w:b/>
          <w:color w:val="000000"/>
          <w:sz w:val="24"/>
          <w:szCs w:val="24"/>
        </w:rPr>
        <w:t>METHODS</w:t>
      </w:r>
    </w:p>
    <w:p w:rsidR="005551D3" w:rsidRPr="007631E5" w:rsidRDefault="003E35CF" w:rsidP="003E35CF">
      <w:pPr>
        <w:spacing w:after="60" w:line="360" w:lineRule="auto"/>
        <w:ind w:firstLine="720"/>
        <w:jc w:val="both"/>
        <w:rPr>
          <w:rFonts w:asciiTheme="majorBidi" w:hAnsiTheme="majorBidi" w:cstheme="majorBidi"/>
          <w:color w:val="000000"/>
          <w:sz w:val="24"/>
          <w:szCs w:val="24"/>
          <w:lang w:val="id-ID"/>
        </w:rPr>
      </w:pPr>
      <w:r w:rsidRPr="007631E5">
        <w:rPr>
          <w:rFonts w:asciiTheme="majorBidi" w:hAnsiTheme="majorBidi" w:cstheme="majorBidi"/>
          <w:color w:val="000000"/>
          <w:sz w:val="24"/>
          <w:szCs w:val="24"/>
          <w:lang w:val="id-ID"/>
        </w:rPr>
        <w:t>This research was conducted in Siuhom Village, Angkola Barat Subdistrict, South Tapanuli Regency, Padangsidimpuan City. This study is a qualitative research with a descriptive approach (Adlini et al., 2022). Qualitative research aims to understand phenomena or events experienced by the research subjects. The data sources used consist of primary and secondary data. Primary data were obtained from interviews with 2 individuals from the village government and 10 individuals from the community of Siuhom Village, Angkola Barat Subdistrict, South Tapanuli Regency, as beneficiaries of the Role of the Village Community Empowerment Institution (LPMD). The data collection techniques used include non-participatory observation, structured interviews, and documentation. To ensure the validity of the data, triangulation techniques were used with the aim of increasing data accuracy. Data analysis was carried out through several stages: data collection, data reduction, data presentation, and conclusion drawing. During the analysis process, the meaning of each event obtained from the field was revealed and understood (Albi Anggito &amp; Johan Setiawan, 2018).</w:t>
      </w:r>
    </w:p>
    <w:p w:rsidR="005551D3" w:rsidRPr="007631E5" w:rsidRDefault="008F0713">
      <w:pPr>
        <w:spacing w:after="60" w:line="360" w:lineRule="auto"/>
        <w:jc w:val="both"/>
        <w:rPr>
          <w:rFonts w:asciiTheme="majorBidi" w:hAnsiTheme="majorBidi" w:cstheme="majorBidi"/>
          <w:color w:val="000000"/>
          <w:sz w:val="24"/>
          <w:szCs w:val="24"/>
        </w:rPr>
      </w:pPr>
      <w:r w:rsidRPr="007631E5">
        <w:rPr>
          <w:rFonts w:asciiTheme="majorBidi" w:hAnsiTheme="majorBidi" w:cstheme="majorBidi"/>
          <w:b/>
          <w:color w:val="000000"/>
          <w:sz w:val="24"/>
          <w:szCs w:val="24"/>
        </w:rPr>
        <w:t>RESULTS AND DISCUSSION</w:t>
      </w:r>
    </w:p>
    <w:p w:rsidR="002B5109" w:rsidRPr="007631E5" w:rsidRDefault="002B5109" w:rsidP="002B5109">
      <w:pPr>
        <w:spacing w:after="60" w:line="360" w:lineRule="auto"/>
        <w:ind w:firstLine="720"/>
        <w:jc w:val="both"/>
        <w:rPr>
          <w:rFonts w:asciiTheme="majorBidi" w:hAnsiTheme="majorBidi" w:cstheme="majorBidi"/>
          <w:color w:val="000000"/>
          <w:sz w:val="24"/>
          <w:szCs w:val="24"/>
          <w:lang w:val="id-ID"/>
        </w:rPr>
      </w:pPr>
      <w:r w:rsidRPr="007631E5">
        <w:rPr>
          <w:rFonts w:asciiTheme="majorBidi" w:hAnsiTheme="majorBidi" w:cstheme="majorBidi"/>
          <w:color w:val="000000"/>
          <w:sz w:val="24"/>
          <w:szCs w:val="24"/>
          <w:lang w:val="id-ID"/>
        </w:rPr>
        <w:lastRenderedPageBreak/>
        <w:t>The Village Community Empowerment Institution (LPMD) is a community institution that grows from, by, and for the community. It serves as a forum for community participation and aspirations in planning, implementing, and controlling development centered on the community. Its goal is to increase community awareness in national life within the framework of the Unitary State of the Republic of Indonesia based on Pancasila and the 1945 Constitution, to increase community participation, to enhance the community's capabilities as human resources (HR) to manage natural resources (NR), to improve the people's economy, and to alleviate poverty (Hendry Rumengan, 2023).</w:t>
      </w:r>
    </w:p>
    <w:p w:rsidR="00692095" w:rsidRPr="007631E5" w:rsidRDefault="002B5109" w:rsidP="00692095">
      <w:pPr>
        <w:pStyle w:val="ListParagraph"/>
        <w:numPr>
          <w:ilvl w:val="0"/>
          <w:numId w:val="1"/>
        </w:numPr>
        <w:spacing w:after="60" w:line="360" w:lineRule="auto"/>
        <w:jc w:val="both"/>
        <w:rPr>
          <w:rFonts w:asciiTheme="majorBidi" w:hAnsiTheme="majorBidi" w:cstheme="majorBidi"/>
          <w:color w:val="000000"/>
          <w:lang w:val="id-ID"/>
        </w:rPr>
      </w:pPr>
      <w:r w:rsidRPr="007631E5">
        <w:rPr>
          <w:rFonts w:asciiTheme="majorBidi" w:hAnsiTheme="majorBidi" w:cstheme="majorBidi"/>
          <w:color w:val="000000"/>
          <w:lang w:val="id-ID"/>
        </w:rPr>
        <w:t>The Condition/State of the Role of the Village Community Empowerment Institution in Improving Community Welfare in Siuhom Village</w:t>
      </w:r>
    </w:p>
    <w:p w:rsidR="00692095" w:rsidRPr="007631E5" w:rsidRDefault="002B5109" w:rsidP="00692095">
      <w:pPr>
        <w:pStyle w:val="ListParagraph"/>
        <w:spacing w:after="60" w:line="360" w:lineRule="auto"/>
        <w:ind w:left="360" w:firstLine="360"/>
        <w:jc w:val="both"/>
        <w:rPr>
          <w:rFonts w:asciiTheme="majorBidi" w:hAnsiTheme="majorBidi" w:cstheme="majorBidi"/>
          <w:color w:val="000000"/>
          <w:lang w:val="id-ID"/>
        </w:rPr>
      </w:pPr>
      <w:r w:rsidRPr="007631E5">
        <w:rPr>
          <w:rFonts w:asciiTheme="majorBidi" w:hAnsiTheme="majorBidi" w:cstheme="majorBidi"/>
          <w:color w:val="000000"/>
          <w:lang w:val="id-ID"/>
        </w:rPr>
        <w:t>An institution is a platform for a group of people to share their thoughts through a series of procedures and rules to succeed in realizing the shared vision and mission of the institution. According to Ginandjar, an institution is considered as an entity or a structure containing a set of norms, values, and beliefs focused on various social needs and a series of important and recurring actions (Ginandjar Kartasasmitha, 1996). According to Levinson, an institution is a structured form of organization consisting of behavior patterns, roles, and relations as a binding way to meet basic social needs (Levinson, 1964).</w:t>
      </w:r>
      <w:r w:rsidR="00692095" w:rsidRPr="007631E5">
        <w:rPr>
          <w:rFonts w:asciiTheme="majorBidi" w:hAnsiTheme="majorBidi" w:cstheme="majorBidi"/>
          <w:color w:val="000000"/>
          <w:lang w:val="id-ID"/>
        </w:rPr>
        <w:t xml:space="preserve"> </w:t>
      </w:r>
    </w:p>
    <w:p w:rsidR="00692095" w:rsidRPr="007631E5" w:rsidRDefault="002B5109" w:rsidP="00692095">
      <w:pPr>
        <w:pStyle w:val="ListParagraph"/>
        <w:spacing w:after="60" w:line="360" w:lineRule="auto"/>
        <w:ind w:left="360" w:firstLine="360"/>
        <w:jc w:val="both"/>
        <w:rPr>
          <w:rFonts w:asciiTheme="majorBidi" w:hAnsiTheme="majorBidi" w:cstheme="majorBidi"/>
          <w:color w:val="000000"/>
          <w:lang w:val="id-ID"/>
        </w:rPr>
      </w:pPr>
      <w:r w:rsidRPr="007631E5">
        <w:rPr>
          <w:rFonts w:asciiTheme="majorBidi" w:hAnsiTheme="majorBidi" w:cstheme="majorBidi"/>
          <w:color w:val="000000"/>
          <w:lang w:val="id-ID"/>
        </w:rPr>
        <w:t>Based on all interactions and direct observations conducted by the researcher regarding the contribution of the Village Community Empowerment Institution (LPMD) in Siuhom Village, Angkola Barat Subdistrict, South Tapanuli Regency, it can be concluded that the performance of most LPMD members is positively assessed by the village government and the community. However, some members are still considered passive in their roles within the LPMD, indicating a lack of participation in activities organized by both the village government and the LPMD itself.</w:t>
      </w:r>
      <w:r w:rsidR="00692095" w:rsidRPr="007631E5">
        <w:rPr>
          <w:rFonts w:asciiTheme="majorBidi" w:hAnsiTheme="majorBidi" w:cstheme="majorBidi"/>
          <w:color w:val="000000"/>
          <w:lang w:val="id-ID"/>
        </w:rPr>
        <w:t xml:space="preserve"> </w:t>
      </w:r>
    </w:p>
    <w:p w:rsidR="00692095" w:rsidRPr="007631E5" w:rsidRDefault="002B5109" w:rsidP="00692095">
      <w:pPr>
        <w:pStyle w:val="ListParagraph"/>
        <w:spacing w:after="60" w:line="360" w:lineRule="auto"/>
        <w:ind w:left="360" w:firstLine="360"/>
        <w:jc w:val="both"/>
        <w:rPr>
          <w:rFonts w:asciiTheme="majorBidi" w:hAnsiTheme="majorBidi" w:cstheme="majorBidi"/>
          <w:color w:val="000000"/>
          <w:lang w:val="id-ID"/>
        </w:rPr>
      </w:pPr>
      <w:r w:rsidRPr="007631E5">
        <w:rPr>
          <w:rFonts w:asciiTheme="majorBidi" w:hAnsiTheme="majorBidi" w:cstheme="majorBidi"/>
          <w:color w:val="000000"/>
          <w:lang w:val="id-ID"/>
        </w:rPr>
        <w:t>This occurs due to several factors, including a lack of understanding among LPMD members about their functions and roles in carrying out their duties as part of the LPMD. Additionally, there is a lack of continuous training or outreach to provide an understanding to the village institution cadres about the importance of fulfilling their respective roles. The current condition of the LPMD in Siuhom village shows a lack of understanding among the administrators in carrying out the LPMD's performance system, often causing a gap between the administrators and the village government. Naturally, this can hinder the development process in Siuhom village.</w:t>
      </w:r>
    </w:p>
    <w:p w:rsidR="002337E0" w:rsidRPr="007631E5" w:rsidRDefault="002B5109" w:rsidP="002337E0">
      <w:pPr>
        <w:pStyle w:val="ListParagraph"/>
        <w:numPr>
          <w:ilvl w:val="0"/>
          <w:numId w:val="1"/>
        </w:numPr>
        <w:spacing w:after="60" w:line="360" w:lineRule="auto"/>
        <w:jc w:val="both"/>
        <w:rPr>
          <w:rFonts w:asciiTheme="majorBidi" w:hAnsiTheme="majorBidi" w:cstheme="majorBidi"/>
          <w:color w:val="000000"/>
          <w:lang w:val="id-ID"/>
        </w:rPr>
      </w:pPr>
      <w:r w:rsidRPr="007631E5">
        <w:rPr>
          <w:rFonts w:asciiTheme="majorBidi" w:hAnsiTheme="majorBidi" w:cstheme="majorBidi"/>
          <w:color w:val="000000"/>
          <w:lang w:val="id-ID"/>
        </w:rPr>
        <w:lastRenderedPageBreak/>
        <w:t>The Role of the Village Community Empowerment Institution in Improving Community Welfare in Siuhom Village</w:t>
      </w:r>
    </w:p>
    <w:p w:rsidR="002B5109" w:rsidRPr="007631E5" w:rsidRDefault="002B5109" w:rsidP="002337E0">
      <w:pPr>
        <w:pStyle w:val="ListParagraph"/>
        <w:spacing w:after="60" w:line="360" w:lineRule="auto"/>
        <w:ind w:left="360" w:firstLine="360"/>
        <w:jc w:val="both"/>
        <w:rPr>
          <w:rFonts w:asciiTheme="majorBidi" w:hAnsiTheme="majorBidi" w:cstheme="majorBidi"/>
          <w:color w:val="000000"/>
          <w:lang w:val="id-ID"/>
        </w:rPr>
      </w:pPr>
      <w:r w:rsidRPr="007631E5">
        <w:rPr>
          <w:rFonts w:asciiTheme="majorBidi" w:hAnsiTheme="majorBidi" w:cstheme="majorBidi"/>
          <w:color w:val="000000"/>
          <w:lang w:val="id-ID"/>
        </w:rPr>
        <w:t>Based on the analysis of the research conducted through several interviews and direct observations, the role of the LPMD in improving community welfare in Siuhom village encompasses various fields such as education, population (human resource development), health, community empowerment, and other facilities and infrastructure.</w:t>
      </w:r>
    </w:p>
    <w:p w:rsidR="002337E0" w:rsidRPr="007631E5" w:rsidRDefault="002337E0" w:rsidP="002337E0">
      <w:pPr>
        <w:pStyle w:val="ListParagraph"/>
        <w:numPr>
          <w:ilvl w:val="0"/>
          <w:numId w:val="2"/>
        </w:numPr>
        <w:spacing w:after="60" w:line="360" w:lineRule="auto"/>
        <w:jc w:val="both"/>
        <w:rPr>
          <w:rFonts w:asciiTheme="majorBidi" w:hAnsiTheme="majorBidi" w:cstheme="majorBidi"/>
          <w:color w:val="000000"/>
          <w:lang w:val="id-ID"/>
        </w:rPr>
      </w:pPr>
      <w:r w:rsidRPr="007631E5">
        <w:rPr>
          <w:rFonts w:asciiTheme="majorBidi" w:hAnsiTheme="majorBidi" w:cstheme="majorBidi"/>
          <w:color w:val="000000"/>
          <w:lang w:val="id-ID"/>
        </w:rPr>
        <w:t>Education Field</w:t>
      </w:r>
    </w:p>
    <w:p w:rsidR="002337E0" w:rsidRPr="007631E5" w:rsidRDefault="002B5109" w:rsidP="002337E0">
      <w:pPr>
        <w:pStyle w:val="ListParagraph"/>
        <w:spacing w:after="60" w:line="360" w:lineRule="auto"/>
        <w:ind w:firstLine="720"/>
        <w:jc w:val="both"/>
        <w:rPr>
          <w:rFonts w:asciiTheme="majorBidi" w:hAnsiTheme="majorBidi" w:cstheme="majorBidi"/>
          <w:color w:val="000000"/>
          <w:lang w:val="id-ID"/>
        </w:rPr>
      </w:pPr>
      <w:r w:rsidRPr="007631E5">
        <w:rPr>
          <w:rFonts w:asciiTheme="majorBidi" w:hAnsiTheme="majorBidi" w:cstheme="majorBidi"/>
          <w:color w:val="000000"/>
          <w:lang w:val="id-ID"/>
        </w:rPr>
        <w:t>In the field of education, the village government and LPMD have made efforts to build or empower the community to improve the quality of human resources in Siuhom village. Efforts in the field of education include constructing facilities for elementary schools, Madrasah Diniyah Awaliyah, and Quranic Education Centers. This is one of the activities undertaken by the village government to empower the community, especially children, through education. This is similar to activities carried out in various regions, as researched by Bayu et al. (Laksono &amp; Rohmah, n.d.).</w:t>
      </w:r>
    </w:p>
    <w:p w:rsidR="002337E0" w:rsidRPr="007631E5" w:rsidRDefault="002B5109" w:rsidP="002337E0">
      <w:pPr>
        <w:pStyle w:val="ListParagraph"/>
        <w:numPr>
          <w:ilvl w:val="0"/>
          <w:numId w:val="2"/>
        </w:numPr>
        <w:spacing w:after="60" w:line="360" w:lineRule="auto"/>
        <w:jc w:val="both"/>
        <w:rPr>
          <w:rFonts w:asciiTheme="majorBidi" w:hAnsiTheme="majorBidi" w:cstheme="majorBidi"/>
          <w:color w:val="000000"/>
          <w:lang w:val="id-ID"/>
        </w:rPr>
      </w:pPr>
      <w:r w:rsidRPr="007631E5">
        <w:rPr>
          <w:rFonts w:asciiTheme="majorBidi" w:hAnsiTheme="majorBidi" w:cstheme="majorBidi"/>
          <w:color w:val="000000"/>
          <w:lang w:val="id-ID"/>
        </w:rPr>
        <w:t>Population Field</w:t>
      </w:r>
    </w:p>
    <w:p w:rsidR="002337E0" w:rsidRPr="007631E5" w:rsidRDefault="002B5109" w:rsidP="002337E0">
      <w:pPr>
        <w:pStyle w:val="ListParagraph"/>
        <w:spacing w:after="60" w:line="360" w:lineRule="auto"/>
        <w:ind w:firstLine="720"/>
        <w:jc w:val="both"/>
        <w:rPr>
          <w:rFonts w:asciiTheme="majorBidi" w:hAnsiTheme="majorBidi" w:cstheme="majorBidi"/>
          <w:color w:val="000000"/>
          <w:lang w:val="id-ID"/>
        </w:rPr>
      </w:pPr>
      <w:r w:rsidRPr="007631E5">
        <w:rPr>
          <w:rFonts w:asciiTheme="majorBidi" w:hAnsiTheme="majorBidi" w:cstheme="majorBidi"/>
          <w:color w:val="000000"/>
          <w:lang w:val="id-ID"/>
        </w:rPr>
        <w:t>In the population field, based on the population data of Siuhom village, 80% of the people are farmers or plantation workers, while the rest are private employees, traders, students, civil servants, and temporary workers. In this field, efforts made by the LPMD and the village government to improve the community's economic welfare include allocating village funds to enhance the community's economy and reduce poverty in Siuhom village. This includes training on making manure and organic fertilizer, providing superior seed assistance for rice plants, and improving access roads to agricultural and plantation locations.</w:t>
      </w:r>
    </w:p>
    <w:p w:rsidR="002337E0" w:rsidRPr="007631E5" w:rsidRDefault="002337E0" w:rsidP="002337E0">
      <w:pPr>
        <w:pStyle w:val="ListParagraph"/>
        <w:spacing w:after="60" w:line="360" w:lineRule="auto"/>
        <w:ind w:firstLine="720"/>
        <w:jc w:val="both"/>
        <w:rPr>
          <w:rFonts w:asciiTheme="majorBidi" w:hAnsiTheme="majorBidi" w:cstheme="majorBidi"/>
          <w:color w:val="000000"/>
          <w:lang w:val="id-ID"/>
        </w:rPr>
      </w:pPr>
    </w:p>
    <w:p w:rsidR="002337E0" w:rsidRPr="007631E5" w:rsidRDefault="002337E0" w:rsidP="002337E0">
      <w:pPr>
        <w:pStyle w:val="ListParagraph"/>
        <w:spacing w:after="60" w:line="360" w:lineRule="auto"/>
        <w:ind w:firstLine="720"/>
        <w:jc w:val="both"/>
        <w:rPr>
          <w:rFonts w:asciiTheme="majorBidi" w:hAnsiTheme="majorBidi" w:cstheme="majorBidi"/>
          <w:color w:val="000000"/>
          <w:lang w:val="id-ID"/>
        </w:rPr>
      </w:pPr>
    </w:p>
    <w:p w:rsidR="002337E0" w:rsidRPr="007631E5" w:rsidRDefault="002337E0" w:rsidP="002337E0">
      <w:pPr>
        <w:pStyle w:val="ListParagraph"/>
        <w:spacing w:after="60" w:line="360" w:lineRule="auto"/>
        <w:ind w:firstLine="720"/>
        <w:jc w:val="both"/>
        <w:rPr>
          <w:rFonts w:asciiTheme="majorBidi" w:hAnsiTheme="majorBidi" w:cstheme="majorBidi"/>
          <w:color w:val="000000"/>
          <w:lang w:val="id-ID"/>
        </w:rPr>
      </w:pPr>
    </w:p>
    <w:p w:rsidR="002337E0" w:rsidRPr="007631E5" w:rsidRDefault="002337E0" w:rsidP="002337E0">
      <w:pPr>
        <w:pStyle w:val="ListParagraph"/>
        <w:numPr>
          <w:ilvl w:val="0"/>
          <w:numId w:val="2"/>
        </w:numPr>
        <w:spacing w:after="60" w:line="360" w:lineRule="auto"/>
        <w:jc w:val="both"/>
        <w:rPr>
          <w:rFonts w:asciiTheme="majorBidi" w:hAnsiTheme="majorBidi" w:cstheme="majorBidi"/>
          <w:color w:val="000000"/>
          <w:lang w:val="id-ID"/>
        </w:rPr>
      </w:pPr>
      <w:r w:rsidRPr="007631E5">
        <w:rPr>
          <w:rFonts w:asciiTheme="majorBidi" w:hAnsiTheme="majorBidi" w:cstheme="majorBidi"/>
          <w:color w:val="000000"/>
          <w:lang w:val="id-ID"/>
        </w:rPr>
        <w:t>Health Field</w:t>
      </w:r>
    </w:p>
    <w:p w:rsidR="002337E0" w:rsidRPr="007631E5" w:rsidRDefault="002B5109" w:rsidP="002337E0">
      <w:pPr>
        <w:pStyle w:val="ListParagraph"/>
        <w:spacing w:after="60" w:line="360" w:lineRule="auto"/>
        <w:ind w:firstLine="720"/>
        <w:jc w:val="both"/>
        <w:rPr>
          <w:rFonts w:asciiTheme="majorBidi" w:hAnsiTheme="majorBidi" w:cstheme="majorBidi"/>
          <w:color w:val="000000"/>
          <w:lang w:val="id-ID"/>
        </w:rPr>
      </w:pPr>
      <w:r w:rsidRPr="007631E5">
        <w:rPr>
          <w:rFonts w:asciiTheme="majorBidi" w:hAnsiTheme="majorBidi" w:cstheme="majorBidi"/>
          <w:color w:val="000000"/>
          <w:lang w:val="id-ID"/>
        </w:rPr>
        <w:t xml:space="preserve">In the health field, the primary target of health promotion is empowerment. Community empowerment is crucial to ensure that the community, as the primary target, has the will and ability to maintain and improve health (Endang Maryanti, Indah Anggraini &amp; Fahmashufyani, 2023). In the health field, efforts made by the </w:t>
      </w:r>
      <w:r w:rsidRPr="007631E5">
        <w:rPr>
          <w:rFonts w:asciiTheme="majorBidi" w:hAnsiTheme="majorBidi" w:cstheme="majorBidi"/>
          <w:color w:val="000000"/>
          <w:lang w:val="id-ID"/>
        </w:rPr>
        <w:lastRenderedPageBreak/>
        <w:t>LPMD include proposing training for cadres who will work at posyandu and suggesting the establishment of a health center in Siuhom Village.</w:t>
      </w:r>
    </w:p>
    <w:p w:rsidR="002337E0" w:rsidRPr="007631E5" w:rsidRDefault="002B5109" w:rsidP="002337E0">
      <w:pPr>
        <w:pStyle w:val="ListParagraph"/>
        <w:numPr>
          <w:ilvl w:val="0"/>
          <w:numId w:val="2"/>
        </w:numPr>
        <w:spacing w:after="60" w:line="360" w:lineRule="auto"/>
        <w:jc w:val="both"/>
        <w:rPr>
          <w:rFonts w:asciiTheme="majorBidi" w:hAnsiTheme="majorBidi" w:cstheme="majorBidi"/>
          <w:color w:val="000000"/>
          <w:lang w:val="id-ID"/>
        </w:rPr>
      </w:pPr>
      <w:r w:rsidRPr="007631E5">
        <w:rPr>
          <w:rFonts w:asciiTheme="majorBidi" w:hAnsiTheme="majorBidi" w:cstheme="majorBidi"/>
          <w:color w:val="000000"/>
          <w:lang w:val="id-ID"/>
        </w:rPr>
        <w:t>Community Empowerment Field</w:t>
      </w:r>
    </w:p>
    <w:p w:rsidR="002337E0" w:rsidRPr="007631E5" w:rsidRDefault="002B5109" w:rsidP="002337E0">
      <w:pPr>
        <w:pStyle w:val="ListParagraph"/>
        <w:spacing w:after="60" w:line="360" w:lineRule="auto"/>
        <w:ind w:firstLine="720"/>
        <w:jc w:val="both"/>
        <w:rPr>
          <w:rFonts w:asciiTheme="majorBidi" w:hAnsiTheme="majorBidi" w:cstheme="majorBidi"/>
          <w:color w:val="000000"/>
          <w:lang w:val="id-ID"/>
        </w:rPr>
      </w:pPr>
      <w:r w:rsidRPr="007631E5">
        <w:rPr>
          <w:rFonts w:asciiTheme="majorBidi" w:hAnsiTheme="majorBidi" w:cstheme="majorBidi"/>
          <w:color w:val="000000"/>
          <w:lang w:val="id-ID"/>
        </w:rPr>
        <w:t>The concept of empowerment emerges from activities and efforts to strengthen social capital within a group or community. In sociological and social science studies, these efforts are known as community empowerment (Mursalim et al., 2023). Community empowerment is the effort to enhance the dignity of certain groups living in poverty and backwardness (Nasution &amp; Harahap, 2023).</w:t>
      </w:r>
    </w:p>
    <w:p w:rsidR="002337E0" w:rsidRPr="007631E5" w:rsidRDefault="002B5109" w:rsidP="002337E0">
      <w:pPr>
        <w:pStyle w:val="ListParagraph"/>
        <w:spacing w:after="60" w:line="360" w:lineRule="auto"/>
        <w:ind w:firstLine="720"/>
        <w:jc w:val="both"/>
        <w:rPr>
          <w:rFonts w:asciiTheme="majorBidi" w:hAnsiTheme="majorBidi" w:cstheme="majorBidi"/>
          <w:color w:val="000000"/>
          <w:lang w:val="id-ID"/>
        </w:rPr>
      </w:pPr>
      <w:r w:rsidRPr="007631E5">
        <w:rPr>
          <w:rFonts w:asciiTheme="majorBidi" w:hAnsiTheme="majorBidi" w:cstheme="majorBidi"/>
          <w:color w:val="000000"/>
          <w:lang w:val="id-ID"/>
        </w:rPr>
        <w:t>These efforts aim to build community capabilities by encouraging, motivating, and raising their awareness, as well as developing their potential. The concept of empowerment essentially involves the transfer of power through the strengthening of social capital within community groups, making them more productive and avoiding less productive habits (Widani &amp; Bali, 2022).</w:t>
      </w:r>
    </w:p>
    <w:p w:rsidR="002B5109" w:rsidRPr="007631E5" w:rsidRDefault="002B5109" w:rsidP="002337E0">
      <w:pPr>
        <w:pStyle w:val="ListParagraph"/>
        <w:spacing w:after="60" w:line="360" w:lineRule="auto"/>
        <w:ind w:firstLine="720"/>
        <w:jc w:val="both"/>
        <w:rPr>
          <w:rFonts w:asciiTheme="majorBidi" w:hAnsiTheme="majorBidi" w:cstheme="majorBidi"/>
          <w:color w:val="000000"/>
          <w:lang w:val="id-ID"/>
        </w:rPr>
      </w:pPr>
      <w:r w:rsidRPr="007631E5">
        <w:rPr>
          <w:rFonts w:asciiTheme="majorBidi" w:hAnsiTheme="majorBidi" w:cstheme="majorBidi"/>
          <w:color w:val="000000"/>
          <w:lang w:val="id-ID"/>
        </w:rPr>
        <w:t>The community empowerment field in this research refers to forming livestock groups and conducting training on making organic fertilizer and manure to improve the community's economy. This is consistent with activities in other regions, as noted by A. Nalhadi et al. in the journal "Community Service," where organic fertilizer production helps improve community welfare, especially for housewives who do not have jobs (Nalhadi et al., 2020).</w:t>
      </w:r>
    </w:p>
    <w:p w:rsidR="002B5109" w:rsidRPr="007631E5" w:rsidRDefault="002B5109">
      <w:pPr>
        <w:spacing w:after="60" w:line="360" w:lineRule="auto"/>
        <w:ind w:firstLine="720"/>
        <w:jc w:val="both"/>
        <w:rPr>
          <w:rFonts w:asciiTheme="majorBidi" w:hAnsiTheme="majorBidi" w:cstheme="majorBidi"/>
          <w:color w:val="000000"/>
          <w:sz w:val="24"/>
          <w:szCs w:val="24"/>
          <w:lang w:val="id-ID"/>
        </w:rPr>
      </w:pPr>
    </w:p>
    <w:p w:rsidR="005551D3" w:rsidRPr="007631E5" w:rsidRDefault="008F0713">
      <w:pPr>
        <w:spacing w:after="60" w:line="360" w:lineRule="auto"/>
        <w:jc w:val="both"/>
        <w:rPr>
          <w:rFonts w:asciiTheme="majorBidi" w:hAnsiTheme="majorBidi" w:cstheme="majorBidi"/>
          <w:color w:val="000000"/>
          <w:sz w:val="24"/>
          <w:szCs w:val="24"/>
        </w:rPr>
      </w:pPr>
      <w:r w:rsidRPr="007631E5">
        <w:rPr>
          <w:rFonts w:asciiTheme="majorBidi" w:hAnsiTheme="majorBidi" w:cstheme="majorBidi"/>
          <w:b/>
          <w:color w:val="000000"/>
          <w:sz w:val="24"/>
          <w:szCs w:val="24"/>
        </w:rPr>
        <w:t xml:space="preserve">CONCLUSION </w:t>
      </w:r>
    </w:p>
    <w:p w:rsidR="002337E0" w:rsidRPr="007631E5" w:rsidRDefault="002337E0" w:rsidP="002337E0">
      <w:pPr>
        <w:spacing w:after="60" w:line="360" w:lineRule="auto"/>
        <w:ind w:firstLine="720"/>
        <w:jc w:val="both"/>
        <w:rPr>
          <w:rFonts w:asciiTheme="majorBidi" w:hAnsiTheme="majorBidi" w:cstheme="majorBidi"/>
          <w:color w:val="000000"/>
          <w:sz w:val="24"/>
          <w:szCs w:val="24"/>
        </w:rPr>
      </w:pPr>
      <w:r w:rsidRPr="007631E5">
        <w:rPr>
          <w:rFonts w:asciiTheme="majorBidi" w:hAnsiTheme="majorBidi" w:cstheme="majorBidi"/>
          <w:color w:val="000000"/>
          <w:sz w:val="24"/>
          <w:szCs w:val="24"/>
        </w:rPr>
        <w:t xml:space="preserve">Based on the results and analysis conducted by the researchers regarding the role of the Village Community Empowerment Institution (LPMD) in improving community welfare in </w:t>
      </w:r>
      <w:proofErr w:type="spellStart"/>
      <w:r w:rsidRPr="007631E5">
        <w:rPr>
          <w:rFonts w:asciiTheme="majorBidi" w:hAnsiTheme="majorBidi" w:cstheme="majorBidi"/>
          <w:color w:val="000000"/>
          <w:sz w:val="24"/>
          <w:szCs w:val="24"/>
        </w:rPr>
        <w:t>Siuhom</w:t>
      </w:r>
      <w:proofErr w:type="spellEnd"/>
      <w:r w:rsidRPr="007631E5">
        <w:rPr>
          <w:rFonts w:asciiTheme="majorBidi" w:hAnsiTheme="majorBidi" w:cstheme="majorBidi"/>
          <w:color w:val="000000"/>
          <w:sz w:val="24"/>
          <w:szCs w:val="24"/>
        </w:rPr>
        <w:t xml:space="preserve"> Village, </w:t>
      </w:r>
      <w:proofErr w:type="spellStart"/>
      <w:r w:rsidRPr="007631E5">
        <w:rPr>
          <w:rFonts w:asciiTheme="majorBidi" w:hAnsiTheme="majorBidi" w:cstheme="majorBidi"/>
          <w:color w:val="000000"/>
          <w:sz w:val="24"/>
          <w:szCs w:val="24"/>
        </w:rPr>
        <w:t>Angkola</w:t>
      </w:r>
      <w:proofErr w:type="spellEnd"/>
      <w:r w:rsidRPr="007631E5">
        <w:rPr>
          <w:rFonts w:asciiTheme="majorBidi" w:hAnsiTheme="majorBidi" w:cstheme="majorBidi"/>
          <w:color w:val="000000"/>
          <w:sz w:val="24"/>
          <w:szCs w:val="24"/>
        </w:rPr>
        <w:t xml:space="preserve"> Barat </w:t>
      </w:r>
      <w:proofErr w:type="spellStart"/>
      <w:r w:rsidRPr="007631E5">
        <w:rPr>
          <w:rFonts w:asciiTheme="majorBidi" w:hAnsiTheme="majorBidi" w:cstheme="majorBidi"/>
          <w:color w:val="000000"/>
          <w:sz w:val="24"/>
          <w:szCs w:val="24"/>
        </w:rPr>
        <w:t>Subdistrict</w:t>
      </w:r>
      <w:proofErr w:type="spellEnd"/>
      <w:r w:rsidRPr="007631E5">
        <w:rPr>
          <w:rFonts w:asciiTheme="majorBidi" w:hAnsiTheme="majorBidi" w:cstheme="majorBidi"/>
          <w:color w:val="000000"/>
          <w:sz w:val="24"/>
          <w:szCs w:val="24"/>
        </w:rPr>
        <w:t xml:space="preserve">, South </w:t>
      </w:r>
      <w:proofErr w:type="spellStart"/>
      <w:r w:rsidRPr="007631E5">
        <w:rPr>
          <w:rFonts w:asciiTheme="majorBidi" w:hAnsiTheme="majorBidi" w:cstheme="majorBidi"/>
          <w:color w:val="000000"/>
          <w:sz w:val="24"/>
          <w:szCs w:val="24"/>
        </w:rPr>
        <w:t>Tapanuli</w:t>
      </w:r>
      <w:proofErr w:type="spellEnd"/>
      <w:r w:rsidRPr="007631E5">
        <w:rPr>
          <w:rFonts w:asciiTheme="majorBidi" w:hAnsiTheme="majorBidi" w:cstheme="majorBidi"/>
          <w:color w:val="000000"/>
          <w:sz w:val="24"/>
          <w:szCs w:val="24"/>
        </w:rPr>
        <w:t xml:space="preserve"> Regency, the following conclusions can be </w:t>
      </w:r>
      <w:proofErr w:type="gramStart"/>
      <w:r w:rsidRPr="007631E5">
        <w:rPr>
          <w:rFonts w:asciiTheme="majorBidi" w:hAnsiTheme="majorBidi" w:cstheme="majorBidi"/>
          <w:color w:val="000000"/>
          <w:sz w:val="24"/>
          <w:szCs w:val="24"/>
        </w:rPr>
        <w:t>drawn</w:t>
      </w:r>
      <w:r w:rsidRPr="007631E5">
        <w:rPr>
          <w:rFonts w:asciiTheme="majorBidi" w:hAnsiTheme="majorBidi" w:cstheme="majorBidi"/>
          <w:color w:val="000000"/>
          <w:sz w:val="24"/>
          <w:szCs w:val="24"/>
          <w:lang w:val="id-ID"/>
        </w:rPr>
        <w:t xml:space="preserve"> </w:t>
      </w:r>
      <w:r w:rsidRPr="007631E5">
        <w:rPr>
          <w:rFonts w:asciiTheme="majorBidi" w:hAnsiTheme="majorBidi" w:cstheme="majorBidi"/>
          <w:color w:val="000000"/>
          <w:sz w:val="24"/>
          <w:szCs w:val="24"/>
        </w:rPr>
        <w:t>:</w:t>
      </w:r>
      <w:proofErr w:type="gramEnd"/>
    </w:p>
    <w:p w:rsidR="002337E0" w:rsidRPr="007631E5" w:rsidRDefault="002337E0" w:rsidP="002337E0">
      <w:pPr>
        <w:pStyle w:val="ListParagraph"/>
        <w:numPr>
          <w:ilvl w:val="0"/>
          <w:numId w:val="3"/>
        </w:numPr>
        <w:spacing w:after="60" w:line="360" w:lineRule="auto"/>
        <w:jc w:val="both"/>
        <w:rPr>
          <w:rFonts w:asciiTheme="majorBidi" w:hAnsiTheme="majorBidi" w:cstheme="majorBidi"/>
          <w:color w:val="000000"/>
        </w:rPr>
      </w:pPr>
      <w:r w:rsidRPr="007631E5">
        <w:rPr>
          <w:rFonts w:asciiTheme="majorBidi" w:hAnsiTheme="majorBidi" w:cstheme="majorBidi"/>
          <w:color w:val="000000"/>
          <w:lang w:val="id-ID"/>
        </w:rPr>
        <w:t>T</w:t>
      </w:r>
      <w:r w:rsidRPr="007631E5">
        <w:rPr>
          <w:rFonts w:asciiTheme="majorBidi" w:hAnsiTheme="majorBidi" w:cstheme="majorBidi"/>
          <w:color w:val="000000"/>
        </w:rPr>
        <w:t xml:space="preserve">he management of the Village Community Empowerment Institution in </w:t>
      </w:r>
      <w:proofErr w:type="spellStart"/>
      <w:r w:rsidRPr="007631E5">
        <w:rPr>
          <w:rFonts w:asciiTheme="majorBidi" w:hAnsiTheme="majorBidi" w:cstheme="majorBidi"/>
          <w:color w:val="000000"/>
        </w:rPr>
        <w:t>Siuhom</w:t>
      </w:r>
      <w:proofErr w:type="spellEnd"/>
      <w:r w:rsidRPr="007631E5">
        <w:rPr>
          <w:rFonts w:asciiTheme="majorBidi" w:hAnsiTheme="majorBidi" w:cstheme="majorBidi"/>
          <w:color w:val="000000"/>
        </w:rPr>
        <w:t xml:space="preserve"> Village has performed well in fulfilling its duties and roles as an institution that assists the village government in efforts to improve community welfare. Essentially, the LPMD in </w:t>
      </w:r>
      <w:proofErr w:type="spellStart"/>
      <w:r w:rsidRPr="007631E5">
        <w:rPr>
          <w:rFonts w:asciiTheme="majorBidi" w:hAnsiTheme="majorBidi" w:cstheme="majorBidi"/>
          <w:color w:val="000000"/>
        </w:rPr>
        <w:t>Siuhom</w:t>
      </w:r>
      <w:proofErr w:type="spellEnd"/>
      <w:r w:rsidRPr="007631E5">
        <w:rPr>
          <w:rFonts w:asciiTheme="majorBidi" w:hAnsiTheme="majorBidi" w:cstheme="majorBidi"/>
          <w:color w:val="000000"/>
        </w:rPr>
        <w:t xml:space="preserve"> Village has carried out its responsibilities as a partner aiding the village government in enhancing village development. However, there are still some shortcomings among a few LPMD management members in properly executing their management roles, such as mobilizing the community to participate in mutual cooperation activities.</w:t>
      </w:r>
    </w:p>
    <w:p w:rsidR="002337E0" w:rsidRPr="007631E5" w:rsidRDefault="002337E0" w:rsidP="002337E0">
      <w:pPr>
        <w:pStyle w:val="ListParagraph"/>
        <w:numPr>
          <w:ilvl w:val="0"/>
          <w:numId w:val="3"/>
        </w:numPr>
        <w:spacing w:after="60" w:line="360" w:lineRule="auto"/>
        <w:jc w:val="both"/>
        <w:rPr>
          <w:rFonts w:asciiTheme="majorBidi" w:hAnsiTheme="majorBidi" w:cstheme="majorBidi"/>
          <w:color w:val="000000"/>
        </w:rPr>
      </w:pPr>
      <w:r w:rsidRPr="007631E5">
        <w:rPr>
          <w:rFonts w:asciiTheme="majorBidi" w:hAnsiTheme="majorBidi" w:cstheme="majorBidi"/>
          <w:color w:val="000000"/>
        </w:rPr>
        <w:lastRenderedPageBreak/>
        <w:t xml:space="preserve">The roles undertaken by the Village Community Empowerment Institution in improving community welfare in </w:t>
      </w:r>
      <w:proofErr w:type="spellStart"/>
      <w:r w:rsidRPr="007631E5">
        <w:rPr>
          <w:rFonts w:asciiTheme="majorBidi" w:hAnsiTheme="majorBidi" w:cstheme="majorBidi"/>
          <w:color w:val="000000"/>
        </w:rPr>
        <w:t>Siuhom</w:t>
      </w:r>
      <w:proofErr w:type="spellEnd"/>
      <w:r w:rsidRPr="007631E5">
        <w:rPr>
          <w:rFonts w:asciiTheme="majorBidi" w:hAnsiTheme="majorBidi" w:cstheme="majorBidi"/>
          <w:color w:val="000000"/>
        </w:rPr>
        <w:t xml:space="preserve"> Village are as follows</w:t>
      </w:r>
      <w:r w:rsidRPr="007631E5">
        <w:rPr>
          <w:rFonts w:asciiTheme="majorBidi" w:hAnsiTheme="majorBidi" w:cstheme="majorBidi"/>
          <w:color w:val="000000"/>
          <w:lang w:val="id-ID"/>
        </w:rPr>
        <w:t xml:space="preserve"> </w:t>
      </w:r>
      <w:r w:rsidRPr="007631E5">
        <w:rPr>
          <w:rFonts w:asciiTheme="majorBidi" w:hAnsiTheme="majorBidi" w:cstheme="majorBidi"/>
          <w:color w:val="000000"/>
        </w:rPr>
        <w:t>:</w:t>
      </w:r>
    </w:p>
    <w:p w:rsidR="002337E0" w:rsidRPr="007631E5" w:rsidRDefault="002337E0" w:rsidP="002337E0">
      <w:pPr>
        <w:pStyle w:val="ListParagraph"/>
        <w:numPr>
          <w:ilvl w:val="0"/>
          <w:numId w:val="4"/>
        </w:numPr>
        <w:spacing w:after="60" w:line="360" w:lineRule="auto"/>
        <w:jc w:val="both"/>
        <w:rPr>
          <w:rFonts w:asciiTheme="majorBidi" w:hAnsiTheme="majorBidi" w:cstheme="majorBidi"/>
          <w:color w:val="000000"/>
          <w:lang w:val="id-ID"/>
        </w:rPr>
      </w:pPr>
      <w:r w:rsidRPr="007631E5">
        <w:rPr>
          <w:rFonts w:asciiTheme="majorBidi" w:hAnsiTheme="majorBidi" w:cstheme="majorBidi"/>
          <w:color w:val="000000"/>
        </w:rPr>
        <w:t>In the field of education, they proposed the construction or renovation of educational facilities and provided equipment to support education.</w:t>
      </w:r>
    </w:p>
    <w:p w:rsidR="002337E0" w:rsidRPr="007631E5" w:rsidRDefault="002337E0" w:rsidP="002337E0">
      <w:pPr>
        <w:pStyle w:val="ListParagraph"/>
        <w:numPr>
          <w:ilvl w:val="0"/>
          <w:numId w:val="4"/>
        </w:numPr>
        <w:spacing w:after="60" w:line="360" w:lineRule="auto"/>
        <w:jc w:val="both"/>
        <w:rPr>
          <w:rFonts w:asciiTheme="majorBidi" w:hAnsiTheme="majorBidi" w:cstheme="majorBidi"/>
          <w:color w:val="000000"/>
          <w:lang w:val="id-ID"/>
        </w:rPr>
      </w:pPr>
      <w:r w:rsidRPr="007631E5">
        <w:rPr>
          <w:rFonts w:asciiTheme="majorBidi" w:hAnsiTheme="majorBidi" w:cstheme="majorBidi"/>
          <w:color w:val="000000"/>
        </w:rPr>
        <w:t>In the field of population (human resource development), they conducted training and outreach to the community to increase agricultural productivity and built road infrastructure to facilitate and accelerate the economic development process.</w:t>
      </w:r>
    </w:p>
    <w:p w:rsidR="002337E0" w:rsidRPr="007631E5" w:rsidRDefault="002337E0" w:rsidP="002337E0">
      <w:pPr>
        <w:pStyle w:val="ListParagraph"/>
        <w:numPr>
          <w:ilvl w:val="0"/>
          <w:numId w:val="4"/>
        </w:numPr>
        <w:spacing w:after="60" w:line="360" w:lineRule="auto"/>
        <w:jc w:val="both"/>
        <w:rPr>
          <w:rFonts w:asciiTheme="majorBidi" w:hAnsiTheme="majorBidi" w:cstheme="majorBidi"/>
          <w:color w:val="000000"/>
          <w:lang w:val="id-ID"/>
        </w:rPr>
      </w:pPr>
      <w:r w:rsidRPr="007631E5">
        <w:rPr>
          <w:rFonts w:asciiTheme="majorBidi" w:hAnsiTheme="majorBidi" w:cstheme="majorBidi"/>
          <w:color w:val="000000"/>
        </w:rPr>
        <w:t xml:space="preserve">In the health field, they proposed training for cadres who will manage </w:t>
      </w:r>
      <w:proofErr w:type="spellStart"/>
      <w:r w:rsidRPr="007631E5">
        <w:rPr>
          <w:rFonts w:asciiTheme="majorBidi" w:hAnsiTheme="majorBidi" w:cstheme="majorBidi"/>
          <w:color w:val="000000"/>
        </w:rPr>
        <w:t>posyandu</w:t>
      </w:r>
      <w:proofErr w:type="spellEnd"/>
      <w:r w:rsidRPr="007631E5">
        <w:rPr>
          <w:rFonts w:asciiTheme="majorBidi" w:hAnsiTheme="majorBidi" w:cstheme="majorBidi"/>
          <w:color w:val="000000"/>
        </w:rPr>
        <w:t xml:space="preserve"> and suggested the establishment of a health center in </w:t>
      </w:r>
      <w:proofErr w:type="spellStart"/>
      <w:r w:rsidRPr="007631E5">
        <w:rPr>
          <w:rFonts w:asciiTheme="majorBidi" w:hAnsiTheme="majorBidi" w:cstheme="majorBidi"/>
          <w:color w:val="000000"/>
        </w:rPr>
        <w:t>Siuhom</w:t>
      </w:r>
      <w:proofErr w:type="spellEnd"/>
      <w:r w:rsidRPr="007631E5">
        <w:rPr>
          <w:rFonts w:asciiTheme="majorBidi" w:hAnsiTheme="majorBidi" w:cstheme="majorBidi"/>
          <w:color w:val="000000"/>
        </w:rPr>
        <w:t xml:space="preserve"> Village.</w:t>
      </w:r>
    </w:p>
    <w:p w:rsidR="005551D3" w:rsidRPr="007631E5" w:rsidRDefault="002337E0" w:rsidP="002337E0">
      <w:pPr>
        <w:pStyle w:val="ListParagraph"/>
        <w:numPr>
          <w:ilvl w:val="0"/>
          <w:numId w:val="4"/>
        </w:numPr>
        <w:spacing w:after="60" w:line="360" w:lineRule="auto"/>
        <w:jc w:val="both"/>
        <w:rPr>
          <w:rFonts w:asciiTheme="majorBidi" w:hAnsiTheme="majorBidi" w:cstheme="majorBidi"/>
          <w:color w:val="000000"/>
          <w:lang w:val="id-ID"/>
        </w:rPr>
      </w:pPr>
      <w:r w:rsidRPr="007631E5">
        <w:rPr>
          <w:rFonts w:asciiTheme="majorBidi" w:hAnsiTheme="majorBidi" w:cstheme="majorBidi"/>
          <w:color w:val="000000"/>
        </w:rPr>
        <w:t>In the field of community empowerment, they formed livestock groups and conducted training on making organic fertilizer and manure to enhance the community's economy.</w:t>
      </w:r>
    </w:p>
    <w:p w:rsidR="005551D3" w:rsidRPr="007631E5" w:rsidRDefault="008F0713">
      <w:pPr>
        <w:spacing w:after="60" w:line="360" w:lineRule="auto"/>
        <w:jc w:val="both"/>
        <w:rPr>
          <w:rFonts w:asciiTheme="majorBidi" w:hAnsiTheme="majorBidi" w:cstheme="majorBidi"/>
          <w:color w:val="000000"/>
          <w:sz w:val="24"/>
          <w:szCs w:val="24"/>
        </w:rPr>
      </w:pPr>
      <w:r w:rsidRPr="007631E5">
        <w:rPr>
          <w:rFonts w:asciiTheme="majorBidi" w:hAnsiTheme="majorBidi" w:cstheme="majorBidi"/>
          <w:b/>
          <w:color w:val="000000"/>
          <w:sz w:val="24"/>
          <w:szCs w:val="24"/>
        </w:rPr>
        <w:t>REFERENCES</w:t>
      </w:r>
    </w:p>
    <w:p w:rsidR="005551D3" w:rsidRPr="007631E5" w:rsidRDefault="008F0713">
      <w:pPr>
        <w:spacing w:after="60" w:line="360" w:lineRule="auto"/>
        <w:ind w:left="720" w:hanging="720"/>
        <w:jc w:val="both"/>
        <w:rPr>
          <w:rFonts w:asciiTheme="majorBidi" w:hAnsiTheme="majorBidi" w:cstheme="majorBidi"/>
          <w:color w:val="000000"/>
          <w:sz w:val="24"/>
          <w:szCs w:val="24"/>
        </w:rPr>
      </w:pPr>
      <w:r w:rsidRPr="007631E5">
        <w:rPr>
          <w:rFonts w:asciiTheme="majorBidi" w:hAnsiTheme="majorBidi" w:cstheme="majorBidi"/>
          <w:b/>
          <w:color w:val="000000"/>
          <w:sz w:val="24"/>
          <w:szCs w:val="24"/>
        </w:rPr>
        <w:t>Scientific Journal Articles</w:t>
      </w:r>
    </w:p>
    <w:p w:rsidR="00926264" w:rsidRPr="007631E5" w:rsidRDefault="00926264" w:rsidP="00926264">
      <w:pPr>
        <w:widowControl w:val="0"/>
        <w:autoSpaceDE w:val="0"/>
        <w:autoSpaceDN w:val="0"/>
        <w:adjustRightInd w:val="0"/>
        <w:spacing w:after="120" w:line="360" w:lineRule="auto"/>
        <w:ind w:left="480" w:hanging="480"/>
        <w:jc w:val="both"/>
        <w:rPr>
          <w:rFonts w:asciiTheme="majorBidi" w:hAnsiTheme="majorBidi" w:cstheme="majorBidi"/>
          <w:noProof/>
          <w:sz w:val="24"/>
          <w:szCs w:val="24"/>
          <w:lang w:val="id-ID"/>
        </w:rPr>
      </w:pPr>
      <w:r w:rsidRPr="007631E5">
        <w:rPr>
          <w:rFonts w:asciiTheme="majorBidi" w:hAnsiTheme="majorBidi" w:cstheme="majorBidi"/>
          <w:noProof/>
          <w:sz w:val="24"/>
          <w:szCs w:val="24"/>
        </w:rPr>
        <w:t xml:space="preserve">Adlini, M. N., Dinda, A. H., Yulinda, S., Chotimah, O., &amp; Merliyana, S. J. (2022). Metode Penelitian Kualitatif Studi Pustaka. </w:t>
      </w:r>
      <w:r w:rsidRPr="007631E5">
        <w:rPr>
          <w:rFonts w:asciiTheme="majorBidi" w:hAnsiTheme="majorBidi" w:cstheme="majorBidi"/>
          <w:i/>
          <w:iCs/>
          <w:noProof/>
          <w:sz w:val="24"/>
          <w:szCs w:val="24"/>
        </w:rPr>
        <w:t>Edumaspul: Jurnal Pendidikan</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6</w:t>
      </w:r>
      <w:r w:rsidRPr="007631E5">
        <w:rPr>
          <w:rFonts w:asciiTheme="majorBidi" w:hAnsiTheme="majorBidi" w:cstheme="majorBidi"/>
          <w:noProof/>
          <w:sz w:val="24"/>
          <w:szCs w:val="24"/>
        </w:rPr>
        <w:t xml:space="preserve">(1), 974–980. </w:t>
      </w:r>
      <w:hyperlink r:id="rId10" w:history="1">
        <w:r w:rsidRPr="007631E5">
          <w:rPr>
            <w:rStyle w:val="Hyperlink"/>
            <w:rFonts w:asciiTheme="majorBidi" w:hAnsiTheme="majorBidi" w:cstheme="majorBidi"/>
            <w:noProof/>
            <w:sz w:val="24"/>
            <w:szCs w:val="24"/>
          </w:rPr>
          <w:t>https://doi.org/10.33487/edumaspul.v6i1.3394</w:t>
        </w:r>
      </w:hyperlink>
    </w:p>
    <w:p w:rsidR="00926264" w:rsidRPr="007631E5" w:rsidRDefault="00926264" w:rsidP="00926264">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t xml:space="preserve">Candika, T. A., &amp; Herdiana, D. (2020). </w:t>
      </w:r>
      <w:r w:rsidRPr="007631E5">
        <w:rPr>
          <w:rFonts w:asciiTheme="majorBidi" w:hAnsiTheme="majorBidi" w:cstheme="majorBidi"/>
          <w:i/>
          <w:iCs/>
          <w:noProof/>
          <w:sz w:val="24"/>
          <w:szCs w:val="24"/>
        </w:rPr>
        <w:t>Peran Lembaga Pemberdayaan Masyarakat Desa Dalam Meningkatkan Pembangunan Sanitasi Lingkungan Cisomang Barat</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5</w:t>
      </w:r>
      <w:r w:rsidRPr="007631E5">
        <w:rPr>
          <w:rFonts w:asciiTheme="majorBidi" w:hAnsiTheme="majorBidi" w:cstheme="majorBidi"/>
          <w:noProof/>
          <w:sz w:val="24"/>
          <w:szCs w:val="24"/>
        </w:rPr>
        <w:t>(April), 209–230.</w:t>
      </w:r>
    </w:p>
    <w:p w:rsidR="00926264" w:rsidRPr="007631E5" w:rsidRDefault="00926264" w:rsidP="00926264">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t xml:space="preserve">Dakwah, J., Sosial, P., Vol, K., Syaikh, S., Siddik, A., Belitung, B., Pemerintah, O. P., Masyarakat, P., Tawaran, S., &amp; Kemiskinan, M. (2017). </w:t>
      </w:r>
      <w:r w:rsidRPr="007631E5">
        <w:rPr>
          <w:rFonts w:asciiTheme="majorBidi" w:hAnsiTheme="majorBidi" w:cstheme="majorBidi"/>
          <w:i/>
          <w:iCs/>
          <w:noProof/>
          <w:sz w:val="24"/>
          <w:szCs w:val="24"/>
        </w:rPr>
        <w:t>Optimalisasi Peran Pemerintah dalam Pemberdayaan Masyarakat: Sebuah Tawaran dalam Mengentaskan Kemiskinan</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8</w:t>
      </w:r>
      <w:r w:rsidRPr="007631E5">
        <w:rPr>
          <w:rFonts w:asciiTheme="majorBidi" w:hAnsiTheme="majorBidi" w:cstheme="majorBidi"/>
          <w:noProof/>
          <w:sz w:val="24"/>
          <w:szCs w:val="24"/>
        </w:rPr>
        <w:t>(1), 107–125.</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t xml:space="preserve">Endang Maryanti, Indah Anggraini, S. L., &amp; Fahmashufyani4, M. C. (2023). </w:t>
      </w:r>
      <w:r w:rsidRPr="007631E5">
        <w:rPr>
          <w:rFonts w:asciiTheme="majorBidi" w:hAnsiTheme="majorBidi" w:cstheme="majorBidi"/>
          <w:i/>
          <w:iCs/>
          <w:noProof/>
          <w:sz w:val="24"/>
          <w:szCs w:val="24"/>
        </w:rPr>
        <w:t>STRATEGI PROMOSI KESEHATAN TERHADAP PARTISIPASI MASYARAKAT DALAM PENCEGAHAN DIARE PADA ANAK BALITA</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5</w:t>
      </w:r>
      <w:r w:rsidRPr="007631E5">
        <w:rPr>
          <w:rFonts w:asciiTheme="majorBidi" w:hAnsiTheme="majorBidi" w:cstheme="majorBidi"/>
          <w:noProof/>
          <w:sz w:val="24"/>
          <w:szCs w:val="24"/>
        </w:rPr>
        <w:t>(Rpjmn 2024), 133–142.</w:t>
      </w:r>
    </w:p>
    <w:p w:rsidR="00926264"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lang w:val="id-ID"/>
        </w:rPr>
      </w:pPr>
      <w:r w:rsidRPr="007631E5">
        <w:rPr>
          <w:rFonts w:asciiTheme="majorBidi" w:hAnsiTheme="majorBidi" w:cstheme="majorBidi"/>
          <w:noProof/>
          <w:sz w:val="24"/>
          <w:szCs w:val="24"/>
        </w:rPr>
        <w:t xml:space="preserve">Gagola, L., Sondakh, J., &amp; Warongan, J. (2017). Analisis Faktor-Faktor Yang Mempengaruhi Penyerapan Anggaran Pendapatan Dan Belanja Daerah (Apbd) Pemerintah Kabupaten Kepulauan Talaud. </w:t>
      </w:r>
      <w:r w:rsidRPr="007631E5">
        <w:rPr>
          <w:rFonts w:asciiTheme="majorBidi" w:hAnsiTheme="majorBidi" w:cstheme="majorBidi"/>
          <w:i/>
          <w:iCs/>
          <w:noProof/>
          <w:sz w:val="24"/>
          <w:szCs w:val="24"/>
        </w:rPr>
        <w:t>Jurnal Riset Akuntansi Dan Auditing “Goodwill,”</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8</w:t>
      </w:r>
      <w:r w:rsidRPr="007631E5">
        <w:rPr>
          <w:rFonts w:asciiTheme="majorBidi" w:hAnsiTheme="majorBidi" w:cstheme="majorBidi"/>
          <w:noProof/>
          <w:sz w:val="24"/>
          <w:szCs w:val="24"/>
        </w:rPr>
        <w:t xml:space="preserve">(1), 108–117. </w:t>
      </w:r>
      <w:hyperlink r:id="rId11" w:history="1">
        <w:r w:rsidRPr="007631E5">
          <w:rPr>
            <w:rStyle w:val="Hyperlink"/>
            <w:rFonts w:asciiTheme="majorBidi" w:hAnsiTheme="majorBidi" w:cstheme="majorBidi"/>
            <w:noProof/>
            <w:sz w:val="24"/>
            <w:szCs w:val="24"/>
          </w:rPr>
          <w:t>https://doi.org/10.35800/jjs.v8i1.15330</w:t>
        </w:r>
      </w:hyperlink>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lastRenderedPageBreak/>
        <w:t xml:space="preserve">Hendry Rumengan. (2023). Peranan Lembaga Pemberdayaan Masyarakat Desa dalam Meningkatkan Partisipasi Masyarakat Terhadap Pembangunan di Desa Binalang. </w:t>
      </w:r>
      <w:r w:rsidRPr="007631E5">
        <w:rPr>
          <w:rFonts w:asciiTheme="majorBidi" w:hAnsiTheme="majorBidi" w:cstheme="majorBidi"/>
          <w:i/>
          <w:iCs/>
          <w:noProof/>
          <w:sz w:val="24"/>
          <w:szCs w:val="24"/>
        </w:rPr>
        <w:t>Jurnal Hukum Dan Sosial Politik</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1</w:t>
      </w:r>
      <w:r w:rsidRPr="007631E5">
        <w:rPr>
          <w:rFonts w:asciiTheme="majorBidi" w:hAnsiTheme="majorBidi" w:cstheme="majorBidi"/>
          <w:noProof/>
          <w:sz w:val="24"/>
          <w:szCs w:val="24"/>
        </w:rPr>
        <w:t>, 1.</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t xml:space="preserve">Laksono, B. A., &amp; Rohmah, N. (n.d.). </w:t>
      </w:r>
      <w:r w:rsidRPr="007631E5">
        <w:rPr>
          <w:rFonts w:asciiTheme="majorBidi" w:hAnsiTheme="majorBidi" w:cstheme="majorBidi"/>
          <w:i/>
          <w:iCs/>
          <w:noProof/>
          <w:sz w:val="24"/>
          <w:szCs w:val="24"/>
        </w:rPr>
        <w:t>PEMBERDAYAAN MASYARAKAT MELALUI LEMBAGA SOSIAL DAN</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05</w:t>
      </w:r>
      <w:r w:rsidRPr="007631E5">
        <w:rPr>
          <w:rFonts w:asciiTheme="majorBidi" w:hAnsiTheme="majorBidi" w:cstheme="majorBidi"/>
          <w:noProof/>
          <w:sz w:val="24"/>
          <w:szCs w:val="24"/>
        </w:rPr>
        <w:t>, 1–11.</w:t>
      </w:r>
    </w:p>
    <w:p w:rsidR="00926264"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lang w:val="id-ID"/>
        </w:rPr>
      </w:pPr>
      <w:r w:rsidRPr="007631E5">
        <w:rPr>
          <w:rFonts w:asciiTheme="majorBidi" w:hAnsiTheme="majorBidi" w:cstheme="majorBidi"/>
          <w:noProof/>
          <w:sz w:val="24"/>
          <w:szCs w:val="24"/>
        </w:rPr>
        <w:t xml:space="preserve">Levinson. (1964). </w:t>
      </w:r>
      <w:r w:rsidRPr="007631E5">
        <w:rPr>
          <w:rFonts w:asciiTheme="majorBidi" w:hAnsiTheme="majorBidi" w:cstheme="majorBidi"/>
          <w:i/>
          <w:iCs/>
          <w:noProof/>
          <w:sz w:val="24"/>
          <w:szCs w:val="24"/>
        </w:rPr>
        <w:t>Role, Personality and Social Structure “, dalam Lewis A. Closer dan Bernard Rosenberg, Sociological Theory, a Book of Readings</w:t>
      </w:r>
      <w:r w:rsidRPr="007631E5">
        <w:rPr>
          <w:rFonts w:asciiTheme="majorBidi" w:hAnsiTheme="majorBidi" w:cstheme="majorBidi"/>
          <w:noProof/>
          <w:sz w:val="24"/>
          <w:szCs w:val="24"/>
        </w:rPr>
        <w:t>. The Macmillan Company.</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t xml:space="preserve">Mursalim, S. W., Andhita, C., Kirana, D., Shafrudin, R., Ardian, B. P., &amp; Lestari, S. (2023). </w:t>
      </w:r>
      <w:r w:rsidRPr="007631E5">
        <w:rPr>
          <w:rFonts w:asciiTheme="majorBidi" w:hAnsiTheme="majorBidi" w:cstheme="majorBidi"/>
          <w:i/>
          <w:iCs/>
          <w:noProof/>
          <w:sz w:val="24"/>
          <w:szCs w:val="24"/>
        </w:rPr>
        <w:t>PEMBERDAYAAN MASYARAKAT MELALUI PEMBENTUKAN</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4</w:t>
      </w:r>
      <w:r w:rsidRPr="007631E5">
        <w:rPr>
          <w:rFonts w:asciiTheme="majorBidi" w:hAnsiTheme="majorBidi" w:cstheme="majorBidi"/>
          <w:noProof/>
          <w:sz w:val="24"/>
          <w:szCs w:val="24"/>
        </w:rPr>
        <w:t>(2), 56–63.</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lang w:val="id-ID"/>
        </w:rPr>
      </w:pPr>
      <w:r w:rsidRPr="007631E5">
        <w:rPr>
          <w:rFonts w:asciiTheme="majorBidi" w:hAnsiTheme="majorBidi" w:cstheme="majorBidi"/>
          <w:noProof/>
          <w:sz w:val="24"/>
          <w:szCs w:val="24"/>
        </w:rPr>
        <w:t xml:space="preserve">Nalhadi, A., Fatah, A., Serang, U., Raya, S., &amp; Serang, U. (2020). </w:t>
      </w:r>
      <w:r w:rsidRPr="007631E5">
        <w:rPr>
          <w:rFonts w:asciiTheme="majorBidi" w:hAnsiTheme="majorBidi" w:cstheme="majorBidi"/>
          <w:i/>
          <w:iCs/>
          <w:noProof/>
          <w:sz w:val="24"/>
          <w:szCs w:val="24"/>
        </w:rPr>
        <w:t>Wikrama Parahita: Jurnal Pengabdian Masyarakat</w:t>
      </w:r>
      <w:r w:rsidRPr="007631E5">
        <w:rPr>
          <w:rFonts w:asciiTheme="majorBidi" w:hAnsiTheme="majorBidi" w:cstheme="majorBidi"/>
          <w:noProof/>
          <w:sz w:val="24"/>
          <w:szCs w:val="24"/>
        </w:rPr>
        <w:t>.</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t xml:space="preserve">Nasution, R., &amp; Harahap, M. N. (2023). </w:t>
      </w:r>
      <w:r w:rsidRPr="007631E5">
        <w:rPr>
          <w:rFonts w:asciiTheme="majorBidi" w:hAnsiTheme="majorBidi" w:cstheme="majorBidi"/>
          <w:i/>
          <w:iCs/>
          <w:noProof/>
          <w:sz w:val="24"/>
          <w:szCs w:val="24"/>
        </w:rPr>
        <w:t>Sosialisasi Pemberdayaan Masyarakat Desa melalui Partisipasi Masyarakat , Desa Cilamaya Kelurahan Cilamaya Wetan Kabupaten Karawang Tahun 2023</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7</w:t>
      </w:r>
      <w:r w:rsidRPr="007631E5">
        <w:rPr>
          <w:rFonts w:asciiTheme="majorBidi" w:hAnsiTheme="majorBidi" w:cstheme="majorBidi"/>
          <w:noProof/>
          <w:sz w:val="24"/>
          <w:szCs w:val="24"/>
        </w:rPr>
        <w:t>, 195–201.</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lang w:val="id-ID"/>
        </w:rPr>
      </w:pPr>
      <w:r w:rsidRPr="007631E5">
        <w:rPr>
          <w:rFonts w:asciiTheme="majorBidi" w:hAnsiTheme="majorBidi" w:cstheme="majorBidi"/>
          <w:noProof/>
          <w:sz w:val="24"/>
          <w:szCs w:val="24"/>
        </w:rPr>
        <w:t xml:space="preserve">Nindatu, P. I. (2019). Komunikasi Pembangunan Melalui Pemberdayaan Masyarakat untuk Pengentasan kemiskinan. </w:t>
      </w:r>
      <w:r w:rsidRPr="007631E5">
        <w:rPr>
          <w:rFonts w:asciiTheme="majorBidi" w:hAnsiTheme="majorBidi" w:cstheme="majorBidi"/>
          <w:i/>
          <w:iCs/>
          <w:noProof/>
          <w:sz w:val="24"/>
          <w:szCs w:val="24"/>
        </w:rPr>
        <w:t>Jurnal Persekptif Komunikatif</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3</w:t>
      </w:r>
      <w:r w:rsidRPr="007631E5">
        <w:rPr>
          <w:rFonts w:asciiTheme="majorBidi" w:hAnsiTheme="majorBidi" w:cstheme="majorBidi"/>
          <w:noProof/>
          <w:sz w:val="24"/>
          <w:szCs w:val="24"/>
        </w:rPr>
        <w:t>(2), 91–103.</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t xml:space="preserve">Widani, N. M., &amp; Bali, P. (2022). </w:t>
      </w:r>
      <w:r w:rsidRPr="007631E5">
        <w:rPr>
          <w:rFonts w:asciiTheme="majorBidi" w:hAnsiTheme="majorBidi" w:cstheme="majorBidi"/>
          <w:i/>
          <w:iCs/>
          <w:noProof/>
          <w:sz w:val="24"/>
          <w:szCs w:val="24"/>
        </w:rPr>
        <w:t>PEMBERDAYAAN SENTRA PRODUK LOKAL DALAM</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8</w:t>
      </w:r>
      <w:r w:rsidRPr="007631E5">
        <w:rPr>
          <w:rFonts w:asciiTheme="majorBidi" w:hAnsiTheme="majorBidi" w:cstheme="majorBidi"/>
          <w:noProof/>
          <w:sz w:val="24"/>
          <w:szCs w:val="24"/>
        </w:rPr>
        <w:t>(2), 324–329.</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sz w:val="24"/>
          <w:szCs w:val="24"/>
          <w:lang w:val="id-ID"/>
        </w:rPr>
      </w:pP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lang w:val="id-ID"/>
        </w:rPr>
      </w:pPr>
      <w:bookmarkStart w:id="0" w:name="_GoBack"/>
      <w:bookmarkEnd w:id="0"/>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color w:val="222222"/>
          <w:sz w:val="24"/>
          <w:szCs w:val="24"/>
          <w:highlight w:val="white"/>
        </w:rPr>
      </w:pPr>
    </w:p>
    <w:p w:rsidR="005551D3" w:rsidRPr="007631E5" w:rsidRDefault="008F0713">
      <w:pPr>
        <w:spacing w:after="60" w:line="360" w:lineRule="auto"/>
        <w:ind w:left="720" w:hanging="720"/>
        <w:jc w:val="both"/>
        <w:rPr>
          <w:rFonts w:asciiTheme="majorBidi" w:hAnsiTheme="majorBidi" w:cstheme="majorBidi"/>
          <w:color w:val="000000"/>
          <w:sz w:val="24"/>
          <w:szCs w:val="24"/>
        </w:rPr>
      </w:pPr>
      <w:r w:rsidRPr="007631E5">
        <w:rPr>
          <w:rFonts w:asciiTheme="majorBidi" w:hAnsiTheme="majorBidi" w:cstheme="majorBidi"/>
          <w:b/>
          <w:color w:val="000000"/>
          <w:sz w:val="24"/>
          <w:szCs w:val="24"/>
        </w:rPr>
        <w:t>Book</w:t>
      </w:r>
    </w:p>
    <w:p w:rsidR="00926264" w:rsidRPr="007631E5" w:rsidRDefault="00926264" w:rsidP="00926264">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t xml:space="preserve">Albi Anggito &amp; Johan Setiawan. (2018). </w:t>
      </w:r>
      <w:r w:rsidRPr="007631E5">
        <w:rPr>
          <w:rFonts w:asciiTheme="majorBidi" w:hAnsiTheme="majorBidi" w:cstheme="majorBidi"/>
          <w:i/>
          <w:iCs/>
          <w:noProof/>
          <w:sz w:val="24"/>
          <w:szCs w:val="24"/>
        </w:rPr>
        <w:t>Metode Penelitian Kualitatif, Cerakan 1</w:t>
      </w:r>
      <w:r w:rsidRPr="007631E5">
        <w:rPr>
          <w:rFonts w:asciiTheme="majorBidi" w:hAnsiTheme="majorBidi" w:cstheme="majorBidi"/>
          <w:noProof/>
          <w:sz w:val="24"/>
          <w:szCs w:val="24"/>
        </w:rPr>
        <w:t>. CV Jejak.</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lang w:val="id-ID"/>
        </w:rPr>
      </w:pPr>
      <w:r w:rsidRPr="007631E5">
        <w:rPr>
          <w:rFonts w:asciiTheme="majorBidi" w:hAnsiTheme="majorBidi" w:cstheme="majorBidi"/>
          <w:noProof/>
          <w:sz w:val="24"/>
          <w:szCs w:val="24"/>
        </w:rPr>
        <w:t xml:space="preserve">Ginandjar Kartasasmitha. (1996). </w:t>
      </w:r>
      <w:r w:rsidRPr="007631E5">
        <w:rPr>
          <w:rFonts w:asciiTheme="majorBidi" w:hAnsiTheme="majorBidi" w:cstheme="majorBidi"/>
          <w:i/>
          <w:iCs/>
          <w:noProof/>
          <w:sz w:val="24"/>
          <w:szCs w:val="24"/>
        </w:rPr>
        <w:t>Pembangunan Untuk Rakyat: Memadukan Pertumbuhan dan Pemerataan</w:t>
      </w:r>
      <w:r w:rsidRPr="007631E5">
        <w:rPr>
          <w:rFonts w:asciiTheme="majorBidi" w:hAnsiTheme="majorBidi" w:cstheme="majorBidi"/>
          <w:noProof/>
          <w:sz w:val="24"/>
          <w:szCs w:val="24"/>
        </w:rPr>
        <w:t>. PT Pusaka Cisendo.</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t xml:space="preserve">Lamongan, D. I. K. (2016). </w:t>
      </w:r>
      <w:r w:rsidRPr="007631E5">
        <w:rPr>
          <w:rFonts w:asciiTheme="majorBidi" w:hAnsiTheme="majorBidi" w:cstheme="majorBidi"/>
          <w:i/>
          <w:iCs/>
          <w:noProof/>
          <w:sz w:val="24"/>
          <w:szCs w:val="24"/>
        </w:rPr>
        <w:t>Abid Muhtarom</w:t>
      </w:r>
      <w:r w:rsidRPr="007631E5">
        <w:rPr>
          <w:rFonts w:asciiTheme="majorBidi" w:hAnsiTheme="majorBidi" w:cstheme="majorBidi"/>
          <w:noProof/>
          <w:sz w:val="24"/>
          <w:szCs w:val="24"/>
        </w:rPr>
        <w:t xml:space="preserve">. </w:t>
      </w:r>
      <w:r w:rsidRPr="007631E5">
        <w:rPr>
          <w:rFonts w:asciiTheme="majorBidi" w:hAnsiTheme="majorBidi" w:cstheme="majorBidi"/>
          <w:i/>
          <w:iCs/>
          <w:noProof/>
          <w:sz w:val="24"/>
          <w:szCs w:val="24"/>
        </w:rPr>
        <w:t>I</w:t>
      </w:r>
      <w:r w:rsidRPr="007631E5">
        <w:rPr>
          <w:rFonts w:asciiTheme="majorBidi" w:hAnsiTheme="majorBidi" w:cstheme="majorBidi"/>
          <w:noProof/>
          <w:sz w:val="24"/>
          <w:szCs w:val="24"/>
        </w:rPr>
        <w:t>(3), 181–204.</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rPr>
      </w:pPr>
      <w:r w:rsidRPr="007631E5">
        <w:rPr>
          <w:rFonts w:asciiTheme="majorBidi" w:hAnsiTheme="majorBidi" w:cstheme="majorBidi"/>
          <w:noProof/>
          <w:sz w:val="24"/>
          <w:szCs w:val="24"/>
        </w:rPr>
        <w:t xml:space="preserve">Soerjono Soekanto. (2012). </w:t>
      </w:r>
      <w:r w:rsidRPr="007631E5">
        <w:rPr>
          <w:rFonts w:asciiTheme="majorBidi" w:hAnsiTheme="majorBidi" w:cstheme="majorBidi"/>
          <w:i/>
          <w:iCs/>
          <w:noProof/>
          <w:sz w:val="24"/>
          <w:szCs w:val="24"/>
        </w:rPr>
        <w:t>Sosiologi Suatu Pengantar</w:t>
      </w:r>
      <w:r w:rsidRPr="007631E5">
        <w:rPr>
          <w:rFonts w:asciiTheme="majorBidi" w:hAnsiTheme="majorBidi" w:cstheme="majorBidi"/>
          <w:noProof/>
          <w:sz w:val="24"/>
          <w:szCs w:val="24"/>
        </w:rPr>
        <w:t xml:space="preserve">. </w:t>
      </w:r>
      <w:r w:rsidRPr="007631E5">
        <w:rPr>
          <w:rFonts w:asciiTheme="majorBidi" w:hAnsiTheme="majorBidi" w:cstheme="majorBidi"/>
          <w:noProof/>
          <w:sz w:val="24"/>
          <w:szCs w:val="24"/>
          <w:lang w:val="id-ID"/>
        </w:rPr>
        <w:t xml:space="preserve">Jakarta : </w:t>
      </w:r>
      <w:r w:rsidRPr="007631E5">
        <w:rPr>
          <w:rFonts w:asciiTheme="majorBidi" w:hAnsiTheme="majorBidi" w:cstheme="majorBidi"/>
          <w:noProof/>
          <w:sz w:val="24"/>
          <w:szCs w:val="24"/>
        </w:rPr>
        <w:t>Rajawali Pers.</w:t>
      </w:r>
    </w:p>
    <w:p w:rsidR="00365FE5" w:rsidRPr="007631E5" w:rsidRDefault="00365FE5" w:rsidP="00365FE5">
      <w:pPr>
        <w:widowControl w:val="0"/>
        <w:autoSpaceDE w:val="0"/>
        <w:autoSpaceDN w:val="0"/>
        <w:adjustRightInd w:val="0"/>
        <w:spacing w:after="120" w:line="360" w:lineRule="auto"/>
        <w:ind w:left="480" w:hanging="480"/>
        <w:jc w:val="both"/>
        <w:rPr>
          <w:rFonts w:asciiTheme="majorBidi" w:hAnsiTheme="majorBidi" w:cstheme="majorBidi"/>
          <w:noProof/>
          <w:sz w:val="24"/>
          <w:szCs w:val="24"/>
          <w:lang w:val="id-ID"/>
        </w:rPr>
      </w:pPr>
    </w:p>
    <w:p w:rsidR="005551D3" w:rsidRPr="007631E5" w:rsidRDefault="005551D3" w:rsidP="00CF5F0C">
      <w:pPr>
        <w:spacing w:after="60" w:line="360" w:lineRule="auto"/>
        <w:jc w:val="both"/>
        <w:rPr>
          <w:rFonts w:asciiTheme="majorBidi" w:hAnsiTheme="majorBidi" w:cstheme="majorBidi"/>
          <w:color w:val="000000"/>
          <w:sz w:val="24"/>
          <w:szCs w:val="24"/>
          <w:lang w:val="id-ID"/>
        </w:rPr>
      </w:pPr>
    </w:p>
    <w:sectPr w:rsidR="005551D3" w:rsidRPr="007631E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380" w:rsidRDefault="00856380">
      <w:pPr>
        <w:spacing w:after="0" w:line="240" w:lineRule="auto"/>
      </w:pPr>
      <w:r>
        <w:separator/>
      </w:r>
    </w:p>
  </w:endnote>
  <w:endnote w:type="continuationSeparator" w:id="0">
    <w:p w:rsidR="00856380" w:rsidRDefault="0085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D3" w:rsidRDefault="008F0713">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7631E5">
      <w:rPr>
        <w:noProof/>
        <w:color w:val="000000"/>
      </w:rPr>
      <w:t>8</w:t>
    </w:r>
    <w:r>
      <w:rPr>
        <w:color w:val="000000"/>
      </w:rPr>
      <w:fldChar w:fldCharType="end"/>
    </w:r>
    <w:r>
      <w:rPr>
        <w:color w:val="000000"/>
      </w:rPr>
      <w:t xml:space="preserve"> </w:t>
    </w:r>
    <w:r>
      <w:rPr>
        <w:noProof/>
        <w:lang w:val="id-ID"/>
      </w:rPr>
      <mc:AlternateContent>
        <mc:Choice Requires="wps">
          <w:drawing>
            <wp:anchor distT="0" distB="0" distL="114300" distR="114300" simplePos="0" relativeHeight="251661312" behindDoc="0" locked="0" layoutInCell="1" hidden="0" allowOverlap="1" wp14:anchorId="38A67281" wp14:editId="64838093">
              <wp:simplePos x="0" y="0"/>
              <wp:positionH relativeFrom="column">
                <wp:posOffset>139700</wp:posOffset>
              </wp:positionH>
              <wp:positionV relativeFrom="paragraph">
                <wp:posOffset>-63499</wp:posOffset>
              </wp:positionV>
              <wp:extent cx="5586095" cy="614045"/>
              <wp:effectExtent l="0" t="0" r="0" b="0"/>
              <wp:wrapNone/>
              <wp:docPr id="12" name="Rectangle 12"/>
              <wp:cNvGraphicFramePr/>
              <a:graphic xmlns:a="http://schemas.openxmlformats.org/drawingml/2006/main">
                <a:graphicData uri="http://schemas.microsoft.com/office/word/2010/wordprocessingShape">
                  <wps:wsp>
                    <wps:cNvSpPr/>
                    <wps:spPr>
                      <a:xfrm>
                        <a:off x="2557715" y="3477740"/>
                        <a:ext cx="5576570" cy="604520"/>
                      </a:xfrm>
                      <a:prstGeom prst="rect">
                        <a:avLst/>
                      </a:prstGeom>
                      <a:noFill/>
                      <a:ln>
                        <a:noFill/>
                      </a:ln>
                    </wps:spPr>
                    <wps:txbx>
                      <w:txbxContent>
                        <w:p w:rsidR="005551D3" w:rsidRDefault="008F0713">
                          <w:pPr>
                            <w:spacing w:after="0" w:line="288" w:lineRule="auto"/>
                            <w:textDirection w:val="btLr"/>
                          </w:pP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Kommunity</w:t>
                          </w:r>
                          <w:proofErr w:type="spellEnd"/>
                          <w:r>
                            <w:rPr>
                              <w:rFonts w:ascii="Book Antiqua" w:eastAsia="Book Antiqua" w:hAnsi="Book Antiqua" w:cs="Book Antiqua"/>
                              <w:b/>
                              <w:color w:val="000000"/>
                              <w:sz w:val="18"/>
                            </w:rPr>
                            <w:t xml:space="preserve"> Online, 4 (1) 2023, e-ISSN: 2797-5754</w:t>
                          </w:r>
                        </w:p>
                        <w:p w:rsidR="005551D3" w:rsidRDefault="008F0713">
                          <w:pPr>
                            <w:spacing w:after="0" w:line="288" w:lineRule="auto"/>
                            <w:textDirection w:val="btLr"/>
                          </w:pPr>
                          <w:proofErr w:type="gramStart"/>
                          <w:r>
                            <w:rPr>
                              <w:rFonts w:ascii="Times New Roman" w:eastAsia="Times New Roman" w:hAnsi="Times New Roman" w:cs="Times New Roman"/>
                              <w:color w:val="000000"/>
                              <w:sz w:val="16"/>
                            </w:rPr>
                            <w:t>© 2023 The Author(s).</w:t>
                          </w:r>
                          <w:proofErr w:type="gramEnd"/>
                          <w:r>
                            <w:rPr>
                              <w:rFonts w:ascii="Times New Roman" w:eastAsia="Times New Roman" w:hAnsi="Times New Roman" w:cs="Times New Roman"/>
                              <w:color w:val="000000"/>
                              <w:sz w:val="16"/>
                            </w:rPr>
                            <w:t xml:space="preserve"> This is an open access article under CC-BY-SA license (https://creativecommons.org/licenses/by-sa/4.0/)</w:t>
                          </w:r>
                        </w:p>
                        <w:p w:rsidR="005551D3" w:rsidRDefault="005551D3">
                          <w:pPr>
                            <w:spacing w:line="258" w:lineRule="auto"/>
                            <w:textDirection w:val="btLr"/>
                          </w:pPr>
                        </w:p>
                        <w:p w:rsidR="005551D3" w:rsidRDefault="005551D3">
                          <w:pPr>
                            <w:spacing w:line="258" w:lineRule="auto"/>
                            <w:textDirection w:val="btLr"/>
                          </w:pPr>
                        </w:p>
                        <w:p w:rsidR="005551D3" w:rsidRDefault="005551D3">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id="Rectangle 12" o:spid="_x0000_s1026" style="position:absolute;margin-left:11pt;margin-top:-5pt;width:439.85pt;height:4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" filled="f" stroked="f">
              <v:textbox inset="2.53958mm,1.2694mm,2.53958mm,1.2694mm">
                <w:txbxContent>
                  <w:p w:rsidR="005551D3" w:rsidRDefault="008F0713">
                    <w:pPr>
                      <w:spacing w:after="0" w:line="288" w:lineRule="auto"/>
                      <w:textDirection w:val="btLr"/>
                    </w:pP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Kommunity</w:t>
                    </w:r>
                    <w:proofErr w:type="spellEnd"/>
                    <w:r>
                      <w:rPr>
                        <w:rFonts w:ascii="Book Antiqua" w:eastAsia="Book Antiqua" w:hAnsi="Book Antiqua" w:cs="Book Antiqua"/>
                        <w:b/>
                        <w:color w:val="000000"/>
                        <w:sz w:val="18"/>
                      </w:rPr>
                      <w:t xml:space="preserve"> Online, 4 (1) 2023, e-ISSN: 2797-5754</w:t>
                    </w:r>
                  </w:p>
                  <w:p w:rsidR="005551D3" w:rsidRDefault="008F0713">
                    <w:pPr>
                      <w:spacing w:after="0" w:line="288" w:lineRule="auto"/>
                      <w:textDirection w:val="btLr"/>
                    </w:pPr>
                    <w:proofErr w:type="gramStart"/>
                    <w:r>
                      <w:rPr>
                        <w:rFonts w:ascii="Times New Roman" w:eastAsia="Times New Roman" w:hAnsi="Times New Roman" w:cs="Times New Roman"/>
                        <w:color w:val="000000"/>
                        <w:sz w:val="16"/>
                      </w:rPr>
                      <w:t>© 2023 The Author(s).</w:t>
                    </w:r>
                    <w:proofErr w:type="gramEnd"/>
                    <w:r>
                      <w:rPr>
                        <w:rFonts w:ascii="Times New Roman" w:eastAsia="Times New Roman" w:hAnsi="Times New Roman" w:cs="Times New Roman"/>
                        <w:color w:val="000000"/>
                        <w:sz w:val="16"/>
                      </w:rPr>
                      <w:t xml:space="preserve"> This is an open access article under CC-BY-SA license (https://creativecommons.org/licenses/by-sa/4.0/)</w:t>
                    </w:r>
                  </w:p>
                  <w:p w:rsidR="005551D3" w:rsidRDefault="005551D3">
                    <w:pPr>
                      <w:spacing w:line="258" w:lineRule="auto"/>
                      <w:textDirection w:val="btLr"/>
                    </w:pPr>
                  </w:p>
                  <w:p w:rsidR="005551D3" w:rsidRDefault="005551D3">
                    <w:pPr>
                      <w:spacing w:line="258" w:lineRule="auto"/>
                      <w:textDirection w:val="btLr"/>
                    </w:pPr>
                  </w:p>
                  <w:p w:rsidR="005551D3" w:rsidRDefault="005551D3">
                    <w:pPr>
                      <w:spacing w:line="258" w:lineRule="auto"/>
                      <w:textDirection w:val="btLr"/>
                    </w:pPr>
                  </w:p>
                </w:txbxContent>
              </v:textbox>
            </v:rect>
          </w:pict>
        </mc:Fallback>
      </mc:AlternateContent>
    </w:r>
  </w:p>
  <w:p w:rsidR="005551D3" w:rsidRDefault="005551D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D3" w:rsidRDefault="008F0713">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7631E5">
      <w:rPr>
        <w:noProof/>
        <w:color w:val="000000"/>
      </w:rPr>
      <w:t>9</w:t>
    </w:r>
    <w:r>
      <w:rPr>
        <w:color w:val="000000"/>
      </w:rPr>
      <w:fldChar w:fldCharType="end"/>
    </w:r>
    <w:r>
      <w:rPr>
        <w:noProof/>
        <w:lang w:val="id-ID"/>
      </w:rPr>
      <mc:AlternateContent>
        <mc:Choice Requires="wps">
          <w:drawing>
            <wp:anchor distT="0" distB="0" distL="114300" distR="114300" simplePos="0" relativeHeight="251659264" behindDoc="0" locked="0" layoutInCell="1" hidden="0" allowOverlap="1" wp14:anchorId="23E86CB5" wp14:editId="269F2569">
              <wp:simplePos x="0" y="0"/>
              <wp:positionH relativeFrom="column">
                <wp:posOffset>1</wp:posOffset>
              </wp:positionH>
              <wp:positionV relativeFrom="paragraph">
                <wp:posOffset>-38099</wp:posOffset>
              </wp:positionV>
              <wp:extent cx="5586095" cy="614045"/>
              <wp:effectExtent l="0" t="0" r="0" b="0"/>
              <wp:wrapNone/>
              <wp:docPr id="13" name="Rectangle 13"/>
              <wp:cNvGraphicFramePr/>
              <a:graphic xmlns:a="http://schemas.openxmlformats.org/drawingml/2006/main">
                <a:graphicData uri="http://schemas.microsoft.com/office/word/2010/wordprocessingShape">
                  <wps:wsp>
                    <wps:cNvSpPr/>
                    <wps:spPr>
                      <a:xfrm>
                        <a:off x="2557715" y="3477740"/>
                        <a:ext cx="5576570" cy="604520"/>
                      </a:xfrm>
                      <a:prstGeom prst="rect">
                        <a:avLst/>
                      </a:prstGeom>
                      <a:noFill/>
                      <a:ln>
                        <a:noFill/>
                      </a:ln>
                    </wps:spPr>
                    <wps:txbx>
                      <w:txbxContent>
                        <w:p w:rsidR="005551D3" w:rsidRDefault="008F0713">
                          <w:pPr>
                            <w:spacing w:after="0" w:line="288" w:lineRule="auto"/>
                            <w:jc w:val="right"/>
                            <w:textDirection w:val="btLr"/>
                          </w:pP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Kommunity</w:t>
                          </w:r>
                          <w:proofErr w:type="spellEnd"/>
                          <w:r>
                            <w:rPr>
                              <w:rFonts w:ascii="Book Antiqua" w:eastAsia="Book Antiqua" w:hAnsi="Book Antiqua" w:cs="Book Antiqua"/>
                              <w:b/>
                              <w:color w:val="000000"/>
                              <w:sz w:val="18"/>
                            </w:rPr>
                            <w:t xml:space="preserve"> Online, 4 (1) 2023, e-ISSN: 2797-5754</w:t>
                          </w:r>
                        </w:p>
                        <w:p w:rsidR="005551D3" w:rsidRDefault="008F0713">
                          <w:pPr>
                            <w:spacing w:after="0" w:line="288" w:lineRule="auto"/>
                            <w:jc w:val="right"/>
                            <w:textDirection w:val="btLr"/>
                          </w:pPr>
                          <w:proofErr w:type="gramStart"/>
                          <w:r>
                            <w:rPr>
                              <w:rFonts w:ascii="Times New Roman" w:eastAsia="Times New Roman" w:hAnsi="Times New Roman" w:cs="Times New Roman"/>
                              <w:color w:val="000000"/>
                              <w:sz w:val="16"/>
                            </w:rPr>
                            <w:t>© 2023 The Author(s).</w:t>
                          </w:r>
                          <w:proofErr w:type="gramEnd"/>
                          <w:r>
                            <w:rPr>
                              <w:rFonts w:ascii="Times New Roman" w:eastAsia="Times New Roman" w:hAnsi="Times New Roman" w:cs="Times New Roman"/>
                              <w:color w:val="000000"/>
                              <w:sz w:val="16"/>
                            </w:rPr>
                            <w:t xml:space="preserve"> This is an open access article under CC-BY-SA license (https://creativecommons.org/licenses/by-sa/4.0/)</w:t>
                          </w:r>
                        </w:p>
                        <w:p w:rsidR="005551D3" w:rsidRDefault="005551D3">
                          <w:pPr>
                            <w:spacing w:line="258" w:lineRule="auto"/>
                            <w:jc w:val="right"/>
                            <w:textDirection w:val="btLr"/>
                          </w:pPr>
                        </w:p>
                        <w:p w:rsidR="005551D3" w:rsidRDefault="005551D3">
                          <w:pPr>
                            <w:spacing w:line="258" w:lineRule="auto"/>
                            <w:jc w:val="right"/>
                            <w:textDirection w:val="btLr"/>
                          </w:pPr>
                        </w:p>
                        <w:p w:rsidR="005551D3" w:rsidRDefault="005551D3">
                          <w:pPr>
                            <w:spacing w:line="258" w:lineRule="auto"/>
                            <w:jc w:val="right"/>
                            <w:textDirection w:val="btLr"/>
                          </w:pPr>
                        </w:p>
                      </w:txbxContent>
                    </wps:txbx>
                    <wps:bodyPr spcFirstLastPara="1" wrap="square" lIns="91425" tIns="45700" rIns="91425" bIns="45700" anchor="ctr" anchorCtr="0">
                      <a:noAutofit/>
                    </wps:bodyPr>
                  </wps:wsp>
                </a:graphicData>
              </a:graphic>
            </wp:anchor>
          </w:drawing>
        </mc:Choice>
        <mc:Fallback>
          <w:pict>
            <v:rect id="Rectangle 13" o:spid="_x0000_s1027" style="position:absolute;left:0;text-align:left;margin-left:0;margin-top:-3pt;width:439.85pt;height:48.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" filled="f" stroked="f">
              <v:textbox inset="2.53958mm,1.2694mm,2.53958mm,1.2694mm">
                <w:txbxContent>
                  <w:p w:rsidR="005551D3" w:rsidRDefault="008F0713">
                    <w:pPr>
                      <w:spacing w:after="0" w:line="288" w:lineRule="auto"/>
                      <w:jc w:val="right"/>
                      <w:textDirection w:val="btLr"/>
                    </w:pP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Kommunity</w:t>
                    </w:r>
                    <w:proofErr w:type="spellEnd"/>
                    <w:r>
                      <w:rPr>
                        <w:rFonts w:ascii="Book Antiqua" w:eastAsia="Book Antiqua" w:hAnsi="Book Antiqua" w:cs="Book Antiqua"/>
                        <w:b/>
                        <w:color w:val="000000"/>
                        <w:sz w:val="18"/>
                      </w:rPr>
                      <w:t xml:space="preserve"> Online, 4 (1) 2023, e-ISSN: 2797-5754</w:t>
                    </w:r>
                  </w:p>
                  <w:p w:rsidR="005551D3" w:rsidRDefault="008F0713">
                    <w:pPr>
                      <w:spacing w:after="0" w:line="288" w:lineRule="auto"/>
                      <w:jc w:val="right"/>
                      <w:textDirection w:val="btLr"/>
                    </w:pPr>
                    <w:proofErr w:type="gramStart"/>
                    <w:r>
                      <w:rPr>
                        <w:rFonts w:ascii="Times New Roman" w:eastAsia="Times New Roman" w:hAnsi="Times New Roman" w:cs="Times New Roman"/>
                        <w:color w:val="000000"/>
                        <w:sz w:val="16"/>
                      </w:rPr>
                      <w:t>© 2023 The Author(s).</w:t>
                    </w:r>
                    <w:proofErr w:type="gramEnd"/>
                    <w:r>
                      <w:rPr>
                        <w:rFonts w:ascii="Times New Roman" w:eastAsia="Times New Roman" w:hAnsi="Times New Roman" w:cs="Times New Roman"/>
                        <w:color w:val="000000"/>
                        <w:sz w:val="16"/>
                      </w:rPr>
                      <w:t xml:space="preserve"> This is an open access article under CC-BY-SA license (https://creativecommons.org/licenses/by-sa/4.0/)</w:t>
                    </w:r>
                  </w:p>
                  <w:p w:rsidR="005551D3" w:rsidRDefault="005551D3">
                    <w:pPr>
                      <w:spacing w:line="258" w:lineRule="auto"/>
                      <w:jc w:val="right"/>
                      <w:textDirection w:val="btLr"/>
                    </w:pPr>
                  </w:p>
                  <w:p w:rsidR="005551D3" w:rsidRDefault="005551D3">
                    <w:pPr>
                      <w:spacing w:line="258" w:lineRule="auto"/>
                      <w:jc w:val="right"/>
                      <w:textDirection w:val="btLr"/>
                    </w:pPr>
                  </w:p>
                  <w:p w:rsidR="005551D3" w:rsidRDefault="005551D3">
                    <w:pPr>
                      <w:spacing w:line="258" w:lineRule="auto"/>
                      <w:jc w:val="right"/>
                      <w:textDirection w:val="btLr"/>
                    </w:pPr>
                  </w:p>
                </w:txbxContent>
              </v:textbox>
            </v:rect>
          </w:pict>
        </mc:Fallback>
      </mc:AlternateContent>
    </w:r>
  </w:p>
  <w:p w:rsidR="005551D3" w:rsidRDefault="005551D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D3" w:rsidRDefault="008F0713">
    <w:pPr>
      <w:pBdr>
        <w:top w:val="nil"/>
        <w:left w:val="nil"/>
        <w:bottom w:val="nil"/>
        <w:right w:val="nil"/>
        <w:between w:val="nil"/>
      </w:pBdr>
      <w:tabs>
        <w:tab w:val="center" w:pos="4513"/>
        <w:tab w:val="right" w:pos="9026"/>
      </w:tabs>
      <w:spacing w:after="0" w:line="24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 xml:space="preserve">Copyright </w:t>
    </w:r>
    <w:r>
      <w:rPr>
        <w:rFonts w:ascii="Book Antiqua" w:eastAsia="Book Antiqua" w:hAnsi="Book Antiqua" w:cs="Book Antiqua"/>
        <w:i/>
        <w:color w:val="000000"/>
        <w:sz w:val="18"/>
        <w:szCs w:val="18"/>
      </w:rPr>
      <w:t>© 2021,</w:t>
    </w:r>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Jurnal</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Kommunity</w:t>
    </w:r>
    <w:proofErr w:type="spellEnd"/>
    <w:r>
      <w:rPr>
        <w:rFonts w:ascii="Book Antiqua" w:eastAsia="Book Antiqua" w:hAnsi="Book Antiqua" w:cs="Book Antiqua"/>
        <w:color w:val="000000"/>
        <w:sz w:val="18"/>
        <w:szCs w:val="18"/>
      </w:rPr>
      <w:t xml:space="preserve"> Online, 4 (1) 2023</w:t>
    </w:r>
  </w:p>
  <w:p w:rsidR="005551D3" w:rsidRDefault="008F0713">
    <w:pPr>
      <w:pBdr>
        <w:top w:val="nil"/>
        <w:left w:val="nil"/>
        <w:bottom w:val="nil"/>
        <w:right w:val="nil"/>
        <w:between w:val="nil"/>
      </w:pBdr>
      <w:tabs>
        <w:tab w:val="center" w:pos="4513"/>
        <w:tab w:val="right" w:pos="9026"/>
      </w:tabs>
      <w:spacing w:after="0" w:line="240" w:lineRule="auto"/>
      <w:jc w:val="center"/>
      <w:rPr>
        <w:color w:val="000000"/>
        <w:sz w:val="16"/>
        <w:szCs w:val="16"/>
      </w:rPr>
    </w:pPr>
    <w:r>
      <w:rPr>
        <w:color w:val="000000"/>
        <w:sz w:val="16"/>
        <w:szCs w:val="16"/>
      </w:rPr>
      <w:t>© 2023 The Author(s). This is an open access article under CC-BY-SA license (https://creativecommons.org/licenses/by-sa/4.0/)</w:t>
    </w:r>
  </w:p>
  <w:p w:rsidR="005551D3" w:rsidRDefault="008F0713">
    <w:pPr>
      <w:pBdr>
        <w:top w:val="nil"/>
        <w:left w:val="nil"/>
        <w:bottom w:val="nil"/>
        <w:right w:val="nil"/>
        <w:between w:val="nil"/>
      </w:pBdr>
      <w:tabs>
        <w:tab w:val="center" w:pos="4513"/>
        <w:tab w:val="right" w:pos="9026"/>
        <w:tab w:val="left" w:pos="5355"/>
      </w:tabs>
      <w:spacing w:after="0" w:line="240" w:lineRule="auto"/>
      <w:rPr>
        <w:color w:val="000000"/>
      </w:rPr>
    </w:pPr>
    <w:r>
      <w:rPr>
        <w:color w:val="000000"/>
      </w:rPr>
      <w:tab/>
    </w:r>
    <w:r>
      <w:rPr>
        <w:color w:val="000000"/>
      </w:rPr>
      <w:tab/>
    </w:r>
    <w:r>
      <w:rPr>
        <w:color w:val="000000"/>
      </w:rPr>
      <w:tab/>
    </w:r>
    <w:r>
      <w:rPr>
        <w:noProof/>
        <w:lang w:val="id-ID"/>
      </w:rPr>
      <w:drawing>
        <wp:anchor distT="0" distB="0" distL="0" distR="0" simplePos="0" relativeHeight="251660288" behindDoc="1" locked="0" layoutInCell="1" hidden="0" allowOverlap="1" wp14:anchorId="7D0C5BC5" wp14:editId="5E298016">
          <wp:simplePos x="0" y="0"/>
          <wp:positionH relativeFrom="column">
            <wp:posOffset>2456180</wp:posOffset>
          </wp:positionH>
          <wp:positionV relativeFrom="paragraph">
            <wp:posOffset>23495</wp:posOffset>
          </wp:positionV>
          <wp:extent cx="636270" cy="25717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6270" cy="25717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380" w:rsidRDefault="00856380">
      <w:pPr>
        <w:spacing w:after="0" w:line="240" w:lineRule="auto"/>
      </w:pPr>
      <w:r>
        <w:separator/>
      </w:r>
    </w:p>
  </w:footnote>
  <w:footnote w:type="continuationSeparator" w:id="0">
    <w:p w:rsidR="00856380" w:rsidRDefault="00856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D3" w:rsidRDefault="008F0713">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Author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D3" w:rsidRDefault="008F0713">
    <w:pPr>
      <w:pBdr>
        <w:top w:val="nil"/>
        <w:left w:val="nil"/>
        <w:bottom w:val="nil"/>
        <w:right w:val="nil"/>
        <w:between w:val="nil"/>
      </w:pBdr>
      <w:tabs>
        <w:tab w:val="center" w:pos="4513"/>
        <w:tab w:val="right" w:pos="9026"/>
      </w:tabs>
      <w:spacing w:after="0" w:line="240" w:lineRule="auto"/>
      <w:jc w:val="right"/>
      <w:rPr>
        <w:rFonts w:ascii="Garamond" w:eastAsia="Garamond" w:hAnsi="Garamond" w:cs="Garamond"/>
        <w:color w:val="000000"/>
        <w:sz w:val="20"/>
        <w:szCs w:val="20"/>
      </w:rPr>
    </w:pPr>
    <w:r>
      <w:rPr>
        <w:rFonts w:ascii="Garamond" w:eastAsia="Garamond" w:hAnsi="Garamond" w:cs="Garamond"/>
        <w:color w:val="000000"/>
        <w:sz w:val="20"/>
        <w:szCs w:val="20"/>
      </w:rPr>
      <w:t>Article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D3" w:rsidRDefault="008F0713">
    <w:pPr>
      <w:widowControl w:val="0"/>
      <w:pBdr>
        <w:top w:val="nil"/>
        <w:left w:val="nil"/>
        <w:bottom w:val="nil"/>
        <w:right w:val="nil"/>
        <w:between w:val="nil"/>
      </w:pBdr>
      <w:spacing w:after="0" w:line="240" w:lineRule="auto"/>
      <w:ind w:left="-709"/>
      <w:rPr>
        <w:rFonts w:ascii="Times New Roman" w:eastAsia="Times New Roman" w:hAnsi="Times New Roman" w:cs="Times New Roman"/>
        <w:color w:val="000000"/>
        <w:sz w:val="20"/>
        <w:szCs w:val="20"/>
      </w:rPr>
    </w:pPr>
    <w:r>
      <w:rPr>
        <w:noProof/>
        <w:lang w:val="id-ID"/>
      </w:rPr>
      <w:drawing>
        <wp:anchor distT="0" distB="0" distL="0" distR="0" simplePos="0" relativeHeight="251658240" behindDoc="1" locked="0" layoutInCell="1" hidden="0" allowOverlap="1" wp14:anchorId="426AF5D3" wp14:editId="1C6580D6">
          <wp:simplePos x="0" y="0"/>
          <wp:positionH relativeFrom="column">
            <wp:posOffset>-182244</wp:posOffset>
          </wp:positionH>
          <wp:positionV relativeFrom="paragraph">
            <wp:posOffset>-207008</wp:posOffset>
          </wp:positionV>
          <wp:extent cx="958215" cy="777240"/>
          <wp:effectExtent l="0" t="0" r="0" b="0"/>
          <wp:wrapNone/>
          <wp:docPr id="17" name="image3.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 icon&#10;&#10;Description automatically generated"/>
                  <pic:cNvPicPr preferRelativeResize="0"/>
                </pic:nvPicPr>
                <pic:blipFill>
                  <a:blip r:embed="rId1"/>
                  <a:srcRect/>
                  <a:stretch>
                    <a:fillRect/>
                  </a:stretch>
                </pic:blipFill>
                <pic:spPr>
                  <a:xfrm>
                    <a:off x="0" y="0"/>
                    <a:ext cx="958215" cy="777240"/>
                  </a:xfrm>
                  <a:prstGeom prst="rect">
                    <a:avLst/>
                  </a:prstGeom>
                  <a:ln/>
                </pic:spPr>
              </pic:pic>
            </a:graphicData>
          </a:graphic>
        </wp:anchor>
      </w:drawing>
    </w:r>
  </w:p>
  <w:p w:rsidR="005551D3" w:rsidRDefault="008F0713">
    <w:pPr>
      <w:spacing w:after="0" w:line="240" w:lineRule="auto"/>
      <w:ind w:hanging="2"/>
      <w:jc w:val="center"/>
      <w:rPr>
        <w:sz w:val="24"/>
        <w:szCs w:val="24"/>
      </w:rPr>
    </w:pPr>
    <w:proofErr w:type="spellStart"/>
    <w:r>
      <w:rPr>
        <w:sz w:val="24"/>
        <w:szCs w:val="24"/>
      </w:rPr>
      <w:t>Availabe</w:t>
    </w:r>
    <w:proofErr w:type="spellEnd"/>
    <w:r>
      <w:rPr>
        <w:sz w:val="24"/>
        <w:szCs w:val="24"/>
      </w:rPr>
      <w:t xml:space="preserve"> online at Website: </w:t>
    </w:r>
  </w:p>
  <w:p w:rsidR="005551D3" w:rsidRDefault="00856380">
    <w:pPr>
      <w:spacing w:after="0" w:line="240" w:lineRule="auto"/>
      <w:ind w:hanging="2"/>
      <w:jc w:val="center"/>
      <w:rPr>
        <w:sz w:val="24"/>
        <w:szCs w:val="24"/>
      </w:rPr>
    </w:pPr>
    <w:hyperlink r:id="rId2">
      <w:r w:rsidR="008F0713">
        <w:rPr>
          <w:color w:val="0563C1"/>
          <w:sz w:val="24"/>
          <w:szCs w:val="24"/>
          <w:u w:val="single"/>
        </w:rPr>
        <w:t>http://journal.uinjkt.ac.id/index.php/jko</w:t>
      </w:r>
    </w:hyperlink>
    <w:r w:rsidR="008F0713">
      <w:rPr>
        <w:sz w:val="24"/>
        <w:szCs w:val="24"/>
      </w:rPr>
      <w:t xml:space="preserve"> </w:t>
    </w:r>
  </w:p>
  <w:p w:rsidR="005551D3" w:rsidRDefault="008F0713">
    <w:pPr>
      <w:spacing w:after="0" w:line="240" w:lineRule="auto"/>
      <w:ind w:hanging="2"/>
      <w:jc w:val="center"/>
      <w:rPr>
        <w:b/>
        <w:sz w:val="24"/>
        <w:szCs w:val="24"/>
      </w:rPr>
    </w:pPr>
    <w:proofErr w:type="spellStart"/>
    <w:r>
      <w:rPr>
        <w:b/>
        <w:sz w:val="24"/>
        <w:szCs w:val="24"/>
      </w:rPr>
      <w:t>Jurnal</w:t>
    </w:r>
    <w:proofErr w:type="spellEnd"/>
    <w:r>
      <w:rPr>
        <w:b/>
        <w:sz w:val="24"/>
        <w:szCs w:val="24"/>
      </w:rPr>
      <w:t xml:space="preserve"> </w:t>
    </w:r>
    <w:proofErr w:type="spellStart"/>
    <w:r>
      <w:rPr>
        <w:b/>
        <w:sz w:val="24"/>
        <w:szCs w:val="24"/>
      </w:rPr>
      <w:t>Kommunity</w:t>
    </w:r>
    <w:proofErr w:type="spellEnd"/>
    <w:r>
      <w:rPr>
        <w:b/>
        <w:sz w:val="24"/>
        <w:szCs w:val="24"/>
      </w:rPr>
      <w:t xml:space="preserve"> Online, </w:t>
    </w:r>
    <w:proofErr w:type="gramStart"/>
    <w:r>
      <w:rPr>
        <w:b/>
        <w:sz w:val="24"/>
        <w:szCs w:val="24"/>
      </w:rPr>
      <w:t>… ,</w:t>
    </w:r>
    <w:proofErr w:type="gramEnd"/>
    <w:r>
      <w:rPr>
        <w:b/>
        <w:sz w:val="24"/>
        <w:szCs w:val="24"/>
      </w:rPr>
      <w:t xml:space="preserve"> … , …</w:t>
    </w:r>
  </w:p>
  <w:p w:rsidR="005551D3" w:rsidRDefault="005551D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B6C"/>
    <w:multiLevelType w:val="hybridMultilevel"/>
    <w:tmpl w:val="E5AEDED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45DD71B2"/>
    <w:multiLevelType w:val="hybridMultilevel"/>
    <w:tmpl w:val="E5AEDED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58993D40"/>
    <w:multiLevelType w:val="hybridMultilevel"/>
    <w:tmpl w:val="DFB267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B3F439E"/>
    <w:multiLevelType w:val="hybridMultilevel"/>
    <w:tmpl w:val="A1A6E03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5551D3"/>
    <w:rsid w:val="00001F4A"/>
    <w:rsid w:val="002337E0"/>
    <w:rsid w:val="002B5109"/>
    <w:rsid w:val="00365FE5"/>
    <w:rsid w:val="003E35CF"/>
    <w:rsid w:val="003F559F"/>
    <w:rsid w:val="00462D9E"/>
    <w:rsid w:val="005551D3"/>
    <w:rsid w:val="00692095"/>
    <w:rsid w:val="007631E5"/>
    <w:rsid w:val="00856380"/>
    <w:rsid w:val="008F0713"/>
    <w:rsid w:val="00906DBB"/>
    <w:rsid w:val="00926264"/>
    <w:rsid w:val="009B549A"/>
    <w:rsid w:val="00B920BB"/>
    <w:rsid w:val="00B93CCE"/>
    <w:rsid w:val="00CF5F0C"/>
    <w:rsid w:val="00EE10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semiHidden/>
    <w:unhideWhenUsed/>
    <w:qFormat/>
    <w:rsid w:val="008E790E"/>
    <w:pPr>
      <w:keepNext/>
      <w:keepLines/>
      <w:spacing w:before="120" w:after="60" w:line="240" w:lineRule="auto"/>
      <w:ind w:left="288" w:hanging="288"/>
      <w:outlineLvl w:val="1"/>
    </w:pPr>
    <w:rPr>
      <w:rFonts w:ascii="Times New Roman" w:eastAsia="Times New Roman" w:hAnsi="Times New Roman" w:cs="Times New Roman"/>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96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277"/>
  </w:style>
  <w:style w:type="paragraph" w:styleId="Footer">
    <w:name w:val="footer"/>
    <w:basedOn w:val="Normal"/>
    <w:link w:val="FooterChar"/>
    <w:uiPriority w:val="99"/>
    <w:unhideWhenUsed/>
    <w:rsid w:val="00C96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277"/>
  </w:style>
  <w:style w:type="character" w:styleId="Hyperlink">
    <w:name w:val="Hyperlink"/>
    <w:uiPriority w:val="99"/>
    <w:unhideWhenUsed/>
    <w:rsid w:val="00C96277"/>
    <w:rPr>
      <w:color w:val="0563C1"/>
      <w:u w:val="single"/>
    </w:rPr>
  </w:style>
  <w:style w:type="paragraph" w:styleId="BodyText">
    <w:name w:val="Body Text"/>
    <w:basedOn w:val="Normal"/>
    <w:link w:val="BodyTextChar"/>
    <w:uiPriority w:val="1"/>
    <w:semiHidden/>
    <w:unhideWhenUsed/>
    <w:qFormat/>
    <w:rsid w:val="00C96277"/>
    <w:pPr>
      <w:widowControl w:val="0"/>
      <w:autoSpaceDE w:val="0"/>
      <w:autoSpaceDN w:val="0"/>
      <w:spacing w:after="0" w:line="240" w:lineRule="auto"/>
      <w:ind w:left="13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C96277"/>
    <w:rPr>
      <w:rFonts w:ascii="Times New Roman" w:eastAsia="Times New Roman" w:hAnsi="Times New Roman" w:cs="Times New Roman"/>
      <w:sz w:val="24"/>
      <w:szCs w:val="24"/>
      <w:lang w:val="en-US"/>
    </w:rPr>
  </w:style>
  <w:style w:type="table" w:styleId="TableGrid">
    <w:name w:val="Table Grid"/>
    <w:basedOn w:val="TableNormal"/>
    <w:uiPriority w:val="39"/>
    <w:rsid w:val="00C96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8E790E"/>
    <w:rPr>
      <w:rFonts w:ascii="Times New Roman" w:eastAsia="Times New Roman" w:hAnsi="Times New Roman" w:cs="Times New Roman"/>
      <w:i/>
      <w:sz w:val="20"/>
      <w:szCs w:val="20"/>
    </w:rPr>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8E790E"/>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locked/>
    <w:rsid w:val="008E790E"/>
    <w:rPr>
      <w:rFonts w:ascii="Times New Roman" w:eastAsia="Times New Roman" w:hAnsi="Times New Roman" w:cs="Times New Roman"/>
      <w:sz w:val="24"/>
      <w:szCs w:val="24"/>
      <w:lang w:val="en-US"/>
    </w:rPr>
  </w:style>
  <w:style w:type="paragraph" w:customStyle="1" w:styleId="Afiliasi">
    <w:name w:val="Afiliasi"/>
    <w:basedOn w:val="Normal"/>
    <w:qFormat/>
    <w:rsid w:val="008E790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BasicParagraph">
    <w:name w:val="[Basic Paragraph]"/>
    <w:basedOn w:val="Normal"/>
    <w:uiPriority w:val="99"/>
    <w:rsid w:val="003C25E2"/>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B5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semiHidden/>
    <w:unhideWhenUsed/>
    <w:qFormat/>
    <w:rsid w:val="008E790E"/>
    <w:pPr>
      <w:keepNext/>
      <w:keepLines/>
      <w:spacing w:before="120" w:after="60" w:line="240" w:lineRule="auto"/>
      <w:ind w:left="288" w:hanging="288"/>
      <w:outlineLvl w:val="1"/>
    </w:pPr>
    <w:rPr>
      <w:rFonts w:ascii="Times New Roman" w:eastAsia="Times New Roman" w:hAnsi="Times New Roman" w:cs="Times New Roman"/>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96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277"/>
  </w:style>
  <w:style w:type="paragraph" w:styleId="Footer">
    <w:name w:val="footer"/>
    <w:basedOn w:val="Normal"/>
    <w:link w:val="FooterChar"/>
    <w:uiPriority w:val="99"/>
    <w:unhideWhenUsed/>
    <w:rsid w:val="00C96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277"/>
  </w:style>
  <w:style w:type="character" w:styleId="Hyperlink">
    <w:name w:val="Hyperlink"/>
    <w:uiPriority w:val="99"/>
    <w:unhideWhenUsed/>
    <w:rsid w:val="00C96277"/>
    <w:rPr>
      <w:color w:val="0563C1"/>
      <w:u w:val="single"/>
    </w:rPr>
  </w:style>
  <w:style w:type="paragraph" w:styleId="BodyText">
    <w:name w:val="Body Text"/>
    <w:basedOn w:val="Normal"/>
    <w:link w:val="BodyTextChar"/>
    <w:uiPriority w:val="1"/>
    <w:semiHidden/>
    <w:unhideWhenUsed/>
    <w:qFormat/>
    <w:rsid w:val="00C96277"/>
    <w:pPr>
      <w:widowControl w:val="0"/>
      <w:autoSpaceDE w:val="0"/>
      <w:autoSpaceDN w:val="0"/>
      <w:spacing w:after="0" w:line="240" w:lineRule="auto"/>
      <w:ind w:left="13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C96277"/>
    <w:rPr>
      <w:rFonts w:ascii="Times New Roman" w:eastAsia="Times New Roman" w:hAnsi="Times New Roman" w:cs="Times New Roman"/>
      <w:sz w:val="24"/>
      <w:szCs w:val="24"/>
      <w:lang w:val="en-US"/>
    </w:rPr>
  </w:style>
  <w:style w:type="table" w:styleId="TableGrid">
    <w:name w:val="Table Grid"/>
    <w:basedOn w:val="TableNormal"/>
    <w:uiPriority w:val="39"/>
    <w:rsid w:val="00C96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8E790E"/>
    <w:rPr>
      <w:rFonts w:ascii="Times New Roman" w:eastAsia="Times New Roman" w:hAnsi="Times New Roman" w:cs="Times New Roman"/>
      <w:i/>
      <w:sz w:val="20"/>
      <w:szCs w:val="20"/>
    </w:rPr>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8E790E"/>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locked/>
    <w:rsid w:val="008E790E"/>
    <w:rPr>
      <w:rFonts w:ascii="Times New Roman" w:eastAsia="Times New Roman" w:hAnsi="Times New Roman" w:cs="Times New Roman"/>
      <w:sz w:val="24"/>
      <w:szCs w:val="24"/>
      <w:lang w:val="en-US"/>
    </w:rPr>
  </w:style>
  <w:style w:type="paragraph" w:customStyle="1" w:styleId="Afiliasi">
    <w:name w:val="Afiliasi"/>
    <w:basedOn w:val="Normal"/>
    <w:qFormat/>
    <w:rsid w:val="008E790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BasicParagraph">
    <w:name w:val="[Basic Paragraph]"/>
    <w:basedOn w:val="Normal"/>
    <w:uiPriority w:val="99"/>
    <w:rsid w:val="003C25E2"/>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B5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5800/jjs.v8i1.15330"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doi.org/10.33487/edumaspul.v6i1.339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journal.uinjkt.ac.id/index.php/jk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fUz8h1cso4iowerOiT7zpaljlQ==">CgMxLjAyCGguZ2pkZ3hzOAByITF6Nmh5aWVWWlNVcTV0NHdCRlIzbFlCQ1NVNjBrMldhWg==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9A299F-D645-4A7E-9CC4-FDF6F8A0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Maisya _</dc:creator>
  <cp:lastModifiedBy>BYC</cp:lastModifiedBy>
  <cp:revision>15</cp:revision>
  <dcterms:created xsi:type="dcterms:W3CDTF">2023-02-16T02:37:00Z</dcterms:created>
  <dcterms:modified xsi:type="dcterms:W3CDTF">2024-06-07T05:17:00Z</dcterms:modified>
</cp:coreProperties>
</file>