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50" w:rsidRPr="00AD0450" w:rsidRDefault="00AD0450" w:rsidP="00AD0450">
      <w:pPr>
        <w:spacing w:before="100" w:beforeAutospacing="1" w:after="100" w:afterAutospacing="1"/>
        <w:ind w:firstLine="0"/>
        <w:jc w:val="center"/>
        <w:outlineLvl w:val="0"/>
        <w:rPr>
          <w:rFonts w:ascii="Calibri bold" w:hAnsi="Calibri bold"/>
          <w:b/>
          <w:bCs/>
          <w:color w:val="auto"/>
          <w:sz w:val="26"/>
          <w:szCs w:val="26"/>
          <w:rtl/>
          <w:lang w:eastAsia="en-US"/>
        </w:rPr>
      </w:pPr>
      <w:r w:rsidRPr="00AD0450">
        <w:rPr>
          <w:rFonts w:ascii="Calibri" w:hAnsi="Calibri" w:cs="Calibri"/>
          <w:b/>
          <w:bCs/>
          <w:color w:val="auto"/>
          <w:sz w:val="40"/>
          <w:szCs w:val="40"/>
          <w:rtl/>
          <w:lang w:eastAsia="en-US"/>
        </w:rPr>
        <w:t>تطبيقات قاعدة الحكم يدور مع علته وجود</w:t>
      </w:r>
      <w:r w:rsidRPr="00AD0450">
        <w:rPr>
          <w:rFonts w:ascii="Calibri" w:hAnsi="Calibri" w:cs="Calibri"/>
          <w:b/>
          <w:bCs/>
          <w:color w:val="auto"/>
          <w:sz w:val="40"/>
          <w:szCs w:val="40"/>
          <w:rtl/>
          <w:lang w:eastAsia="en-US" w:bidi="ar-OM"/>
        </w:rPr>
        <w:t>ً</w:t>
      </w:r>
      <w:r w:rsidRPr="00AD0450">
        <w:rPr>
          <w:rFonts w:ascii="Calibri" w:hAnsi="Calibri" w:cs="Calibri"/>
          <w:b/>
          <w:bCs/>
          <w:color w:val="auto"/>
          <w:sz w:val="40"/>
          <w:szCs w:val="40"/>
          <w:rtl/>
          <w:lang w:eastAsia="en-US"/>
        </w:rPr>
        <w:t xml:space="preserve">ا وعدمًا: المعاملات المالية </w:t>
      </w:r>
      <w:proofErr w:type="spellStart"/>
      <w:r w:rsidRPr="00AD0450">
        <w:rPr>
          <w:rFonts w:ascii="Calibri" w:hAnsi="Calibri" w:cs="Calibri"/>
          <w:b/>
          <w:bCs/>
          <w:color w:val="auto"/>
          <w:sz w:val="40"/>
          <w:szCs w:val="40"/>
          <w:rtl/>
          <w:lang w:eastAsia="en-US"/>
        </w:rPr>
        <w:t>أنموذجًا</w:t>
      </w:r>
      <w:proofErr w:type="spellEnd"/>
    </w:p>
    <w:p w:rsidR="00AD0450" w:rsidRPr="00AD0450" w:rsidRDefault="00AD0450" w:rsidP="00AD0450">
      <w:pPr>
        <w:spacing w:after="160"/>
        <w:ind w:firstLine="0"/>
        <w:jc w:val="center"/>
        <w:rPr>
          <w:rFonts w:ascii="Sakkal Majalla" w:eastAsia="Calibri" w:hAnsi="Sakkal Majalla" w:cs="Sakkal Majalla"/>
          <w:b/>
          <w:bCs/>
          <w:color w:val="auto"/>
          <w:sz w:val="32"/>
          <w:szCs w:val="32"/>
          <w:lang w:eastAsia="en-US"/>
        </w:rPr>
      </w:pP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اسم الباحث الأول: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محمد سعيد بن خليل المجاهد</w:t>
      </w:r>
    </w:p>
    <w:p w:rsidR="00AD0450" w:rsidRPr="00AD0450" w:rsidRDefault="00AD0450" w:rsidP="00AD0450">
      <w:pPr>
        <w:spacing w:after="160"/>
        <w:ind w:firstLine="0"/>
        <w:jc w:val="center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</w:pP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 xml:space="preserve">أستاذ مشارك في الفقه وأصوله </w:t>
      </w:r>
      <w:proofErr w:type="gramStart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- جامعة</w:t>
      </w:r>
      <w:proofErr w:type="gramEnd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 xml:space="preserve"> السلطان قابوس- كلية التربية- قسم العلوم الإسلامية، سلطنة عمان</w:t>
      </w:r>
    </w:p>
    <w:p w:rsidR="00AD0450" w:rsidRPr="00AD0450" w:rsidRDefault="00AD0450" w:rsidP="00AD0450">
      <w:pPr>
        <w:widowControl/>
        <w:spacing w:after="160"/>
        <w:ind w:firstLine="0"/>
        <w:jc w:val="center"/>
        <w:rPr>
          <w:rFonts w:ascii="Sakkal Majalla" w:eastAsia="Calibri" w:hAnsi="Sakkal Majalla" w:cs="Sakkal Majalla"/>
          <w:color w:val="auto"/>
          <w:sz w:val="28"/>
          <w:szCs w:val="28"/>
          <w:u w:val="single"/>
          <w:rtl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28"/>
          <w:szCs w:val="28"/>
          <w:u w:val="single"/>
          <w:lang w:val="en-GB" w:eastAsia="en-US"/>
        </w:rPr>
        <w:t>Almujahed@squ.edu.om</w:t>
      </w:r>
    </w:p>
    <w:p w:rsidR="00AD0450" w:rsidRPr="00AD0450" w:rsidRDefault="00AD0450" w:rsidP="00AD0450">
      <w:pPr>
        <w:widowControl/>
        <w:spacing w:after="160"/>
        <w:ind w:firstLine="0"/>
        <w:jc w:val="center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اسم الباحث الثاني: محمد بن سعيد بن </w:t>
      </w:r>
      <w:proofErr w:type="spellStart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تيتون</w:t>
      </w:r>
      <w:proofErr w:type="spellEnd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 الراشدي</w:t>
      </w:r>
    </w:p>
    <w:p w:rsidR="00AD0450" w:rsidRPr="00AD0450" w:rsidRDefault="00AD0450" w:rsidP="00AD0450">
      <w:pPr>
        <w:spacing w:after="160"/>
        <w:ind w:firstLine="0"/>
        <w:jc w:val="center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طالب دكتوراه – جامعة السلطان قابوس، سلطنة عمان</w:t>
      </w:r>
    </w:p>
    <w:p w:rsidR="00AD0450" w:rsidRPr="00AD0450" w:rsidRDefault="00AD0450" w:rsidP="00AD0450">
      <w:pPr>
        <w:spacing w:after="160"/>
        <w:ind w:firstLine="0"/>
        <w:jc w:val="center"/>
        <w:rPr>
          <w:rFonts w:ascii="Sakkal Majalla" w:eastAsia="Calibri" w:hAnsi="Sakkal Majalla" w:cs="Sakkal Majalla"/>
          <w:color w:val="auto"/>
          <w:sz w:val="28"/>
          <w:szCs w:val="28"/>
          <w:u w:val="single"/>
          <w:rtl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28"/>
          <w:szCs w:val="28"/>
          <w:u w:val="single"/>
          <w:lang w:eastAsia="en-US"/>
        </w:rPr>
        <w:t>Titoon88@gmail.com</w:t>
      </w:r>
    </w:p>
    <w:p w:rsidR="00AD0450" w:rsidRDefault="00AD0450" w:rsidP="00AD0450">
      <w:pPr>
        <w:pStyle w:val="af1"/>
        <w:spacing w:before="20" w:after="20"/>
        <w:jc w:val="center"/>
        <w:rPr>
          <w:rFonts w:ascii="Sakkal Majalla" w:hAnsi="Sakkal Majalla" w:cs="Sakkal Majalla"/>
          <w:sz w:val="32"/>
          <w:szCs w:val="32"/>
          <w:rtl/>
          <w:lang w:bidi="ar-OM"/>
        </w:rPr>
      </w:pPr>
    </w:p>
    <w:p w:rsidR="00AD0450" w:rsidRPr="00CF17F4" w:rsidRDefault="00AD0450" w:rsidP="00AD0450">
      <w:pPr>
        <w:pStyle w:val="af1"/>
        <w:spacing w:before="20" w:after="20"/>
        <w:jc w:val="center"/>
        <w:rPr>
          <w:rFonts w:ascii="Sakkal Majalla" w:hAnsi="Sakkal Majalla" w:cs="Sakkal Majalla"/>
          <w:sz w:val="32"/>
          <w:szCs w:val="32"/>
          <w:rtl/>
        </w:rPr>
      </w:pPr>
      <w:bookmarkStart w:id="0" w:name="_GoBack"/>
      <w:bookmarkEnd w:id="0"/>
      <w:r w:rsidRPr="00CF17F4">
        <w:rPr>
          <w:rFonts w:ascii="Sakkal Majalla" w:hAnsi="Sakkal Majalla" w:cs="Sakkal Majalla"/>
          <w:sz w:val="32"/>
          <w:szCs w:val="32"/>
          <w:rtl/>
          <w:lang w:bidi="ar-OM"/>
        </w:rPr>
        <w:t>المصادر والمراجع</w:t>
      </w:r>
    </w:p>
    <w:p w:rsidR="00AD0450" w:rsidRDefault="00AD0450" w:rsidP="00AD0450">
      <w:pPr>
        <w:widowControl/>
        <w:spacing w:before="20" w:after="20" w:line="259" w:lineRule="auto"/>
        <w:jc w:val="center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</w:p>
    <w:p w:rsidR="00AD0450" w:rsidRPr="00AD0450" w:rsidRDefault="00AD0450" w:rsidP="00AD0450">
      <w:pPr>
        <w:widowControl/>
        <w:numPr>
          <w:ilvl w:val="0"/>
          <w:numId w:val="3"/>
        </w:numPr>
        <w:tabs>
          <w:tab w:val="left" w:pos="8283"/>
        </w:tabs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إبراهيم، علي وآخرون،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النقود والمصارف في الشريعة الإسلامية،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مكتبة آفاق، الكويت، ط1، 1434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ه- 2013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الأثير، المبارك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النهاية في غريب الحديث والأثر،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ت: طاهر أحمد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الزاوى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ومحمود محمد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الطناحي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المكتبة العلمية،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1399هـ - 1979م.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ابن العربي،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محمد بن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أحكام القرآن،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محمد عبد القادر عطا، دار الكتب العلمية، بيروت – لبنان، ط3، 1424هـ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- 2003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م.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القصار، علي بن عمر،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عيون الأدلة في مسائل الخلاف بين فقهاء الأمصار،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عبد الحميد بن سعد السعودي، مكتبة الملك فهد الوطنية، الرياض – السعودية، 1426هـ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- 2006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أمير الحاج،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التقرير والتحرير في علم الأصول،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الفكر، بيروت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1417هـ - 1996م.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بركة،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عبد الله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كتاب الجامع،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ت: عيسى يحيى الباروني، وزارة التراث القومي والثقافة، سلطنة عمان،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بطال، علي بن خلف،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شرح صحيح البخاري،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أبو تميم ياسر بن إبراهيم، مكتبة الرشد، الرياض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السعودية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ط2، 1423هـ - 2003م.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حجر، أحمد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فتح الباري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شرح صحيح البخاري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ت: محب الدين الخطيب، دار المعرفة،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1379ه.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lastRenderedPageBreak/>
        <w:t xml:space="preserve">ابن دقيق العيد،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إحكام الأحكام شرح عمدة الأحكام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ت: حسن أحمد إسبر، دار ابن حزم،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، ط1، 1423ه- 2002م.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رشد، محمد بن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البيان والتحصيل والشرح والتوجيه والتعليل في مسائل المستخرجة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ت: محمد حجي، دار الغرب الإسلامي، بيروت – لبنان، ط2، 1408هـ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- 1988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ابن رشد،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محمد بن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بداية المجتهد ونهاية المقتصد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الحديث،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1425هـ - 2004م.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ابن عبد البر،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يوسف بن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الاستذكار،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سالم محمد عطا ومحمد علي معوض، دار الكتب العلمية،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1421ه – 2000م.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عبد البر، يوسف بن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التمهيد لما في الموطأ من المعاني والأسانيد،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مصطفى بن أحمد العلوي ومحمد عبد الكبير البكري، وزارة عموم الأوقاف والشؤون الإسلامية، المغرب، 1387هـ.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ابن قدامة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 xml:space="preserve">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أحمد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المغني،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دار الكتب العلمية،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ط1، 2009م.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ابن قدامة،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عبد الرحمن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الشرح الكبير على متن المقنع،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الكتاب العربي،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دم.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مفلح، إبراهيم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المبدع شرح المقنع،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عالم الكتب، الرياض،1423هـ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- 2003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منظور، محمد بن مكرم،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لسان العرب،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صادر، بيروت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ط3، 1414هـ.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ابن نجيم، زين الدين بن إبراهيم،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البحر الرائق شرح كنز الدقائق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الكتاب الإسلامي، ط2، دم،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أبو زهرة،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بحوث في الرِّبَا (ضمن كتاب دراسات فقهية)،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ص33.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إدريس عبد الفتاح محمود،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أحكام الشفعة في الفقه الإسلامي،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النسر الذهبي، دم، ط1، 1421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ه- 2000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الأزهري، محمد بن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تهذيب اللغة،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محمد عوض مرعب، دار إحياء التراث العربي، بيروت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ط1، 2001م.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أطفيش، محمد بن يوسف،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شرح كتاب النيل وشفاء العليل،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مكتبة الإرشاد،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جدة- السعودية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ط3، 1405ه- 1985م.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أيوب، حسن،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فقه المعاملات المالية في الإسلام،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دار السلام،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1423ه- 2003م.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after="16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البخاري، محمد بن إسماعيل،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صحيح البخاري،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ت: محمد زهير، دار طوق النجاة، ط1، 1422ه،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البسيوي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علي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 xml:space="preserve">جامع أبي الحسن </w:t>
      </w:r>
      <w:proofErr w:type="spellStart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البسيوي</w:t>
      </w:r>
      <w:proofErr w:type="spellEnd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ت: سليمان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الوارجلاني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وداود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الوارجلاني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، دم.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البسيوي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علي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مختصر </w:t>
      </w:r>
      <w:proofErr w:type="spellStart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البسيوي</w:t>
      </w:r>
      <w:proofErr w:type="spellEnd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سيف الهادي، منشورات موقع بصيرة، سلطنة عمان، ط1، 1436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ه- 2015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البغدادي، عبد الوهاب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الإشراف على نكت مسائل الخلاف،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الحبيب بن طاهر، دار ابن حزم، دم، ط1، 1420هـ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- 1999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البهوتي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منصور بن يونس،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دقائق أولي النهى لشرح المنتهى المعروف بشرح منتهى الإيرادات،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عالم الكتب، دم، ط1، 1414هـ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- 1993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after="16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الترمذي، محمد بن عيسى،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 xml:space="preserve">سنن الترمذي،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ت: محمد فؤاد عبد الباقي، مطبعة مصطفى الحلبي، مصر، ط2، 1359ه-1975م،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التمتمي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أحمد بن عبيد، القول الفصل في حكم ربا الفضل، مكتبة دار الكتاب الإسلامي،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بوشر- مسقط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التميمي، محمد بن علي، المُعْلم بفوائد مسلم، ت: محمد الشاذلي، المؤسّسة الوطنية للكتاب، الجزائر، ط2، 1988م.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التهانوي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محمد بن علي، كشاف اصطلاحات الفنون والعلوم، ت: علي دحروج، مكتبة لبنان، بيروت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1996م.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الجبوري، عبد الله، وعبد الحق حميش، أحكام المواريث والوصايا في الشريعة الإسلامية، كلية الدراسات العليا والبحث العلمي، جامعة الشارقة، الشارقة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الإمارات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1428ه- 2007م.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الجصاص، أحمد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شرح مختصر الطحاوي،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سائد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بكداش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البشائر الإسلامية،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1431هـ - 2010م.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الجوهري، إسماعيل بن حماد،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تاج اللغة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و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صحاح العربية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ت: أحمد عبد الغفور عطار، دار العلم للملايين، بيروت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ط4، 1407هـ‍ - 1987م.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الحثيثي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محمد بن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المعاني البديعة في معرفة اختلاف أهل الشريعة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ت: سيد محمد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مهنى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الكتب العلمية،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1419هـ - 1999م.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حسن،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الأوراق النقدية في الاقتصاد الإسلامي،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دمشق- سوريا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1420ه- 1999م.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الحصني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أبو بكر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كفاية الأخيار في حل غاية الاختصار،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علي عبد الحميد بلطجي ومحمد وهبي سليمان، دار الخير،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دمشق- سوريا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1994م.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الخروصي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جاعد بن خميس،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كتاب الطهارات،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حسن بن علي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الشعيلي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وزارة التراث والثقافة،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مسقط- سلطنة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عمان، ط1، 1433ه- 2012م.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الخطابي، حمد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شرح صحيح البخاري،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محمد بن سعد آل سعود، مركز البحوث العلمية وإحياء التراث الإسلامي، ط1، 1409 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- 1988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bookmarkStart w:id="1" w:name="الخطابي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الخطابي،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حمد بن محمد</w:t>
      </w:r>
      <w:bookmarkEnd w:id="1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معالم السنن،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المطبعة العلمية،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حلب- سوريا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1351هـ - 1932م.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الخفيف،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أحكام المعَامَلَات الشرعية،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2005م - 1426ه.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الخليلي، أحمد بن 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تفسير الآية (173) من سورة البقرة مضمنة في كتاب الفتاوى،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وزارة الأوقاف والشؤون الدينية، سلطنة عمان، 1434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ه- 2013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الخمليشي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الرِّبَا بين النصوص وتفسيرها وبين ما آل إليه التنظير والممارسة،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نشر المعرفة،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الرِّبَاط- المغرب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ط1، 2010م.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الدُّبْيَان، دُبْيَان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المعاملات المالية أصالة ومعاصرة،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مكتبة الملك فهد الوطنية، الرياض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المملكة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العربية السعودية، ط2، 1432هـ.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دية، عبد المجيد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القواعد والضوابط الفقهية لأحكام المبيع في الشريعة الإسلامية،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دار النفائس،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عمَّان- الأردن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ط1، 1425ه- 2005م.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  <w:t xml:space="preserve">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الرازي، أحمد بن فارس،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معجم مقاييس اللغة،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عبد السلام محمد هارون، دار الفكر، دم،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1399هـ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- 1979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الرازي، محمد بن أبي بكر،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مختار الصحاح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ت: يوسف محمد، المكتبة العصرية، بيروت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ط5، 1420هـ - 1999م.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after="16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الزبيدي، محمد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تاج العروس من جواهر القاموس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الهداية،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دم،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الزحيلي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الفقه الإسلامي وأدلته،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دمشق- سوريا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ط4، 1422ه- 2002م.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الزرقا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مصطفى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المدخل الفقهي العام،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القلم،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دمشق- سوريا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1418ه- 1998م.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زيدان، عبد الكريم،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المدخل لدراسة الشريعة الإسلامية،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مؤسسة الرسالة،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ط16، 1421ه- 2001م.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الزيلعي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عثمان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تبيين الحقائق شرح كنز الدقائق،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المطبعة الكبرى الأميرية،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1313هـ.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السالمي، عبد الله بن حميد،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شرح الجامع الصحيح،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مكتبة الإمام نور الدين السالمي،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السيب- عمان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ط10،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السرخسي، محمد بن أبي سهل،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المبسوط،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خليل محي الدين الميس، دار الفكر، بيروت-لبنان، ط1، 1421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ه- 2000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م.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سليمان، خالد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التكييف الشرعي للأوراق النقدية،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 الجامعي،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الإسكندرية-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2008م.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after="16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الشافعي، محمد بن إدريس،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الرسالة،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ت: أحمد شاكر، مكتبة الحلبي، مصر، ط1، 1358ه-1940م،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شبير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محمد عثمان،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المدخل إلى فقه المعَامَلَات المالِيَّة،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النفائس، الأردن، ط1، 1423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ه- 2004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  <w:t xml:space="preserve">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شبير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محمد عثمان،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المعَامَلَات المالِيَّة المعاصرة في الفقه الإسلامي،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النفائس، الأردن، ط4، 1422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ه- 2001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الشقصي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خميس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بن سعيد،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منهج الطالبين وبلاغ الراغبين،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مكتبة مسقط،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مسقط- عمان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1427ه- 2006م.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شلبي، محمد مصطفى،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أحكام الوصايا والأوقاف،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الدار الجامعية،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ط4، 1402ه- 1982م.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شلبي، محمد مصطفى،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المدخل في التعريف بالفقه الإسلامي وقواعد الملكية والعقود فيه،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النهضة العربية،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1403ه- 1983م.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الشماخي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عامر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كتاب الإيضاح،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مع حاشية: محمد بن عمر أبو ستة القصبي، وزارة التراث والثقافة، سلطنة عمان، ط5، 1425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ه- 2005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الشوكاني،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محمد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نيل الأوطار شرح منتقى الأخبار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ت: عصام الدين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الصبابطي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الحديث، مصر، ط1، 1413هـ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- 1993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الطحاوي، أحمد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مختصر اختلاف العلماء،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عبد الله نذير أحمد، دار البشائر الإسلامية،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ط2، 1417ه.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عبد العزيز،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محمد بن علي،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مقاصد الأحكام المالية عند ابن القيم وأثرها الفقهي،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كنوز إشبيليا،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الرياض- السعودية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1433ه- 2013م.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العراقي، عبد الرحيم بن الحسين،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طرح التثريب في شرح التقريب،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عبد القادر محمد علي، دار الكتب العلمية، بيروت – لبنان، ط2،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العربي، محمد بن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القبس في شرح موطأ مالك بن أنس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ت: محمد عبد الله، دار الغرب الإسلامي، دم، ط1، 1992م.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العربي، هشام يسري،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التيسير في المعَامَلَات المالِيَّة،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البشائر الإسلامية،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1433ه- 2012م.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العشماوي، محمد سعيد،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الرِّبَا والفائدة في الإسلام،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مكتبة مدبولي الصغير، (دم)، ط1، 1416ه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- 1996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العوتبي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سلمة بن مسلم،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كتاب الضياء،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ت: سليمان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الوارجلاني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وداود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الوارجلاني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، وزارة الأوقاف والشؤون الدينية، سلطنة عمان، ط1، 1436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ه- 2015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العيني، محمود بن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البناية شرح الهداية،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الكتب العلمية، بيروت-لبنان، ج2، 1420هـ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- 2000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العيني، محمود بن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عمدة القاري شرح صحيح البخاري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دار إحياء التراث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الغزالي،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محمد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الوسيط في المذهب،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أحمد محمود إبراهيم ومحمد محمد تامر، دار السلام، القاهرة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1417ه.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الغزالي، محمد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شفاء الغليل في بيان الشبه والمخيل ومسالك التعليل،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حمد الكبيسي، مطبعة الإرشاد،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بغداد- العراق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1390هـ - 1971م.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الفراهيدي، الخليل بن أحمد،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كتاب العين،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مهدي المخزومي وإبراهيم السامرائي، مكتبة الهلال، دم،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القرافي، أحمد بن إدريس،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الذخيرة،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محمد حجي، دار الغرب الإسلامي،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1994م.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القرضاوي،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يوسف،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فوائد البنوك هي الرِّبَا الحرام،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الصحوة،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ط2، 1412ه- 1991م.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قلعجي، محمد رواس وحامد صادق قنيبي،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معجم لغة الفقهاء،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النفائس، الأردن، ط2، 1408 هـ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- 1988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الكدمي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محمد بن سعيد،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زيادات أبي سعيد </w:t>
      </w:r>
      <w:proofErr w:type="spellStart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الكدمي</w:t>
      </w:r>
      <w:proofErr w:type="spellEnd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 على كتاب الإشراف لابن المنذر النيسابوري،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إبراهيم بن علي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بولرواح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وزارة الأوقاف والشؤون الدينية، سلطنة عمان، ط1، 1432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ه- 2011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كرسون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وليد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>شبهة الرِّبَا وأثرها في عقد البيع،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 دار الفكر الجامعي،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الاسكندرية-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، ط1، 2008م.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lang w:eastAsia="en-US"/>
        </w:rPr>
        <w:t xml:space="preserve">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الكلبي، محمد بن أحمد بن جزي،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القوانين الفقهية،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دار الكتب العلمية،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ط2، 2006م- 1427ه.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الكندي، ماجد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الوجيز في فقه المعاملات المالية عند الإباضية،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دم، ط1، 1434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ه- 2013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اللحيدان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صالح بن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عبدالله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العناصر المكونة للصفة المالِيَّة عند الفقهاء،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مجلة البحوث الإسلامية، السعودية.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الماوردي، علي بن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الحاوي الكبير في فقه مذهب الإمام الشافعي،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علي محمد وعادل أحمد، دار الكتب العلمية، بيروت – لبنان، ط1، 1419هـ -1999م.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المترك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عمر بن عبد العزيز،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الرِّبَا والمعاملات المصرفية في نظر الشريعة،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العاصمة، </w:t>
      </w:r>
      <w:proofErr w:type="spellStart"/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-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المخيني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صلاح بن ربيع،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الفقه </w:t>
      </w:r>
      <w:proofErr w:type="spellStart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الإباضي</w:t>
      </w:r>
      <w:proofErr w:type="spellEnd"/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 مقارنة بالفقهين الحنفي والشافعي،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دارا العلوم العربية،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ط1، 1431ه- 2010م.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المعتق، محمد،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الخمر وأحكامها في الشريعة الإسلامية،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المركز العربي للدراسات الأمنية والتدريب،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الرياض- السعودية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1405ه- 1985م.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موسى، محمد يوسف،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المدخل لدراسة الفقه الإسلامي،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الفكر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القاهرة- مصر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1430ه- 2009م.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النووي، يحيى بن شرف،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المنهاج شرح صحيح مسلم بن الحجاج،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دار إحياء التراث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ط2، 1392م. </w:t>
      </w:r>
    </w:p>
    <w:p w:rsidR="00AD0450" w:rsidRPr="00AD0450" w:rsidRDefault="00AD0450" w:rsidP="00AD0450">
      <w:pPr>
        <w:widowControl/>
        <w:numPr>
          <w:ilvl w:val="0"/>
          <w:numId w:val="3"/>
        </w:numPr>
        <w:autoSpaceDE w:val="0"/>
        <w:autoSpaceDN w:val="0"/>
        <w:adjustRightInd w:val="0"/>
        <w:spacing w:before="20" w:after="2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النيسابوري، مسلم بن الحجاج،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صحيح مسلم،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محمد فؤاد عبد الباقي، دار إحياء التراث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.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after="16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النيسابوري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مسلم بن الحجاج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صحيح مسلم،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ت: محمد فؤاد عبد الباقي، دار إحياء التراث العربي،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دط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</w:t>
      </w: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دت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،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after="160" w:line="259" w:lineRule="auto"/>
        <w:contextualSpacing/>
        <w:jc w:val="right"/>
        <w:rPr>
          <w:rFonts w:ascii="Sakkal Majalla" w:eastAsia="Calibri" w:hAnsi="Sakkal Majalla" w:cs="Sakkal Majalla"/>
          <w:color w:val="auto"/>
          <w:sz w:val="32"/>
          <w:szCs w:val="32"/>
          <w:lang w:eastAsia="en-US" w:bidi="ar-OM"/>
        </w:r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هاشم، عبد الله،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/>
        </w:rPr>
        <w:t xml:space="preserve">معلمة زايد للقواعد الفقهية والأصولية،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 xml:space="preserve">مؤسسة زايد بن سلطان آل نهيان، أبو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ظبي- الإمارات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/>
        </w:rPr>
        <w:t>، ط1، 1434ه- 2013م،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</w:pPr>
      <w:proofErr w:type="spell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الوارجلاني</w:t>
      </w:r>
      <w:proofErr w:type="spell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يوسف بن إبراهيم،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 xml:space="preserve">كتاب الترتيب، 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ت: عبد الله السالمي، مكتبة مسقط،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مسقط- عمان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، ط2، 1429ه- 2008م. </w:t>
      </w:r>
    </w:p>
    <w:p w:rsidR="00AD0450" w:rsidRPr="00AD0450" w:rsidRDefault="00AD0450" w:rsidP="00AD0450">
      <w:pPr>
        <w:widowControl/>
        <w:numPr>
          <w:ilvl w:val="0"/>
          <w:numId w:val="3"/>
        </w:numPr>
        <w:spacing w:before="20" w:after="20" w:line="259" w:lineRule="auto"/>
        <w:jc w:val="right"/>
        <w:rPr>
          <w:rFonts w:ascii="Simplified Arabic" w:eastAsia="Calibri" w:hAnsi="Simplified Arabic" w:cs="Simplified Arabic"/>
          <w:color w:val="auto"/>
          <w:sz w:val="26"/>
          <w:szCs w:val="26"/>
          <w:lang w:eastAsia="en-US" w:bidi="ar-OM"/>
        </w:rPr>
        <w:sectPr w:rsidR="00AD0450" w:rsidRPr="00AD0450" w:rsidSect="00C87EC8">
          <w:footerReference w:type="default" r:id="rId5"/>
          <w:footnotePr>
            <w:numRestart w:val="eachPage"/>
          </w:footnotePr>
          <w:pgSz w:w="11906" w:h="16838"/>
          <w:pgMar w:top="1134" w:right="1701" w:bottom="1134" w:left="1134" w:header="850" w:footer="850" w:gutter="0"/>
          <w:cols w:space="720"/>
          <w:titlePg/>
          <w:bidi/>
          <w:rtlGutter/>
          <w:docGrid w:linePitch="299"/>
        </w:sectPr>
      </w:pP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يعقوبي، رشيد بن الحسن، </w:t>
      </w:r>
      <w:r w:rsidRPr="00AD0450">
        <w:rPr>
          <w:rFonts w:ascii="Sakkal Majalla" w:eastAsia="Calibri" w:hAnsi="Sakkal Majalla" w:cs="Sakkal Majalla"/>
          <w:b/>
          <w:bCs/>
          <w:color w:val="auto"/>
          <w:sz w:val="32"/>
          <w:szCs w:val="32"/>
          <w:rtl/>
          <w:lang w:eastAsia="en-US" w:bidi="ar-OM"/>
        </w:rPr>
        <w:t>تحليل الخلاف الفقهي الفائدة البنكية في الاجتهاد الفقهي المعاصر نموذجا،</w:t>
      </w:r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 xml:space="preserve"> مركز نماء للبحوث والدراسات، </w:t>
      </w:r>
      <w:proofErr w:type="gramStart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بيروت- لبنان</w:t>
      </w:r>
      <w:proofErr w:type="gramEnd"/>
      <w:r w:rsidRPr="00AD0450">
        <w:rPr>
          <w:rFonts w:ascii="Sakkal Majalla" w:eastAsia="Calibri" w:hAnsi="Sakkal Majalla" w:cs="Sakkal Majalla"/>
          <w:color w:val="auto"/>
          <w:sz w:val="32"/>
          <w:szCs w:val="32"/>
          <w:rtl/>
          <w:lang w:eastAsia="en-US" w:bidi="ar-OM"/>
        </w:rPr>
        <w:t>، ط1، 201</w:t>
      </w:r>
      <w:r w:rsidRPr="00AD0450">
        <w:rPr>
          <w:rFonts w:ascii="Sakkal Majalla" w:eastAsia="Calibri" w:hAnsi="Sakkal Majalla" w:cs="Sakkal Majalla" w:hint="cs"/>
          <w:color w:val="auto"/>
          <w:sz w:val="32"/>
          <w:szCs w:val="32"/>
          <w:rtl/>
          <w:lang w:eastAsia="en-US" w:bidi="ar-OM"/>
        </w:rPr>
        <w:t>1.</w:t>
      </w:r>
    </w:p>
    <w:p w:rsidR="00C5563F" w:rsidRPr="00AD0450" w:rsidRDefault="00C5563F">
      <w:pPr>
        <w:rPr>
          <w:rFonts w:hint="cs"/>
        </w:rPr>
      </w:pPr>
    </w:p>
    <w:sectPr w:rsidR="00C5563F" w:rsidRPr="00AD0450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/>
        <w:sz w:val="32"/>
        <w:szCs w:val="32"/>
        <w:rtl/>
        <w:lang w:val="ar-SA"/>
      </w:rPr>
      <w:id w:val="10181226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61647" w:rsidRPr="00C527F5" w:rsidRDefault="00AD0450" w:rsidP="00072EDE">
        <w:pPr>
          <w:pStyle w:val="afc"/>
          <w:jc w:val="center"/>
          <w:rPr>
            <w:rFonts w:ascii="Traditional Arabic" w:hAnsi="Traditional Arabic"/>
            <w:sz w:val="24"/>
            <w:szCs w:val="24"/>
          </w:rPr>
        </w:pPr>
        <w:r w:rsidRPr="00C527F5">
          <w:rPr>
            <w:rFonts w:ascii="Traditional Arabic" w:hAnsi="Traditional Arabic"/>
            <w:sz w:val="24"/>
            <w:szCs w:val="24"/>
            <w:rtl/>
            <w:lang w:val="ar-SA"/>
          </w:rPr>
          <w:t>[</w:t>
        </w:r>
        <w:r w:rsidRPr="00C527F5">
          <w:rPr>
            <w:rFonts w:ascii="Traditional Arabic" w:hAnsi="Traditional Arabic"/>
            <w:sz w:val="24"/>
            <w:szCs w:val="24"/>
          </w:rPr>
          <w:fldChar w:fldCharType="begin"/>
        </w:r>
        <w:r w:rsidRPr="00C527F5">
          <w:rPr>
            <w:rFonts w:ascii="Traditional Arabic" w:hAnsi="Traditional Arabic"/>
            <w:sz w:val="24"/>
            <w:szCs w:val="24"/>
          </w:rPr>
          <w:instrText>PAGE   \* MERGEFORMAT</w:instrText>
        </w:r>
        <w:r w:rsidRPr="00C527F5">
          <w:rPr>
            <w:rFonts w:ascii="Traditional Arabic" w:hAnsi="Traditional Arabic"/>
            <w:sz w:val="24"/>
            <w:szCs w:val="24"/>
          </w:rPr>
          <w:fldChar w:fldCharType="separate"/>
        </w:r>
        <w:r w:rsidRPr="00AD0450">
          <w:rPr>
            <w:rFonts w:ascii="Traditional Arabic" w:hAnsi="Traditional Arabic"/>
            <w:noProof/>
            <w:sz w:val="24"/>
            <w:szCs w:val="24"/>
            <w:rtl/>
            <w:lang w:val="ar-SA"/>
          </w:rPr>
          <w:t>8</w:t>
        </w:r>
        <w:r w:rsidRPr="00C527F5">
          <w:rPr>
            <w:rFonts w:ascii="Traditional Arabic" w:hAnsi="Traditional Arabic"/>
            <w:sz w:val="24"/>
            <w:szCs w:val="24"/>
          </w:rPr>
          <w:fldChar w:fldCharType="end"/>
        </w:r>
        <w:r w:rsidRPr="00C527F5">
          <w:rPr>
            <w:rFonts w:ascii="Traditional Arabic" w:hAnsi="Traditional Arabic"/>
            <w:sz w:val="24"/>
            <w:szCs w:val="24"/>
            <w:rtl/>
            <w:lang w:val="ar-SA"/>
          </w:rPr>
          <w:t>]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3BBC4BD0"/>
    <w:multiLevelType w:val="hybridMultilevel"/>
    <w:tmpl w:val="67FE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50"/>
    <w:rsid w:val="00010338"/>
    <w:rsid w:val="00051AF1"/>
    <w:rsid w:val="00075B92"/>
    <w:rsid w:val="000762B5"/>
    <w:rsid w:val="00083E2A"/>
    <w:rsid w:val="00085FD5"/>
    <w:rsid w:val="00086458"/>
    <w:rsid w:val="00097DCB"/>
    <w:rsid w:val="00097FFE"/>
    <w:rsid w:val="000A4F6E"/>
    <w:rsid w:val="000C08E4"/>
    <w:rsid w:val="000D202C"/>
    <w:rsid w:val="000D4E91"/>
    <w:rsid w:val="000E2621"/>
    <w:rsid w:val="000F66E4"/>
    <w:rsid w:val="00103F63"/>
    <w:rsid w:val="001068B1"/>
    <w:rsid w:val="001128A7"/>
    <w:rsid w:val="00141577"/>
    <w:rsid w:val="001565A6"/>
    <w:rsid w:val="00166094"/>
    <w:rsid w:val="00170C30"/>
    <w:rsid w:val="001B3220"/>
    <w:rsid w:val="001C442F"/>
    <w:rsid w:val="001D052F"/>
    <w:rsid w:val="001D481B"/>
    <w:rsid w:val="001E4C5C"/>
    <w:rsid w:val="001E7CDA"/>
    <w:rsid w:val="00211079"/>
    <w:rsid w:val="00247F6A"/>
    <w:rsid w:val="00251DDA"/>
    <w:rsid w:val="00265D0C"/>
    <w:rsid w:val="0027116D"/>
    <w:rsid w:val="00271A98"/>
    <w:rsid w:val="002A02E6"/>
    <w:rsid w:val="002B0C36"/>
    <w:rsid w:val="002C0C10"/>
    <w:rsid w:val="002C46BD"/>
    <w:rsid w:val="002E49D1"/>
    <w:rsid w:val="00301329"/>
    <w:rsid w:val="00302AFA"/>
    <w:rsid w:val="00305526"/>
    <w:rsid w:val="00331AAC"/>
    <w:rsid w:val="003342E2"/>
    <w:rsid w:val="00336EC0"/>
    <w:rsid w:val="00354155"/>
    <w:rsid w:val="00355E33"/>
    <w:rsid w:val="00375B35"/>
    <w:rsid w:val="00396E40"/>
    <w:rsid w:val="003A21AB"/>
    <w:rsid w:val="003B1D08"/>
    <w:rsid w:val="003D24FD"/>
    <w:rsid w:val="003D7B61"/>
    <w:rsid w:val="003E2227"/>
    <w:rsid w:val="003E30E3"/>
    <w:rsid w:val="003E7979"/>
    <w:rsid w:val="004220B9"/>
    <w:rsid w:val="004445F8"/>
    <w:rsid w:val="00456458"/>
    <w:rsid w:val="004A3F44"/>
    <w:rsid w:val="004D35AB"/>
    <w:rsid w:val="004E2E56"/>
    <w:rsid w:val="00510574"/>
    <w:rsid w:val="00512C46"/>
    <w:rsid w:val="0052534B"/>
    <w:rsid w:val="005449D1"/>
    <w:rsid w:val="00562912"/>
    <w:rsid w:val="0059363D"/>
    <w:rsid w:val="005C7D9D"/>
    <w:rsid w:val="0064321A"/>
    <w:rsid w:val="006722CA"/>
    <w:rsid w:val="0068596A"/>
    <w:rsid w:val="006B0418"/>
    <w:rsid w:val="006C7759"/>
    <w:rsid w:val="006E234E"/>
    <w:rsid w:val="006E58D1"/>
    <w:rsid w:val="006E6B72"/>
    <w:rsid w:val="006E6BA2"/>
    <w:rsid w:val="006F4CA7"/>
    <w:rsid w:val="0074520F"/>
    <w:rsid w:val="00745937"/>
    <w:rsid w:val="00761931"/>
    <w:rsid w:val="00777673"/>
    <w:rsid w:val="00793F74"/>
    <w:rsid w:val="007B10E0"/>
    <w:rsid w:val="007B5D2B"/>
    <w:rsid w:val="007C22D4"/>
    <w:rsid w:val="007F6F87"/>
    <w:rsid w:val="0080190E"/>
    <w:rsid w:val="00807F8F"/>
    <w:rsid w:val="00835DF6"/>
    <w:rsid w:val="008452E1"/>
    <w:rsid w:val="00845B16"/>
    <w:rsid w:val="008638E0"/>
    <w:rsid w:val="00875E98"/>
    <w:rsid w:val="00890336"/>
    <w:rsid w:val="008C5C3F"/>
    <w:rsid w:val="008F42FA"/>
    <w:rsid w:val="008F4869"/>
    <w:rsid w:val="00923838"/>
    <w:rsid w:val="00977525"/>
    <w:rsid w:val="009906A4"/>
    <w:rsid w:val="00991E40"/>
    <w:rsid w:val="009A7ACE"/>
    <w:rsid w:val="009B2F82"/>
    <w:rsid w:val="009B682D"/>
    <w:rsid w:val="009B7238"/>
    <w:rsid w:val="009C2613"/>
    <w:rsid w:val="009E3A63"/>
    <w:rsid w:val="009E416A"/>
    <w:rsid w:val="009F26D1"/>
    <w:rsid w:val="00A218B7"/>
    <w:rsid w:val="00A342DF"/>
    <w:rsid w:val="00A44C74"/>
    <w:rsid w:val="00A65CAD"/>
    <w:rsid w:val="00A77F53"/>
    <w:rsid w:val="00AD0450"/>
    <w:rsid w:val="00AD4E8E"/>
    <w:rsid w:val="00B26F80"/>
    <w:rsid w:val="00B432B8"/>
    <w:rsid w:val="00BC6176"/>
    <w:rsid w:val="00C126BD"/>
    <w:rsid w:val="00C26768"/>
    <w:rsid w:val="00C5563F"/>
    <w:rsid w:val="00C9592D"/>
    <w:rsid w:val="00CB6B30"/>
    <w:rsid w:val="00CC2130"/>
    <w:rsid w:val="00CD470B"/>
    <w:rsid w:val="00CE4C14"/>
    <w:rsid w:val="00D26D79"/>
    <w:rsid w:val="00D404E6"/>
    <w:rsid w:val="00D54803"/>
    <w:rsid w:val="00D63D87"/>
    <w:rsid w:val="00D67B73"/>
    <w:rsid w:val="00DA2616"/>
    <w:rsid w:val="00DB31DB"/>
    <w:rsid w:val="00DB5871"/>
    <w:rsid w:val="00DC0FA9"/>
    <w:rsid w:val="00DE4C74"/>
    <w:rsid w:val="00DF3362"/>
    <w:rsid w:val="00E11D81"/>
    <w:rsid w:val="00E143F7"/>
    <w:rsid w:val="00E40ACF"/>
    <w:rsid w:val="00E40F6C"/>
    <w:rsid w:val="00E43158"/>
    <w:rsid w:val="00E50952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34E9C"/>
    <w:rsid w:val="00F61602"/>
    <w:rsid w:val="00F668B1"/>
    <w:rsid w:val="00F70AF8"/>
    <w:rsid w:val="00F97628"/>
    <w:rsid w:val="00FA2C9F"/>
    <w:rsid w:val="00FB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819B38-E2CC-4FA9-B951-C3092AB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link w:val="Char"/>
    <w:uiPriority w:val="99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semiHidden/>
    <w:unhideWhenUsed/>
    <w:rsid w:val="00AD045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semiHidden/>
    <w:rsid w:val="00AD0450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أساسي Char"/>
    <w:basedOn w:val="a0"/>
    <w:link w:val="af1"/>
    <w:uiPriority w:val="99"/>
    <w:rsid w:val="00AD0450"/>
    <w:rPr>
      <w:rFonts w:cs="Traditional Arabic"/>
      <w:color w:val="000000"/>
      <w:sz w:val="24"/>
      <w:szCs w:val="3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1625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2" baseType="lpstr">
      <vt:lpstr/>
      <vt:lpstr>تطبيقات قاعدة الحكم يدور مع علته وجودًا وعدمًا: المعاملات المالية أنموذجًا</vt:lpstr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</cp:revision>
  <dcterms:created xsi:type="dcterms:W3CDTF">2021-11-26T06:56:00Z</dcterms:created>
  <dcterms:modified xsi:type="dcterms:W3CDTF">2021-11-26T06:57:00Z</dcterms:modified>
</cp:coreProperties>
</file>