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29" w:rsidRPr="0005021E" w:rsidRDefault="00B86480" w:rsidP="00B86480">
      <w:pPr>
        <w:jc w:val="center"/>
        <w:rPr>
          <w:rFonts w:ascii="Segoe UI" w:hAnsi="Segoe UI" w:cs="Segoe UI"/>
          <w:b/>
          <w:sz w:val="28"/>
          <w:szCs w:val="28"/>
        </w:rPr>
      </w:pPr>
      <w:r w:rsidRPr="0005021E">
        <w:rPr>
          <w:rFonts w:ascii="Segoe UI" w:hAnsi="Segoe UI" w:cs="Segoe UI"/>
          <w:b/>
          <w:sz w:val="28"/>
          <w:szCs w:val="28"/>
        </w:rPr>
        <w:t>Gambaran Pengetahuan dan Perilaku Manajemen Prehipertensi Pada Dewasa Muda Di Wilayah Kerja Puskesmas Babelan 1</w:t>
      </w:r>
    </w:p>
    <w:p w:rsidR="00B86480" w:rsidRPr="00164A04" w:rsidRDefault="00B86480" w:rsidP="00164A04">
      <w:pPr>
        <w:spacing w:after="0" w:line="240" w:lineRule="auto"/>
        <w:jc w:val="center"/>
        <w:rPr>
          <w:rFonts w:ascii="Segoe UI" w:hAnsi="Segoe UI" w:cs="Segoe UI"/>
          <w:b/>
          <w:sz w:val="20"/>
          <w:szCs w:val="20"/>
          <w:vertAlign w:val="superscript"/>
        </w:rPr>
      </w:pPr>
      <w:r w:rsidRPr="00164A04">
        <w:rPr>
          <w:rFonts w:ascii="Segoe UI" w:hAnsi="Segoe UI" w:cs="Segoe UI"/>
          <w:b/>
          <w:sz w:val="20"/>
          <w:szCs w:val="20"/>
        </w:rPr>
        <w:t xml:space="preserve">Sukatmi </w:t>
      </w:r>
      <w:proofErr w:type="gramStart"/>
      <w:r w:rsidRPr="00164A04">
        <w:rPr>
          <w:rFonts w:ascii="Segoe UI" w:hAnsi="Segoe UI" w:cs="Segoe UI"/>
          <w:b/>
          <w:sz w:val="20"/>
          <w:szCs w:val="20"/>
        </w:rPr>
        <w:t>Wati</w:t>
      </w:r>
      <w:r w:rsidRPr="00164A04">
        <w:rPr>
          <w:rFonts w:ascii="Segoe UI" w:hAnsi="Segoe UI" w:cs="Segoe UI"/>
          <w:b/>
          <w:sz w:val="20"/>
          <w:szCs w:val="20"/>
          <w:vertAlign w:val="superscript"/>
        </w:rPr>
        <w:t>1</w:t>
      </w:r>
      <w:r w:rsidRPr="00164A04">
        <w:rPr>
          <w:rFonts w:ascii="Segoe UI" w:hAnsi="Segoe UI" w:cs="Segoe UI"/>
          <w:b/>
          <w:sz w:val="20"/>
          <w:szCs w:val="20"/>
        </w:rPr>
        <w:t xml:space="preserve"> ,</w:t>
      </w:r>
      <w:proofErr w:type="gramEnd"/>
      <w:r w:rsidRPr="00164A04">
        <w:rPr>
          <w:rFonts w:ascii="Segoe UI" w:hAnsi="Segoe UI" w:cs="Segoe UI"/>
          <w:b/>
          <w:sz w:val="20"/>
          <w:szCs w:val="20"/>
        </w:rPr>
        <w:t xml:space="preserve"> Dini Tryastuti</w:t>
      </w:r>
      <w:r w:rsidRPr="00164A04">
        <w:rPr>
          <w:rFonts w:ascii="Segoe UI" w:hAnsi="Segoe UI" w:cs="Segoe UI"/>
          <w:b/>
          <w:sz w:val="20"/>
          <w:szCs w:val="20"/>
          <w:vertAlign w:val="superscript"/>
        </w:rPr>
        <w:t>2</w:t>
      </w:r>
    </w:p>
    <w:p w:rsidR="00B86480" w:rsidRPr="00164A04" w:rsidRDefault="005D5EC0" w:rsidP="00164A04">
      <w:pPr>
        <w:spacing w:after="0" w:line="240" w:lineRule="auto"/>
        <w:jc w:val="center"/>
        <w:rPr>
          <w:rFonts w:ascii="Segoe UI" w:hAnsi="Segoe UI" w:cs="Segoe UI"/>
          <w:b/>
          <w:sz w:val="20"/>
          <w:szCs w:val="20"/>
        </w:rPr>
      </w:pPr>
      <w:r w:rsidRPr="00164A04">
        <w:rPr>
          <w:rFonts w:ascii="Segoe UI" w:hAnsi="Segoe UI" w:cs="Segoe UI"/>
          <w:b/>
          <w:sz w:val="20"/>
          <w:szCs w:val="20"/>
          <w:vertAlign w:val="superscript"/>
        </w:rPr>
        <w:t>1</w:t>
      </w:r>
      <w:r w:rsidR="00B86480" w:rsidRPr="00164A04">
        <w:rPr>
          <w:rFonts w:ascii="Segoe UI" w:hAnsi="Segoe UI" w:cs="Segoe UI"/>
          <w:b/>
          <w:sz w:val="20"/>
          <w:szCs w:val="20"/>
        </w:rPr>
        <w:t xml:space="preserve">UIN Syarif Hidayatullah Jakarta, </w:t>
      </w:r>
      <w:r w:rsidRPr="00164A04">
        <w:rPr>
          <w:rFonts w:ascii="Segoe UI" w:hAnsi="Segoe UI" w:cs="Segoe UI"/>
          <w:b/>
          <w:sz w:val="20"/>
          <w:szCs w:val="20"/>
        </w:rPr>
        <w:t>Banten 15412, Indonesia</w:t>
      </w:r>
    </w:p>
    <w:p w:rsidR="005D5EC0" w:rsidRPr="00164A04" w:rsidRDefault="005D5EC0" w:rsidP="00164A04">
      <w:pPr>
        <w:spacing w:after="0" w:line="240" w:lineRule="auto"/>
        <w:jc w:val="center"/>
        <w:rPr>
          <w:rFonts w:ascii="Segoe UI" w:hAnsi="Segoe UI" w:cs="Segoe UI"/>
          <w:b/>
          <w:sz w:val="20"/>
          <w:szCs w:val="20"/>
        </w:rPr>
      </w:pPr>
      <w:r w:rsidRPr="00164A04">
        <w:rPr>
          <w:rFonts w:ascii="Segoe UI" w:hAnsi="Segoe UI" w:cs="Segoe UI"/>
          <w:b/>
          <w:sz w:val="20"/>
          <w:szCs w:val="20"/>
        </w:rPr>
        <w:t xml:space="preserve">Email: </w:t>
      </w:r>
      <w:hyperlink r:id="rId7" w:history="1">
        <w:r w:rsidRPr="00164A04">
          <w:rPr>
            <w:rStyle w:val="Hyperlink"/>
            <w:rFonts w:ascii="Segoe UI" w:hAnsi="Segoe UI" w:cs="Segoe UI"/>
            <w:b/>
            <w:sz w:val="20"/>
            <w:szCs w:val="20"/>
          </w:rPr>
          <w:t>sukatmi.wati18@mhs.uinjkt.ac.id</w:t>
        </w:r>
      </w:hyperlink>
      <w:r w:rsidRPr="00164A04">
        <w:rPr>
          <w:rFonts w:ascii="Segoe UI" w:hAnsi="Segoe UI" w:cs="Segoe UI"/>
          <w:b/>
          <w:sz w:val="20"/>
          <w:szCs w:val="20"/>
        </w:rPr>
        <w:t xml:space="preserve"> </w:t>
      </w:r>
    </w:p>
    <w:p w:rsidR="00B86480" w:rsidRPr="00164A04" w:rsidRDefault="005D5EC0" w:rsidP="00164A04">
      <w:pPr>
        <w:spacing w:after="0" w:line="240" w:lineRule="auto"/>
        <w:jc w:val="center"/>
        <w:rPr>
          <w:rFonts w:ascii="Segoe UI" w:hAnsi="Segoe UI" w:cs="Segoe UI"/>
          <w:b/>
          <w:sz w:val="20"/>
          <w:szCs w:val="20"/>
        </w:rPr>
      </w:pPr>
      <w:r w:rsidRPr="00164A04">
        <w:rPr>
          <w:rFonts w:ascii="Segoe UI" w:hAnsi="Segoe UI" w:cs="Segoe UI"/>
          <w:b/>
          <w:sz w:val="20"/>
          <w:szCs w:val="20"/>
          <w:vertAlign w:val="superscript"/>
        </w:rPr>
        <w:t>2</w:t>
      </w:r>
      <w:r w:rsidRPr="00164A04">
        <w:rPr>
          <w:rFonts w:ascii="Segoe UI" w:hAnsi="Segoe UI" w:cs="Segoe UI"/>
          <w:b/>
          <w:sz w:val="20"/>
          <w:szCs w:val="20"/>
        </w:rPr>
        <w:t>UIN Syarif Hidayatullah Jakarta, Banten 15412, Indonesia</w:t>
      </w:r>
    </w:p>
    <w:p w:rsidR="005D5EC0" w:rsidRDefault="005D5EC0" w:rsidP="00164A04">
      <w:pPr>
        <w:spacing w:after="0" w:line="240" w:lineRule="auto"/>
        <w:jc w:val="center"/>
        <w:rPr>
          <w:rFonts w:ascii="Times New Roman" w:hAnsi="Times New Roman" w:cs="Times New Roman"/>
          <w:b/>
        </w:rPr>
      </w:pPr>
      <w:r w:rsidRPr="00164A04">
        <w:rPr>
          <w:rFonts w:ascii="Segoe UI" w:hAnsi="Segoe UI" w:cs="Segoe UI"/>
          <w:b/>
          <w:sz w:val="20"/>
          <w:szCs w:val="20"/>
        </w:rPr>
        <w:t xml:space="preserve">Email: </w:t>
      </w:r>
      <w:hyperlink r:id="rId8" w:history="1">
        <w:r w:rsidRPr="00164A04">
          <w:rPr>
            <w:rStyle w:val="Hyperlink"/>
            <w:rFonts w:ascii="Segoe UI" w:hAnsi="Segoe UI" w:cs="Segoe UI"/>
            <w:b/>
            <w:sz w:val="20"/>
            <w:szCs w:val="20"/>
          </w:rPr>
          <w:t>dini.tryastuti@uinjkt.ac.id</w:t>
        </w:r>
      </w:hyperlink>
    </w:p>
    <w:p w:rsidR="00161F2E" w:rsidRPr="00164A04" w:rsidRDefault="00161F2E" w:rsidP="00161F2E">
      <w:pPr>
        <w:spacing w:before="100" w:beforeAutospacing="1" w:line="240" w:lineRule="auto"/>
        <w:jc w:val="center"/>
        <w:rPr>
          <w:rFonts w:ascii="Segoe UI" w:hAnsi="Segoe UI" w:cs="Segoe UI"/>
          <w:b/>
          <w:i/>
        </w:rPr>
      </w:pPr>
      <w:r w:rsidRPr="00164A04">
        <w:rPr>
          <w:rFonts w:ascii="Segoe UI" w:hAnsi="Segoe UI" w:cs="Segoe UI"/>
          <w:b/>
          <w:i/>
        </w:rPr>
        <w:t>Abstract</w:t>
      </w:r>
    </w:p>
    <w:p w:rsidR="00161F2E" w:rsidRDefault="00161F2E" w:rsidP="00161F2E">
      <w:pPr>
        <w:spacing w:line="240" w:lineRule="auto"/>
        <w:jc w:val="both"/>
        <w:rPr>
          <w:rFonts w:ascii="Segoe UI" w:hAnsi="Segoe UI" w:cs="Segoe UI"/>
          <w:b/>
          <w:i/>
        </w:rPr>
      </w:pPr>
      <w:r w:rsidRPr="00164A04">
        <w:rPr>
          <w:rFonts w:ascii="Segoe UI" w:hAnsi="Segoe UI" w:cs="Segoe UI"/>
          <w:i/>
        </w:rPr>
        <w:t xml:space="preserve">Prehypertension is a condition where systolic blood pressure is 120-139 mmHg or diastolic blood pressure is 80-89 mmHg. Prehypertension is not a disease category, but people with prehypertension are at great risk for 2-4 consecutive years of hypertension and stroke if not controlled in the future compared to normal blood pressure. Cases of prehypertension are often found in young adults, because young adulthood is a stage and growth in human life such as healthy behavior, eating habits and physical activity that can be modified so as to improve health. The purpose of this study was to describe the knowledge and behavior of prehypertension management in adults in the working area of ​​the Babelan Health Center 1. </w:t>
      </w:r>
      <w:proofErr w:type="gramStart"/>
      <w:r w:rsidRPr="00164A04">
        <w:rPr>
          <w:rFonts w:ascii="Segoe UI" w:hAnsi="Segoe UI" w:cs="Segoe UI"/>
          <w:i/>
        </w:rPr>
        <w:t>The research method, namely quantitative descriptive using a questionnaire of knowledge and behavior of prehypertension management.</w:t>
      </w:r>
      <w:proofErr w:type="gramEnd"/>
      <w:r w:rsidRPr="00164A04">
        <w:rPr>
          <w:rFonts w:ascii="Segoe UI" w:hAnsi="Segoe UI" w:cs="Segoe UI"/>
          <w:i/>
        </w:rPr>
        <w:t xml:space="preserve"> The</w:t>
      </w:r>
      <w:r>
        <w:rPr>
          <w:rFonts w:ascii="Segoe UI" w:hAnsi="Segoe UI" w:cs="Segoe UI"/>
          <w:i/>
        </w:rPr>
        <w:t xml:space="preserve"> </w:t>
      </w:r>
      <w:proofErr w:type="gramStart"/>
      <w:r>
        <w:rPr>
          <w:rFonts w:ascii="Segoe UI" w:hAnsi="Segoe UI" w:cs="Segoe UI"/>
          <w:i/>
        </w:rPr>
        <w:t>number of samples as many as 107</w:t>
      </w:r>
      <w:bookmarkStart w:id="0" w:name="_GoBack"/>
      <w:bookmarkEnd w:id="0"/>
      <w:r w:rsidRPr="00164A04">
        <w:rPr>
          <w:rFonts w:ascii="Segoe UI" w:hAnsi="Segoe UI" w:cs="Segoe UI"/>
          <w:i/>
        </w:rPr>
        <w:t xml:space="preserve"> young adults were</w:t>
      </w:r>
      <w:proofErr w:type="gramEnd"/>
      <w:r w:rsidRPr="00164A04">
        <w:rPr>
          <w:rFonts w:ascii="Segoe UI" w:hAnsi="Segoe UI" w:cs="Segoe UI"/>
          <w:i/>
        </w:rPr>
        <w:t xml:space="preserve"> taken using accidental sampling technique. The results showed that most young adults with prehypertension in the working area of ​​the Babelan 1 Health Center had good knowledge (45.8%), but there were still those who had sufficient knowledge (43%) and less (11.2%). There are still many behaviors that do not reflect healthy living in hypertension management such as not consuming 4-5 bowls of fruit per day (77.6%), not consuming 4-5 bowls of vegetables per day (67.3%) not maintaining a normal BMI (62.6%), salt consumption more than 1 tsp per day (55.1%), and there are still young adults with prehypertension who smoke (26.2%) and consume alcohol (5.6%). These results can be input for nurses for the management of preventive promotive efforts in prehypertension adults.</w:t>
      </w:r>
    </w:p>
    <w:p w:rsidR="00161F2E" w:rsidRPr="00161F2E" w:rsidRDefault="00161F2E" w:rsidP="00161F2E">
      <w:pPr>
        <w:spacing w:line="240" w:lineRule="auto"/>
        <w:jc w:val="both"/>
        <w:rPr>
          <w:rFonts w:ascii="Segoe UI" w:hAnsi="Segoe UI" w:cs="Segoe UI"/>
          <w:b/>
          <w:i/>
        </w:rPr>
      </w:pPr>
      <w:r w:rsidRPr="00164A04">
        <w:rPr>
          <w:rFonts w:ascii="Segoe UI" w:hAnsi="Segoe UI" w:cs="Segoe UI"/>
          <w:i/>
        </w:rPr>
        <w:t>Keywords: Knowledge, Behavior, Young Adults, Prehypertension Management</w:t>
      </w:r>
    </w:p>
    <w:p w:rsidR="005D5EC0" w:rsidRPr="00164A04" w:rsidRDefault="005D5EC0" w:rsidP="00164A04">
      <w:pPr>
        <w:spacing w:before="240" w:after="0" w:line="240" w:lineRule="auto"/>
        <w:jc w:val="center"/>
        <w:rPr>
          <w:rFonts w:ascii="Segoe UI" w:hAnsi="Segoe UI" w:cs="Segoe UI"/>
          <w:b/>
        </w:rPr>
      </w:pPr>
      <w:r w:rsidRPr="00164A04">
        <w:rPr>
          <w:rFonts w:ascii="Segoe UI" w:hAnsi="Segoe UI" w:cs="Segoe UI"/>
          <w:b/>
        </w:rPr>
        <w:t xml:space="preserve">Abstrak </w:t>
      </w:r>
    </w:p>
    <w:p w:rsidR="00DA3208" w:rsidRPr="00164A04" w:rsidRDefault="00DA3208" w:rsidP="00164A04">
      <w:pPr>
        <w:spacing w:before="120" w:after="0" w:line="240" w:lineRule="auto"/>
        <w:jc w:val="both"/>
        <w:rPr>
          <w:rFonts w:ascii="Segoe UI" w:hAnsi="Segoe UI" w:cs="Segoe UI"/>
        </w:rPr>
      </w:pPr>
      <w:proofErr w:type="gramStart"/>
      <w:r w:rsidRPr="00164A04">
        <w:rPr>
          <w:rFonts w:ascii="Segoe UI" w:hAnsi="Segoe UI" w:cs="Segoe UI"/>
        </w:rPr>
        <w:t>Prehipertensi merupakan kondisi tekanan darah sistol 120-139 mmHg atau tekanan darah diastole 80-89 mmHg.</w:t>
      </w:r>
      <w:proofErr w:type="gramEnd"/>
      <w:r w:rsidRPr="00164A04">
        <w:rPr>
          <w:rFonts w:ascii="Segoe UI" w:hAnsi="Segoe UI" w:cs="Segoe UI"/>
        </w:rPr>
        <w:t xml:space="preserve"> </w:t>
      </w:r>
      <w:proofErr w:type="gramStart"/>
      <w:r w:rsidRPr="00164A04">
        <w:rPr>
          <w:rFonts w:ascii="Segoe UI" w:hAnsi="Segoe UI" w:cs="Segoe UI"/>
        </w:rPr>
        <w:t xml:space="preserve">Prehipertensi bukan kategori penyakit, namun </w:t>
      </w:r>
      <w:r w:rsidRPr="00164A04">
        <w:rPr>
          <w:rFonts w:ascii="Segoe UI" w:hAnsi="Segoe UI" w:cs="Segoe UI"/>
          <w:noProof/>
        </w:rPr>
        <w:t>penderita prehipertensi berisiko besar 2-4 tahun berturut-turut menjadi hipertensi dan stroke jika tidak dikontrol dimasa yang mendatang dibandingkan dengan tekanan darah normal.</w:t>
      </w:r>
      <w:proofErr w:type="gramEnd"/>
      <w:r w:rsidRPr="00164A04">
        <w:rPr>
          <w:rFonts w:ascii="Segoe UI" w:hAnsi="Segoe UI" w:cs="Segoe UI"/>
          <w:noProof/>
        </w:rPr>
        <w:t xml:space="preserve"> Kasus prehipertensi seringkali dijumpai pada dewasa muda, karena dewasa muda merupakan tahap dan pertumbuhan dalam hidup manusia seperti perilaku sehat, kebiasaan makan dan aktivitas fisik yang dapat dimodifikasi sehingga dapat meningkatkan kesehatan. Tujuan penelitian ini untuk mengetahui gambaran pengetahuan dan perilaku manajemen prehipertensi pada dewasa di wilayah kerja Puskesmas Babelan 1. Metode penelitian, yaitu kuantitatif deskriptif dengan menggunakan kuesioner pengetahuan dan perilaku manajemen prehipert</w:t>
      </w:r>
      <w:r w:rsidR="00A107C8" w:rsidRPr="00164A04">
        <w:rPr>
          <w:rFonts w:ascii="Segoe UI" w:hAnsi="Segoe UI" w:cs="Segoe UI"/>
          <w:noProof/>
        </w:rPr>
        <w:t xml:space="preserve">ensi. </w:t>
      </w:r>
      <w:proofErr w:type="gramStart"/>
      <w:r w:rsidR="00A107C8" w:rsidRPr="00164A04">
        <w:rPr>
          <w:rFonts w:ascii="Segoe UI" w:hAnsi="Segoe UI" w:cs="Segoe UI"/>
          <w:noProof/>
        </w:rPr>
        <w:t>Jumlah sampel sebanyak 107</w:t>
      </w:r>
      <w:r w:rsidRPr="00164A04">
        <w:rPr>
          <w:rFonts w:ascii="Segoe UI" w:hAnsi="Segoe UI" w:cs="Segoe UI"/>
          <w:noProof/>
        </w:rPr>
        <w:t xml:space="preserve"> dewasa muda yang diambil dengan menggunakan teknik</w:t>
      </w:r>
      <w:r w:rsidRPr="00164A04">
        <w:rPr>
          <w:rFonts w:ascii="Segoe UI" w:hAnsi="Segoe UI" w:cs="Segoe UI"/>
        </w:rPr>
        <w:t xml:space="preserve"> accidental sampling</w:t>
      </w:r>
      <w:r w:rsidRPr="00164A04">
        <w:rPr>
          <w:rFonts w:ascii="Segoe UI" w:hAnsi="Segoe UI" w:cs="Segoe UI"/>
          <w:noProof/>
        </w:rPr>
        <w:t>.</w:t>
      </w:r>
      <w:proofErr w:type="gramEnd"/>
      <w:r w:rsidRPr="00164A04">
        <w:rPr>
          <w:rFonts w:ascii="Segoe UI" w:hAnsi="Segoe UI" w:cs="Segoe UI"/>
          <w:noProof/>
        </w:rPr>
        <w:t xml:space="preserve"> Hasil penelitian bahwa </w:t>
      </w:r>
      <w:r w:rsidRPr="00164A04">
        <w:rPr>
          <w:rFonts w:ascii="Segoe UI" w:hAnsi="Segoe UI" w:cs="Segoe UI"/>
        </w:rPr>
        <w:t>dewasa muda dengan prehipertensi di wilayah kerja Puskesmas Babelan 1 sebagian besar memiliki pengetahuan baik (45</w:t>
      </w:r>
      <w:proofErr w:type="gramStart"/>
      <w:r w:rsidRPr="00164A04">
        <w:rPr>
          <w:rFonts w:ascii="Segoe UI" w:hAnsi="Segoe UI" w:cs="Segoe UI"/>
        </w:rPr>
        <w:t>,8</w:t>
      </w:r>
      <w:proofErr w:type="gramEnd"/>
      <w:r w:rsidRPr="00164A04">
        <w:rPr>
          <w:rFonts w:ascii="Segoe UI" w:hAnsi="Segoe UI" w:cs="Segoe UI"/>
        </w:rPr>
        <w:t xml:space="preserve">%), namun masih ada yang memili pengetahuan cukup (43%) dan kurang (11,2%). Masih banyak perilaku yang tidak mencerminkan hidup sehat dalam manajemen prhipertensi seperti tidak konsumsi buah </w:t>
      </w:r>
      <w:r w:rsidRPr="00164A04">
        <w:rPr>
          <w:rFonts w:ascii="Segoe UI" w:hAnsi="Segoe UI" w:cs="Segoe UI"/>
        </w:rPr>
        <w:lastRenderedPageBreak/>
        <w:t>4-5 mangkuk per hari (77</w:t>
      </w:r>
      <w:proofErr w:type="gramStart"/>
      <w:r w:rsidRPr="00164A04">
        <w:rPr>
          <w:rFonts w:ascii="Segoe UI" w:hAnsi="Segoe UI" w:cs="Segoe UI"/>
        </w:rPr>
        <w:t>,6</w:t>
      </w:r>
      <w:proofErr w:type="gramEnd"/>
      <w:r w:rsidRPr="00164A04">
        <w:rPr>
          <w:rFonts w:ascii="Segoe UI" w:hAnsi="Segoe UI" w:cs="Segoe UI"/>
        </w:rPr>
        <w:t xml:space="preserve">%), tidak konsumsi sayur 4-5 mangkuk per hari (67,3%) tidak mempertahankan IMT normal (62,6%), konsumsi garam lebih dari 1 sdt per hari (55,1%), serta masih ada dewasa muda dengan prehipertensi yang yang merokok (26,2%) dan konsumsi alcohol (5,6%). </w:t>
      </w:r>
      <w:proofErr w:type="gramStart"/>
      <w:r w:rsidRPr="00164A04">
        <w:rPr>
          <w:rFonts w:ascii="Segoe UI" w:hAnsi="Segoe UI" w:cs="Segoe UI"/>
        </w:rPr>
        <w:t>Hasil ini dapat menjadi masukan bagi perawat untuk tatalaksana upaya promotif preventif pada dewasa prehipertensi.</w:t>
      </w:r>
      <w:proofErr w:type="gramEnd"/>
    </w:p>
    <w:p w:rsidR="00DA3208" w:rsidRPr="00DA3208" w:rsidRDefault="00DA3208" w:rsidP="00164A04">
      <w:pPr>
        <w:pStyle w:val="ListParagraph"/>
        <w:spacing w:before="120" w:line="240" w:lineRule="auto"/>
        <w:ind w:left="0"/>
        <w:jc w:val="both"/>
        <w:rPr>
          <w:rFonts w:ascii="Times New Roman" w:hAnsi="Times New Roman" w:cs="Times New Roman"/>
          <w:sz w:val="24"/>
          <w:szCs w:val="24"/>
        </w:rPr>
      </w:pPr>
      <w:r w:rsidRPr="00164A04">
        <w:rPr>
          <w:rFonts w:ascii="Segoe UI" w:hAnsi="Segoe UI" w:cs="Segoe UI"/>
        </w:rPr>
        <w:t>Kata Kunci</w:t>
      </w:r>
      <w:r w:rsidRPr="00164A04">
        <w:rPr>
          <w:rFonts w:ascii="Segoe UI" w:hAnsi="Segoe UI" w:cs="Segoe UI"/>
        </w:rPr>
        <w:tab/>
        <w:t>: Dewasa Muda; Manajemen Prehipertensi; Peng</w:t>
      </w:r>
      <w:r w:rsidR="00741C3D" w:rsidRPr="00164A04">
        <w:rPr>
          <w:rFonts w:ascii="Segoe UI" w:hAnsi="Segoe UI" w:cs="Segoe UI"/>
        </w:rPr>
        <w:t>etahuan, Perilaku</w:t>
      </w:r>
      <w:r w:rsidRPr="00DA3208">
        <w:rPr>
          <w:rFonts w:ascii="Times New Roman" w:hAnsi="Times New Roman" w:cs="Times New Roman"/>
          <w:sz w:val="24"/>
          <w:szCs w:val="24"/>
        </w:rPr>
        <w:t xml:space="preserve"> </w:t>
      </w:r>
    </w:p>
    <w:p w:rsidR="00DA3208" w:rsidRPr="00DA3208" w:rsidRDefault="00DA3208" w:rsidP="00DA3208">
      <w:pPr>
        <w:pStyle w:val="ListParagraph"/>
        <w:tabs>
          <w:tab w:val="left" w:pos="7065"/>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DA3208" w:rsidRPr="00DA3208" w:rsidRDefault="00DA3208" w:rsidP="00164A04">
      <w:pPr>
        <w:pStyle w:val="ListParagraph"/>
        <w:spacing w:line="240" w:lineRule="auto"/>
        <w:ind w:left="0"/>
        <w:jc w:val="both"/>
        <w:rPr>
          <w:rFonts w:ascii="Times New Roman" w:hAnsi="Times New Roman" w:cs="Times New Roman"/>
          <w:sz w:val="24"/>
          <w:szCs w:val="24"/>
        </w:rPr>
      </w:pPr>
    </w:p>
    <w:p w:rsidR="005F5384" w:rsidRDefault="005F5384" w:rsidP="00DA3208">
      <w:pPr>
        <w:spacing w:before="120" w:after="0"/>
        <w:jc w:val="both"/>
        <w:rPr>
          <w:rFonts w:ascii="Times New Roman" w:hAnsi="Times New Roman" w:cs="Times New Roman"/>
          <w:b/>
          <w:sz w:val="24"/>
          <w:szCs w:val="24"/>
        </w:rPr>
        <w:sectPr w:rsidR="005F5384" w:rsidSect="001A1E95">
          <w:pgSz w:w="11907" w:h="16839" w:code="9"/>
          <w:pgMar w:top="1134" w:right="1134" w:bottom="1134" w:left="1701" w:header="720" w:footer="720" w:gutter="0"/>
          <w:cols w:space="720"/>
          <w:docGrid w:linePitch="360"/>
        </w:sectPr>
      </w:pPr>
    </w:p>
    <w:p w:rsidR="00DA3208" w:rsidRPr="00164A04" w:rsidRDefault="00DA3208" w:rsidP="00164A04">
      <w:pPr>
        <w:spacing w:before="120" w:after="0" w:line="240" w:lineRule="auto"/>
        <w:jc w:val="both"/>
        <w:rPr>
          <w:rFonts w:ascii="Segoe UI" w:hAnsi="Segoe UI" w:cs="Segoe UI"/>
          <w:b/>
          <w:sz w:val="20"/>
          <w:szCs w:val="20"/>
        </w:rPr>
      </w:pPr>
      <w:r w:rsidRPr="00164A04">
        <w:rPr>
          <w:rFonts w:ascii="Segoe UI" w:hAnsi="Segoe UI" w:cs="Segoe UI"/>
          <w:b/>
          <w:sz w:val="20"/>
          <w:szCs w:val="20"/>
        </w:rPr>
        <w:lastRenderedPageBreak/>
        <w:t>PENDAHULUAN</w:t>
      </w:r>
    </w:p>
    <w:p w:rsidR="00DA3208" w:rsidRPr="00164A04" w:rsidRDefault="00DA3208" w:rsidP="00164A04">
      <w:pPr>
        <w:pStyle w:val="ListParagraph"/>
        <w:spacing w:line="240" w:lineRule="auto"/>
        <w:ind w:left="0" w:firstLine="360"/>
        <w:jc w:val="both"/>
        <w:rPr>
          <w:rFonts w:ascii="Segoe UI" w:hAnsi="Segoe UI" w:cs="Segoe UI"/>
          <w:b/>
          <w:noProof/>
          <w:color w:val="FF0000"/>
          <w:sz w:val="20"/>
          <w:szCs w:val="20"/>
        </w:rPr>
      </w:pPr>
      <w:r w:rsidRPr="00164A04">
        <w:rPr>
          <w:rFonts w:ascii="Segoe UI" w:hAnsi="Segoe UI" w:cs="Segoe UI"/>
          <w:noProof/>
          <w:sz w:val="20"/>
          <w:szCs w:val="20"/>
        </w:rPr>
        <w:t xml:space="preserve">Menurut </w:t>
      </w:r>
      <w:r w:rsidRPr="00164A04">
        <w:rPr>
          <w:rFonts w:ascii="Segoe UI" w:hAnsi="Segoe UI" w:cs="Segoe UI"/>
          <w:i/>
          <w:noProof/>
          <w:sz w:val="20"/>
          <w:szCs w:val="20"/>
        </w:rPr>
        <w:t>Joint National Committee</w:t>
      </w:r>
      <w:r w:rsidRPr="00164A04">
        <w:rPr>
          <w:rFonts w:ascii="Segoe UI" w:hAnsi="Segoe UI" w:cs="Segoe UI"/>
          <w:noProof/>
          <w:sz w:val="20"/>
          <w:szCs w:val="20"/>
        </w:rPr>
        <w:t xml:space="preserve"> VII 2003 (JNC 7) hipertensi harus dicegah sejak awal, JNC 7 2003 menambahkan kategori baru tekanan darah yaitu prehipertensi. Prehipertensi yaitu kondisi tekanan darah sistol 120-139 mmHg atau tekanan darah diastol 80-89 mmHg. Prehipertensi merupakan tahap sebelum terjadinya penyakit hipertensi. Prehipertensi tidak dikategorikan sebagai penyakit, namun penderita prehipertensi berisiko besar untuk menjadi hipertensi jika tidak dikontrol dimasa yang mendatang dibandingkan dengan tekanan darah normal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Suhadi","given":"Rita","non-dropping-particle":"","parse-names":false,"suffix":""},{"dropping-particle":"","family":"Hendra","given":"Phebe","non-dropping-particle":"","parse-names":false,"suffix":""},{"dropping-particle":"","family":"Wijoyo","given":"Yosef","non-dropping-particle":"","parse-names":false,"suffix":""},{"dropping-particle":"","family":"Virginia","given":"dita maria","non-dropping-particle":"","parse-names":false,"suffix":""},{"dropping-particle":"","family":"Setiawan","given":"Christiannus","non-dropping-particle":"","parse-names":false,"suffix":""}],"id":"ITEM-1","issued":{"date-parts":[["2016"]]},"publisher":"Sanata Dharma University Press","publisher-place":"Yogyakarta","title":"Seluk Beluk Hipertensi : Peningkatan Kompetensi Klinis Untuk Pelayanan Kefarmasian","type":"book"},"uris":["http://www.mendeley.com/documents/?uuid=c685d4bd-c1ca-4e71-a295-ea1e9073dcfd"]}],"mendeley":{"formattedCitation":"(Suhadi et al., 2016)","plainTextFormattedCitation":"(Suhadi et al., 2016)","previouslyFormattedCitation":"(Suhadi et al., 2016)"},"properties":{"noteIndex":0},"schema":"https://github.com/citation-style-language/schema/raw/master/csl-citation.json"}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(Suhadi et al., 2016)</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Tingginya prevalensi prehipertensi di dunia telah dibuktikan dari bebarapa penelitian yang dimana sekitar 30-60 % yang terjadi pada orang dewasa. Hal ini sejalan dengan penelitian yang dilakukan oleh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{"citationItems":[{"id":"ITEM-1","itemData":{"abstract":"The purpose of this cross-sectional study was to identify risk factors in the normotensive and pre-hypertensive group based on the blood pressure results of healthy young adults from the Korean National Health and Nutrition Examination Survey 2018. The participants were 2225 healthy young adults between the ages of 19 and under 45, excluding those with a diagnosis of hypertension or taking antihypertensive medications. Of the 2225 participants, the normotensive group was 1498 (67.3%) and the pre-hypertensive group 727 (32.7%). Determinants of pre-hypertension were analyzed using multiple logistic regression based on a complex sample design. Factors related to pre-hypertension in young adults were age, smoking, waist circumference, diabetes, anemia, cholesterol levels including HDL cholesterol, and uric acid levels. Pre-hypertension is a pre-stage that can prevent the morbidity of hypertension through lifestyle control, so its management is very important. Furthermore, a young adult is a stage in the growth and development of human beings, in which lifestyles such as healthy behaviors, eating habits, and exercise are fixed. Therefore, it is very important to improve lifestyles such as diet, exercise, and smoking cessation and to control risk factors in young adults who are at the pre-hypertension stage for health promotion. Continuous health examinations should be conducted for young adults, and education that can be practiced based on clinical data through this should be implemented for community health.","author":[{"dropping-particle":"","family":"Jang","given":"Insil","non-dropping-particle":"","parse-names":false,"suffix":""}],"id":"ITEM-1","issue":"August 2019","issued":{"date-parts":[["2021"]]},"title":"Pre-Hypertension and Its Determinants in Healthy Young Adults : Analysis of Data from the Korean National Health and Nutrition Examination Survey VII","type":"article-journal"},"uris":["http://www.mendeley.com/documents/?uuid=4171c527-565f-447a-a2fc-db30c08d5b41"]}],"mendeley":{"formattedCitation":"(Jang, 2021)","manualFormatting":"Jang, (2021)","plainTextFormattedCitation":"(Jang, 2021)","previouslyFormattedCitation":"(Jang, 2021)"},"properties":{"noteIndex":0},"schema":"https://github.com/citation-style-language/schema/raw/master/csl-citation.json"}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Jang, (2021)</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dari 2 ribu orang dewasa muda yang sehat ditemukan bahwa 32,7% mengalami prehipertensi di Korea. Selain itu hasil dari penelitian yang dilakukan oleh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Rahman","given":"Ashfikur","non-dropping-particle":"","parse-names":false,"suffix":""},{"dropping-particle":"","family":"Parvez","given":"Mahmood","non-dropping-particle":"","parse-names":false,"suffix":""},{"dropping-particle":"","family":"Ratul","given":"Henry","non-dropping-particle":"","parse-names":false,"suffix":""},{"dropping-particle":"","family":"Narayan","given":"Uday","non-dropping-particle":"","parse-names":false,"suffix":""},{"dropping-particle":"","family":"Kanti","given":"Sabuj","non-dropping-particle":"","parse-names":false,"suffix":""}],"id":"ITEM-1","issue":"July","issued":{"date-parts":[["2021"]]},"title":"Prevalence of and factors associated with prehypertension and hypertension among Bangladeshi young adults : An analysis of the Bangladesh Demographic and Health Survey 2017 – 18","type":"article-journal","volume":"12"},"uris":["http://www.mendeley.com/documents/?uuid=a95b5aac-5484-4494-a2c7-af83df9efadc"]}],"mendeley":{"formattedCitation":"(Rahman et al., 2021)","manualFormatting":"Rahman et al (2021)","plainTextFormattedCitation":"(Rahman et al., 2021)","previouslyFormattedCitation":"(Rahman et al., 2021)"},"properties":{"noteIndex":0},"schema":"https://github.com/citation-style-language/schema/raw/master/csl-citation.json"}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Rahman et al (2021)</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dari 5 ribu orang dewasa muda terdapat 33,4% mengalami prehipertensi di Bangladesh. Hal ini juga didukung oleh penelitian yang dilakukan oleh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Song","given":"Jian","non-dropping-particle":"","parse-names":false,"suffix":""},{"dropping-particle":"","family":"Chen","given":"Xue","non-dropping-particle":"","parse-names":false,"suffix":""},{"dropping-particle":"","family":"Zhao","given":"Yingying","non-dropping-particle":"","parse-names":false,"suffix":""},{"dropping-particle":"","family":"Mi","given":"Jing","non-dropping-particle":"","parse-names":false,"suffix":""},{"dropping-particle":"","family":"Wu","given":"Xuesen","non-dropping-particle":"","parse-names":false,"suffix":""}],"id":"ITEM-1","issued":{"date-parts":[["2018"]]},"page":"1-11","publisher":"BMC Cardiovascular Disorders","title":"Risk factors for prehypertension and their interactive effect : a cross- sectional survey in China","type":"article-journal"},"uris":["http://www.mendeley.com/documents/?uuid=b6abbdb8-1089-4e15-8d84-0050688f2a4b"]}],"mendeley":{"formattedCitation":"(Song et al., 2018)","manualFormatting":"Song et al (2018)","plainTextFormattedCitation":"(Song et al., 2018)","previouslyFormattedCitation":"(Song et al., 2018)"},"properties":{"noteIndex":0},"schema":"https://github.com/citation-style-language/schema/raw/master/csl-citation.json"}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Song et al (2018)</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di negara Cina bahwa dari 1777 orang dewasa dan lansia terdapat 33,93% diantaranya dengan prehipertensi. Hal ini sejalan dengan penelitian yang dilakukan oleh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{"citationItems":[{"id":"ITEM-1","itemData":{"author":[{"dropping-particle":"","family":"Rafan","given":"Siti Nurhani","non-dropping-particle":"","parse-names":false,"suffix":""},{"dropping-particle":"","family":"Zakaria","given":"Rosnani","non-dropping-particle":"","parse-names":false,"suffix":""},{"dropping-particle":"","family":"Ismail","given":"Shaiful Bahari","non-dropping-particle":"","parse-names":false,"suffix":""},{"dropping-particle":"","family":"Muhamad","given":"Rosediani","non-dropping-particle":"","parse-names":false,"suffix":""}],"id":"ITEM-1","issued":{"date-parts":[["2018"]]},"title":"Prevalence of prehypertension and its associated factors among adults visiting outpatient clinic in Northeast Malaysia","type":"article-journal","volume":"13"},"uris":["http://www.mendeley.com/documents/?uuid=02529367-b9b5-43d0-8196-e6bffbebb2e9"]}],"mendeley":{"formattedCitation":"(Rafan et al., 2018)","manualFormatting":"Rafan et al (2018)","plainTextFormattedCitation":"(Rafan et al., 2018)","previouslyFormattedCitation":"(Rafan et al., 2018)"},"properties":{"noteIndex":0},"schema":"https://github.com/citation-style-language/schema/raw/master/csl-citation.json"}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Rafan et al (2018)</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dari 151 orang dewasa di wilayah negara Malaysia bahwa 37,1% mengalami prehipertensi. Prevalensi prehipertensi di wilayah Kumasi Ghana juga cukup tinggi, hal ini dibuktikan dari hasil penelitian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{"citationItems":[{"id":"ITEM-1","itemData":{"DOI":"10.1155/2019/1764079","ISSN":"23146141","PMID":"31179316","abstract":"Background. Prehypertension has been shown to increase future risk of hypertension. Some demographic and lifestyle characteristics have been implicated to increase the risk of development of prehypertension. Yet, there is paucity of data on the current prevalence of prehypertension and its associated risk factors in Ghana. This study evaluated the prevalence of prehypertension and examined the demographic and lifestyle characteristics associated with prehypertension among apparently healthy Ghanaian adults in Kumasi. Methods. This was a cross-sectional study conducted from March to April, 2018, in Kumasi, Ghana. A total of 204 participants (80 males, 124 females, 25 years and above) who reported not diagnosed of hypertension and not on any antihypertensive medication were included in the study. Validated questionnaire was used to obtain sociodemographic and lifestyle characteristics of study participants. Height and weight of each respondent were measured and their corresponding Body Mass Index (BMI) was calculated. Blood pressure (BP) was measured with an automated blood pressure apparatus from the right arm. Prehypertension was defined as systolic BP of 120-139 mmHg and/or diastolic BP of 80-89 mmHg. Results. Out of 204 participants, the prevalence of prehypertension was 49.0%. From multivariate logistic regression models, having lower level of education [aOR=2.74, 95% CI (1.15-6.55), p=0.02], not practicing at least 30 min daily walks [aOR=2.59, 95% CI (1.31-5.10), p=0.01], not exercising routinely [aOR=1.93, 95% CI (0.97-3.85), p=0.04], and alcohol consumption [aOR=3.58(1.52-8.46), p=0.004] were independently associated with higher odds of prehypertension. Conclusion. The prevalence of prehypertension is high among apparently healthy Ghanaian adults (49.0%). Lower educational level, sedentary lifestyle, and alcohol consumption are the predominant risk factors for prehypertension in Kumasi.","author":[{"dropping-particle":"","family":"Owiredu","given":"Eddie Williams","non-dropping-particle":"","parse-names":false,"suffix":""},{"dropping-particle":"","family":"Dontoh","given":"Ebenezer","non-dropping-particle":"","parse-names":false,"suffix":""},{"dropping-particle":"","family":"Essuman","given":"Selma E.S.","non-dropping-particle":"","parse-names":false,"suffix":""},{"dropping-particle":"","family":"Bazanfara","given":"Bashiratu B.","non-dropping-particle":"","parse-names":false,"suffix":""}],"container-title":"BioMed Research International","id":"ITEM-1","issued":{"date-parts":[["2019"]]},"publisher":"Hindawi","title":"Demographic and Lifestyle Predictors of Prehypertension: A Cross-Sectional Study among Apparently Healthy Adults in Kumasi, Ghana","type":"article-journal","volume":"2019"},"uris":["http://www.mendeley.com/documents/?uuid=e0d05284-952e-49c6-bab7-04eec73fd5d5"]}],"mendeley":{"formattedCitation":"(Owiredu et al., 2019)","manualFormatting":"Owiredu et al (2019)","plainTextFormattedCitation":"(Owiredu et al., 2019)","previouslyFormattedCitation":"(Owiredu et al., 2019)"},"properties":{"noteIndex":0},"schema":"https://github.com/citation-style-language/schema/raw/master/csl-citation.json"}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Owiredu et al (2019)</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bahwa dari 204 orang dewasa terdapat 49,0% prevalensi prehipertensi. Selanjutnya penelitian yang dilakukan oleh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{"citationItems":[{"id":"ITEM-1","itemData":{"author":[{"dropping-particle":"","family":"Mecha","given":"Jared O","non-dropping-particle":"","parse-names":false,"suffix":""},{"dropping-particle":"","family":"Kubo","given":"Elizabeth N","non-dropping-particle":"","parse-names":false,"suffix":""},{"dropping-particle":"","family":"Odhiambo","given":"Collins O","non-dropping-particle":"","parse-names":false,"suffix":""},{"dropping-particle":"","family":"Kinoti","given":"Freda G","non-dropping-particle":"","parse-names":false,"suffix":""},{"dropping-particle":"","family":"Njau","given":"Kennedy","non-dropping-particle":"","parse-names":false,"suffix":""},{"dropping-particle":"","family":"Yonga","given":"Gerald","non-dropping-particle":"","parse-names":false,"suffix":""},{"dropping-particle":"","family":"Ogola","given":"Elijah N","non-dropping-particle":"","parse-names":false,"suffix":""}],"container-title":"BMC Public Health","id":"ITEM-1","issued":{"date-parts":[["2020"]]},"page":"1-7","title":"Burden of prehypertension among adults in Kenya : a retrospective analysis of findings from the Healthy Heart Africa ( HHA ) Programme","type":"article-journal"},"uris":["http://www.mendeley.com/documents/?uuid=a695d7da-36c8-44fc-8754-94b057dd2643"]}],"mendeley":{"formattedCitation":"(Mecha et al., 2020)","manualFormatting":"Mecha et al (2020)","plainTextFormattedCitation":"(Mecha et al., 2020)","previouslyFormattedCitation":"(Mecha et al., 2020)"},"properties":{"noteIndex":0},"schema":"https://github.com/citation-style-language/schema/raw/master/csl-citation.json"}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Mecha et al (2020)</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terdapat 54,4% mengalami prehipertensi dari 5 juta usia dewasa di Kenya. Indonesia merupakan negara dengan prevalensi prehipertensi yang cukup tinggi, hal ini sejalan dengan penelitian yang </w:t>
      </w:r>
      <w:r w:rsidRPr="00164A04">
        <w:rPr>
          <w:rFonts w:ascii="Segoe UI" w:hAnsi="Segoe UI" w:cs="Segoe UI"/>
          <w:noProof/>
          <w:sz w:val="20"/>
          <w:szCs w:val="20"/>
        </w:rPr>
        <w:lastRenderedPageBreak/>
        <w:t xml:space="preserve">dilakukan oleh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Lydia","given":"Aida","non-dropping-particle":"","parse-names":false,"suffix":""},{"dropping-particle":"","family":"Setiati","given":"Siti","non-dropping-particle":"","parse-names":false,"suffix":""},{"dropping-particle":"","family":"Soejono","given":"Czeresna Heriawan","non-dropping-particle":"","parse-names":false,"suffix":""},{"dropping-particle":"","family":"Istanti","given":"Rahmi","non-dropping-particle":"","parse-names":false,"suffix":""},{"dropping-particle":"","family":"Marsigit","given":"Jessica","non-dropping-particle":"","parse-names":false,"suffix":""},{"dropping-particle":"","family":"Azwar","given":"Muhammad Khifzhon","non-dropping-particle":"","parse-names":false,"suffix":""}],"container-title":"BMC Public Health","id":"ITEM-1","issued":{"date-parts":[["2021"]]},"page":"1-11","title":"Prevalence of prehypertension and its risk factors in midlife and late life : Indonesian family life survey 2014 – 2015","type":"article-journal"},"uris":["http://www.mendeley.com/documents/?uuid=6ced6536-6383-4c32-9c1c-c97afdb3088c"]}],"mendeley":{"formattedCitation":"(Lydia et al., 2021)","manualFormatting":"Lydia et al (2021)","plainTextFormattedCitation":"(Lydia et al., 2021)","previouslyFormattedCitation":"(Lydia et al., 2021)"},"properties":{"noteIndex":0},"schema":"https://github.com/citation-style-language/schema/raw/master/csl-citation.json"}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Lydia et al (2021)</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yaitu sebanyak 32,5% prevalensi prehipertensi pada orang dewasa hasil ini diperoleh berdasarkan data </w:t>
      </w:r>
      <w:r w:rsidRPr="00164A04">
        <w:rPr>
          <w:rFonts w:ascii="Segoe UI" w:hAnsi="Segoe UI" w:cs="Segoe UI"/>
          <w:i/>
          <w:noProof/>
          <w:sz w:val="20"/>
          <w:szCs w:val="20"/>
        </w:rPr>
        <w:t>Indonesian Family Life Survey</w:t>
      </w:r>
      <w:r w:rsidRPr="00164A04">
        <w:rPr>
          <w:rFonts w:ascii="Segoe UI" w:hAnsi="Segoe UI" w:cs="Segoe UI"/>
          <w:noProof/>
          <w:sz w:val="20"/>
          <w:szCs w:val="20"/>
        </w:rPr>
        <w:t xml:space="preserve"> dari 13 provinsi yang dilakukan pada tahun 2014-2015</w:t>
      </w:r>
      <w:r w:rsidRPr="00164A04">
        <w:rPr>
          <w:rFonts w:ascii="Segoe UI" w:hAnsi="Segoe UI" w:cs="Segoe UI"/>
          <w:b/>
          <w:noProof/>
          <w:color w:val="FF0000"/>
          <w:sz w:val="20"/>
          <w:szCs w:val="20"/>
        </w:rPr>
        <w:t xml:space="preserve">. </w:t>
      </w:r>
    </w:p>
    <w:p w:rsidR="00DA3208" w:rsidRPr="00164A04" w:rsidRDefault="00DA3208" w:rsidP="00164A04">
      <w:pPr>
        <w:pStyle w:val="ListParagraph"/>
        <w:spacing w:line="240" w:lineRule="auto"/>
        <w:ind w:left="0" w:firstLine="360"/>
        <w:jc w:val="both"/>
        <w:rPr>
          <w:rFonts w:ascii="Segoe UI" w:hAnsi="Segoe UI" w:cs="Segoe UI"/>
          <w:noProof/>
          <w:sz w:val="20"/>
          <w:szCs w:val="20"/>
        </w:rPr>
      </w:pPr>
      <w:r w:rsidRPr="00164A04">
        <w:rPr>
          <w:rFonts w:ascii="Segoe UI" w:hAnsi="Segoe UI" w:cs="Segoe UI"/>
          <w:noProof/>
          <w:sz w:val="20"/>
          <w:szCs w:val="20"/>
        </w:rPr>
        <w:t xml:space="preserve">Faktor risiko prehipertensi yaitu stres, karena adanya riwayat keluarga dengan hipertensi, berat badan lebih atau obesitas, pola diet yang tidak sehat, kurang aktivitas fisik, kebiasaan merokok dan mengonsumsi alkohol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{"citationItems":[{"id":"ITEM-1","itemData":{"author":[{"dropping-particle":"","family":"Lingga","given":"Lanny","non-dropping-particle":"","parse-names":false,"suffix":""}],"id":"ITEM-1","issued":{"date-parts":[["2012"]]},"publisher":"Agro Media Pustaka","publisher-place":"Jakarta","title":"Bebas Hipertensi Tanpa Obat","type":"book"},"uris":["http://www.mendeley.com/documents/?uuid=cb87cfd9-a22e-438e-bbea-c9da6cd3d914"]}],"mendeley":{"formattedCitation":"(Lingga, 2012)","plainTextFormattedCitation":"(Lingga, 2012)","previouslyFormattedCitation":"(Lingga, 2012)"},"properties":{"noteIndex":0},"schema":"https://github.com/citation-style-language/schema/raw/master/csl-citation.json"}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(Lingga, 2012)</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Hal ini sejalan dengan penelitian yang dilakukan oleh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{"citationItems":[{"id":"ITEM-1","itemData":{"author":[{"dropping-particle":"","family":"Tryastuti","given":"Dini","non-dropping-particle":"","parse-names":false,"suffix":""}],"id":"ITEM-1","issue":"1","issued":{"date-parts":[["2019"]]},"page":"71-77","title":"DETERMINAN PRE-HIPERTENSI DI KELURAHAN CURUG KECAMATAN CIMANGGIS KOTA DEPOK","type":"article-journal","volume":"11"},"uris":["http://www.mendeley.com/documents/?uuid=0eea0ab1-19ef-4f60-bb1a-566d79a300a1"]}],"mendeley":{"formattedCitation":"(Tryastuti, 2019)","manualFormatting":"Tryastuti (2019)","plainTextFormattedCitation":"(Tryastuti, 2019)","previouslyFormattedCitation":"(Tryastuti, 2019)"},"properties":{"noteIndex":0},"schema":"https://github.com/citation-style-language/schema/raw/master/csl-citation.json"}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Tryastuti (2019)</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hasil dari penelitian ini menyebutkan bahwa adanya faktor determinan prehipertensi yaitu usia, riwayat keluarga dengan hipertensi, perilaku merokok dan indeks massa tubuh (IMT) tidak normal. Prehipertensi dapat dikendalikan dengan cara gaya hidup yang baik, kasus prehipertensi berfokus pada dewasa muda dengan gaya hidup yang perlu diperbaiki seperti kebiasaan makan, perilaku sehat dan rutin melakukan aktivitas fisik. Dengan mengubah gaya hidup yang baik maka dapat mengurangi prevalensi kasus prehipertensi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{"citationItems":[{"id":"ITEM-1","itemData":{"abstract":"The purpose of this cross-sectional study was to identify risk factors in the normotensive and pre-hypertensive group based on the blood pressure results of healthy young adults from the Korean National Health and Nutrition Examination Survey 2018. The participants were 2225 healthy young adults between the ages of 19 and under 45, excluding those with a diagnosis of hypertension or taking antihypertensive medications. Of the 2225 participants, the normotensive group was 1498 (67.3%) and the pre-hypertensive group 727 (32.7%). Determinants of pre-hypertension were analyzed using multiple logistic regression based on a complex sample design. Factors related to pre-hypertension in young adults were age, smoking, waist circumference, diabetes, anemia, cholesterol levels including HDL cholesterol, and uric acid levels. Pre-hypertension is a pre-stage that can prevent the morbidity of hypertension through lifestyle control, so its management is very important. Furthermore, a young adult is a stage in the growth and development of human beings, in which lifestyles such as healthy behaviors, eating habits, and exercise are fixed. Therefore, it is very important to improve lifestyles such as diet, exercise, and smoking cessation and to control risk factors in young adults who are at the pre-hypertension stage for health promotion. Continuous health examinations should be conducted for young adults, and education that can be practiced based on clinical data through this should be implemented for community health.","author":[{"dropping-particle":"","family":"Jang","given":"Insil","non-dropping-particle":"","parse-names":false,"suffix":""}],"id":"ITEM-1","issue":"August 2019","issued":{"date-parts":[["2021"]]},"title":"Pre-Hypertension and Its Determinants in Healthy Young Adults : Analysis of Data from the Korean National Health and Nutrition Examination Survey VII","type":"article-journal"},"uris":["http://www.mendeley.com/documents/?uuid=4171c527-565f-447a-a2fc-db30c08d5b41"]}],"mendeley":{"formattedCitation":"(Jang, 2021)","plainTextFormattedCitation":"(Jang, 2021)","previouslyFormattedCitation":"(Jang, 2021)"},"properties":{"noteIndex":0},"schema":"https://github.com/citation-style-language/schema/raw/master/csl-citation.json"}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(Jang, 2021)</w:t>
      </w:r>
      <w:r w:rsidRPr="00164A04">
        <w:rPr>
          <w:rFonts w:ascii="Segoe UI" w:hAnsi="Segoe UI" w:cs="Segoe UI"/>
          <w:noProof/>
          <w:sz w:val="20"/>
          <w:szCs w:val="20"/>
        </w:rPr>
        <w:fldChar w:fldCharType="end"/>
      </w:r>
      <w:r w:rsidRPr="00164A04">
        <w:rPr>
          <w:rFonts w:ascii="Segoe UI" w:hAnsi="Segoe UI" w:cs="Segoe UI"/>
          <w:noProof/>
          <w:sz w:val="20"/>
          <w:szCs w:val="20"/>
        </w:rPr>
        <w:t xml:space="preserve">. Berdasarkan studi pendahuluan yang dilakukan oleh peneliti yaitu dengan melakukan pengukuran tekanan  darah sebanyak 23 orang di Desa Kedung Pengawas RT 17 terdapat 30,43% dari 23 orang tersebut mengalami prehipertensi. Secara keseluruhan dari 23 orang tersebut tidak tahu tentang prehipertensi dan tidak tahu dampak yang mungkin ditimbulkan dari prehipertensi. Dari 7 orang yang terdeteksi prehipertensi, terdapat 42,86% tidak melakukan manajemen prehipertensi yaitu sering mengonsumsi makanan asin seperti ikan asin, telor asin dan lain sebagainya (lebih dari satu sendok teh atau  lebih dari 0,2 sendok makan), selanjutnya sekitar 28,57% mengatakan jarang melakukan aktifitas fisik seperti olahraga, sedangkan dengan rutin melakukan olahraga sekitar 30-60 menit per hari dapat menurunkan tekanan </w:t>
      </w:r>
      <w:r w:rsidRPr="00164A04">
        <w:rPr>
          <w:rFonts w:ascii="Segoe UI" w:hAnsi="Segoe UI" w:cs="Segoe UI"/>
          <w:noProof/>
          <w:sz w:val="20"/>
          <w:szCs w:val="20"/>
        </w:rPr>
        <w:lastRenderedPageBreak/>
        <w:t>darah menjadi normal, kemudian terdapat 14,28% mengatakan bahwa adanya riwayat keluarga penderita hipertensi dan yang terakhir sekitar 14,28% merupakan perokok aktif yang tidak bisa berhenti sejak lulus SMA.</w:t>
      </w:r>
    </w:p>
    <w:p w:rsidR="00DA3208" w:rsidRPr="00164A04" w:rsidRDefault="00DA3208" w:rsidP="00164A04">
      <w:pPr>
        <w:pStyle w:val="ListParagraph"/>
        <w:spacing w:line="240" w:lineRule="auto"/>
        <w:ind w:left="0" w:firstLine="360"/>
        <w:jc w:val="both"/>
        <w:rPr>
          <w:rFonts w:ascii="Segoe UI" w:eastAsia="Times New Roman" w:hAnsi="Segoe UI" w:cs="Segoe UI"/>
          <w:bCs/>
          <w:sz w:val="20"/>
          <w:szCs w:val="20"/>
        </w:rPr>
      </w:pPr>
      <w:proofErr w:type="gramStart"/>
      <w:r w:rsidRPr="00164A04">
        <w:rPr>
          <w:rFonts w:ascii="Segoe UI" w:eastAsia="Times New Roman" w:hAnsi="Segoe UI" w:cs="Segoe UI"/>
          <w:bCs/>
          <w:sz w:val="20"/>
          <w:szCs w:val="20"/>
        </w:rPr>
        <w:t>Menurut survey pendahuluan yang telah dilakukan di puskesmas Babelan 1 penyakit hipertensi adalah penyakit dengan urutan pertama per bulan Januari 2022 dengan jumlah kasus meningkat dari kasus lama hanya 14 menjadi 140 untuk kasus baru.</w:t>
      </w:r>
      <w:proofErr w:type="gramEnd"/>
      <w:r w:rsidRPr="00164A04">
        <w:rPr>
          <w:rFonts w:ascii="Segoe UI" w:eastAsia="Times New Roman" w:hAnsi="Segoe UI" w:cs="Segoe UI"/>
          <w:bCs/>
          <w:sz w:val="20"/>
          <w:szCs w:val="20"/>
        </w:rPr>
        <w:t xml:space="preserve"> Dari data tersebut perlu difokuskan untuk mencegah peningkatan kasus tekanan darah </w:t>
      </w:r>
      <w:proofErr w:type="gramStart"/>
      <w:r w:rsidRPr="00164A04">
        <w:rPr>
          <w:rFonts w:ascii="Segoe UI" w:eastAsia="Times New Roman" w:hAnsi="Segoe UI" w:cs="Segoe UI"/>
          <w:bCs/>
          <w:sz w:val="20"/>
          <w:szCs w:val="20"/>
        </w:rPr>
        <w:t>di  wilayah</w:t>
      </w:r>
      <w:proofErr w:type="gramEnd"/>
      <w:r w:rsidRPr="00164A04">
        <w:rPr>
          <w:rFonts w:ascii="Segoe UI" w:eastAsia="Times New Roman" w:hAnsi="Segoe UI" w:cs="Segoe UI"/>
          <w:bCs/>
          <w:sz w:val="20"/>
          <w:szCs w:val="20"/>
        </w:rPr>
        <w:t xml:space="preserve"> kerja Puskesmas Babelan 1. </w:t>
      </w:r>
      <w:proofErr w:type="gramStart"/>
      <w:r w:rsidRPr="00164A04">
        <w:rPr>
          <w:rFonts w:ascii="Segoe UI" w:eastAsia="Times New Roman" w:hAnsi="Segoe UI" w:cs="Segoe UI"/>
          <w:bCs/>
          <w:sz w:val="20"/>
          <w:szCs w:val="20"/>
        </w:rPr>
        <w:t>Selanjutnya setelah dilakukan wawancara terhadap penanggungjawab penyakit tidak menular (PTM) untuk data kelompok prehipertensi belum ada serta belum dilakukan upaya pencegahan terkait kasus prehiperetensi serta belum ada penelitian terkait gambaran pengetahuan dan perilaku manajemen prehipertensi pada dewasa di puskesmas Babelan 1.</w:t>
      </w:r>
      <w:proofErr w:type="gramEnd"/>
    </w:p>
    <w:p w:rsidR="00DA3208" w:rsidRPr="00164A04" w:rsidRDefault="00DA3208" w:rsidP="00164A04">
      <w:pPr>
        <w:spacing w:after="0" w:line="240" w:lineRule="auto"/>
        <w:ind w:firstLine="360"/>
        <w:jc w:val="both"/>
        <w:rPr>
          <w:rFonts w:ascii="Segoe UI" w:eastAsia="Times New Roman" w:hAnsi="Segoe UI" w:cs="Segoe UI"/>
          <w:bCs/>
          <w:sz w:val="20"/>
          <w:szCs w:val="20"/>
        </w:rPr>
      </w:pPr>
      <w:proofErr w:type="gramStart"/>
      <w:r w:rsidRPr="00164A04">
        <w:rPr>
          <w:rFonts w:ascii="Segoe UI" w:eastAsia="Times New Roman" w:hAnsi="Segoe UI" w:cs="Segoe UI"/>
          <w:bCs/>
          <w:sz w:val="20"/>
          <w:szCs w:val="20"/>
        </w:rPr>
        <w:t>Berdasarkan fenomena tersebut peneliti tertarik untuk melakukan penelitian terkait gambaran pengetahuan dan perilaku manajemen prehipertensi pada dewasa di wilayah kerja puskesmas Babelan 1.</w:t>
      </w:r>
      <w:proofErr w:type="gramEnd"/>
    </w:p>
    <w:p w:rsidR="00224A84" w:rsidRPr="00164A04" w:rsidRDefault="00224A84" w:rsidP="00164A04">
      <w:pPr>
        <w:spacing w:after="0" w:line="240" w:lineRule="auto"/>
        <w:ind w:firstLine="360"/>
        <w:jc w:val="both"/>
        <w:rPr>
          <w:rFonts w:ascii="Segoe UI" w:eastAsia="Times New Roman" w:hAnsi="Segoe UI" w:cs="Segoe UI"/>
          <w:bCs/>
          <w:sz w:val="20"/>
          <w:szCs w:val="20"/>
        </w:rPr>
      </w:pPr>
    </w:p>
    <w:p w:rsidR="00224A84" w:rsidRPr="00164A04" w:rsidRDefault="00224A84" w:rsidP="00164A04">
      <w:pPr>
        <w:spacing w:after="0" w:line="240" w:lineRule="auto"/>
        <w:jc w:val="both"/>
        <w:rPr>
          <w:rFonts w:ascii="Segoe UI" w:eastAsia="Times New Roman" w:hAnsi="Segoe UI" w:cs="Segoe UI"/>
          <w:b/>
          <w:bCs/>
          <w:sz w:val="20"/>
          <w:szCs w:val="20"/>
        </w:rPr>
      </w:pPr>
      <w:r w:rsidRPr="00164A04">
        <w:rPr>
          <w:rFonts w:ascii="Segoe UI" w:eastAsia="Times New Roman" w:hAnsi="Segoe UI" w:cs="Segoe UI"/>
          <w:b/>
          <w:bCs/>
          <w:sz w:val="20"/>
          <w:szCs w:val="20"/>
        </w:rPr>
        <w:t>METODE PENELITIAN</w:t>
      </w:r>
    </w:p>
    <w:p w:rsidR="00224A84" w:rsidRPr="00164A04" w:rsidRDefault="00224A84" w:rsidP="00164A04">
      <w:pPr>
        <w:spacing w:after="0" w:line="240" w:lineRule="auto"/>
        <w:ind w:firstLine="360"/>
        <w:jc w:val="both"/>
        <w:rPr>
          <w:rFonts w:ascii="Segoe UI" w:hAnsi="Segoe UI" w:cs="Segoe UI"/>
          <w:sz w:val="20"/>
          <w:szCs w:val="20"/>
        </w:rPr>
      </w:pPr>
      <w:proofErr w:type="gramStart"/>
      <w:r w:rsidRPr="00164A04">
        <w:rPr>
          <w:rFonts w:ascii="Segoe UI" w:hAnsi="Segoe UI" w:cs="Segoe UI"/>
          <w:sz w:val="20"/>
          <w:szCs w:val="20"/>
        </w:rPr>
        <w:t>Penelitian ini dilakukan dengan menggunakan pendekatan kuantitatif deskriptif dengan metode survey yaitu menggunakan kuesioner sebagai alat pengumpulan data</w:t>
      </w:r>
      <w:r w:rsidR="00E13E0E" w:rsidRPr="00164A04">
        <w:rPr>
          <w:rFonts w:ascii="Segoe UI" w:hAnsi="Segoe UI" w:cs="Segoe UI"/>
          <w:sz w:val="20"/>
          <w:szCs w:val="20"/>
        </w:rPr>
        <w:t xml:space="preserve"> pada bulan Mei-Juni 2022 di wilayah kerja puskesmas Babelan 1.</w:t>
      </w:r>
      <w:proofErr w:type="gramEnd"/>
      <w:r w:rsidR="00E13E0E" w:rsidRPr="00164A04">
        <w:rPr>
          <w:rFonts w:ascii="Segoe UI" w:hAnsi="Segoe UI" w:cs="Segoe UI"/>
          <w:sz w:val="20"/>
          <w:szCs w:val="20"/>
        </w:rPr>
        <w:t xml:space="preserve"> T</w:t>
      </w:r>
      <w:r w:rsidRPr="00164A04">
        <w:rPr>
          <w:rFonts w:ascii="Segoe UI" w:hAnsi="Segoe UI" w:cs="Segoe UI"/>
          <w:sz w:val="20"/>
          <w:szCs w:val="20"/>
        </w:rPr>
        <w:t xml:space="preserve">eknik pengambilan sampel yaitu non probability sampling dengan </w:t>
      </w:r>
      <w:r w:rsidRPr="00164A04">
        <w:rPr>
          <w:rFonts w:ascii="Segoe UI" w:hAnsi="Segoe UI" w:cs="Segoe UI"/>
          <w:i/>
          <w:sz w:val="20"/>
          <w:szCs w:val="20"/>
        </w:rPr>
        <w:t>accidental sampling</w:t>
      </w:r>
      <w:r w:rsidR="00E13E0E" w:rsidRPr="00164A04">
        <w:rPr>
          <w:rFonts w:ascii="Segoe UI" w:hAnsi="Segoe UI" w:cs="Segoe UI"/>
          <w:sz w:val="20"/>
          <w:szCs w:val="20"/>
        </w:rPr>
        <w:t xml:space="preserve"> </w:t>
      </w:r>
      <w:r w:rsidR="00B72AB0" w:rsidRPr="00164A04">
        <w:rPr>
          <w:rFonts w:ascii="Segoe UI" w:hAnsi="Segoe UI" w:cs="Segoe UI"/>
          <w:sz w:val="20"/>
          <w:szCs w:val="20"/>
        </w:rPr>
        <w:t xml:space="preserve">menggunakan rumus lemeshow karena jumlah populasi tidak diketahui, sehingga didapatkan jumlah sampel sebanyak 107 responden </w:t>
      </w:r>
      <w:r w:rsidRPr="00164A04">
        <w:rPr>
          <w:rFonts w:ascii="Segoe UI" w:hAnsi="Segoe UI" w:cs="Segoe UI"/>
          <w:sz w:val="20"/>
          <w:szCs w:val="20"/>
        </w:rPr>
        <w:t>dengan</w:t>
      </w:r>
      <w:r w:rsidR="00E13E0E" w:rsidRPr="00164A04">
        <w:rPr>
          <w:rFonts w:ascii="Segoe UI" w:hAnsi="Segoe UI" w:cs="Segoe UI"/>
          <w:sz w:val="20"/>
          <w:szCs w:val="20"/>
        </w:rPr>
        <w:t xml:space="preserve"> kriteria inklusi</w:t>
      </w:r>
      <w:r w:rsidR="00B72AB0" w:rsidRPr="00164A04">
        <w:rPr>
          <w:rFonts w:ascii="Segoe UI" w:hAnsi="Segoe UI" w:cs="Segoe UI"/>
          <w:sz w:val="20"/>
          <w:szCs w:val="20"/>
        </w:rPr>
        <w:t xml:space="preserve"> yaitu dewasa muda berusia 18-40 tahun yang tinggal di wilayah kerja puskesmas babelan 1 dan kriteria ekslusi yaitu dewasa muda yang telah terdiagnosa hipertensi atau sedang mengonsumsi obat hi</w:t>
      </w:r>
      <w:r w:rsidR="00627741" w:rsidRPr="00164A04">
        <w:rPr>
          <w:rFonts w:ascii="Segoe UI" w:hAnsi="Segoe UI" w:cs="Segoe UI"/>
          <w:sz w:val="20"/>
          <w:szCs w:val="20"/>
        </w:rPr>
        <w:t>p</w:t>
      </w:r>
      <w:r w:rsidR="00B72AB0" w:rsidRPr="00164A04">
        <w:rPr>
          <w:rFonts w:ascii="Segoe UI" w:hAnsi="Segoe UI" w:cs="Segoe UI"/>
          <w:sz w:val="20"/>
          <w:szCs w:val="20"/>
        </w:rPr>
        <w:t>ertensi.</w:t>
      </w:r>
      <w:r w:rsidR="00627741" w:rsidRPr="00164A04">
        <w:rPr>
          <w:rFonts w:ascii="Segoe UI" w:hAnsi="Segoe UI" w:cs="Segoe UI"/>
          <w:sz w:val="20"/>
          <w:szCs w:val="20"/>
        </w:rPr>
        <w:t xml:space="preserve"> Instrument pada penelitian ini adalah kuesioner pengetahuan yang dimodifikasi dari </w:t>
      </w:r>
      <w:r w:rsidR="00627741" w:rsidRPr="00164A04">
        <w:rPr>
          <w:rFonts w:ascii="Segoe UI" w:hAnsi="Segoe UI" w:cs="Segoe UI"/>
          <w:sz w:val="20"/>
          <w:szCs w:val="20"/>
        </w:rPr>
        <w:fldChar w:fldCharType="begin" w:fldLock="1"/>
      </w:r>
      <w:r w:rsidR="00627741" w:rsidRPr="00164A04">
        <w:rPr>
          <w:rFonts w:ascii="Segoe UI" w:hAnsi="Segoe UI" w:cs="Segoe UI"/>
          <w:sz w:val="20"/>
          <w:szCs w:val="20"/>
        </w:rPr>
        <w:instrText>ADDIN CSL_CITATION {"citationItems":[{"id":"ITEM-1","itemData":{"DOI":"10.33024/hjk.v14i4.2989","ISSN":"1978-3337","abstract":"Hypertension knowledge, attitudes, and behavior related to diet management among patient with hypertension in Garut-IndonesiaBackground: Hypertension is a non-communicable disease in which cases are still many in Indonesia. The knowledge, attitude and patient behavior with proper diet management would like to recover. Knowledge is something that can underlie or encourage someone to take action or behavior. The recommended hypertension diet for people with hypertension is the consumption of food that is low in salt, low in fat, increase fibre, increase potassium intake, do not consume cigarette, coffee and alcohol, increase consumption of vegetable and fruit.Purpose: To determine description of Hypertension knowledge, attitudes, and behavior related to diet management among patient with hypertension in Garut-IndonesiaMethod: A quantitative approach with the population were patient with hypertension in Guntur Health Center, the samples were of 159 respondent using accidental sampling techniques. The instrument used as a questionnaire which includes knowledge, attitude and behaviour. Data analysis used univariate analysis.Results: Showed that most respondents had a good level of knowledge of 152 (95,6%) respondent,159 people (100%) had a supportive attitude, and of 159 (100%) respondent had a positive behavior. Reported that there were some behaviours need to change or preserve as local wisdom such as reducing the consumption of full cream milk, biscuit and egg yolk and maintaining consumption of fruit, vegetable and food that contain low fat.Conclusion: Base on the result expected to use as a reference and learning both in the provision of health education or other nursing care for the knowledge, attitude and behaviour of hypertension sufferers about dietary.Keywords: Hypertension; Knowledge; Attitudes; Behavior; Diet management; Patient.Pendahuluan: Diet hipertensi merupakan salah satu penatalaksanaan hipertensi yang mudah untuk diubah. Diet hipertensi bisa meningkatkan status kesehatan seseorang, status kesehatan seseorang bisa dipengaruhi oleh perilaku. Faktor yang yang erat kaitanya dengan perilaku adalah pengetahuan dan sikap. Pengetahuan yang baik dan sikap yang mendukung akan membantu terlaksananya penatalaksanaan hipertensi dengan benar.Tujuan: Untuk mengetahui gambaran pengetahuan, sikap dan perilaku penderita hipertensi tentang manajemen diet.  Metode: Penelitian deskriptif kuantitatif, populasinya semua pasien yang menderita hipertensi di wilay…","author":[{"dropping-particle":"","family":"Komalasari","given":"Via","non-dropping-particle":"","parse-names":false,"suffix":""},{"dropping-particle":"","family":"Shalahuddin","given":"Iwan","non-dropping-particle":"","parse-names":false,"suffix":""},{"dropping-particle":"","family":"Harun","given":"Hasniatisari","non-dropping-particle":"","parse-names":false,"suffix":""}],"container-title":"Holistik Jurnal Kesehatan","id":"ITEM-1","issue":"4","issued":{"date-parts":[["2020"]]},"page":"494-502","title":"Gambaran pengetahuan, sikap dan perilaku tentang manajemen diet pada pasien hipertensi di Garut, Indonesia","type":"article-journal","volume":"14"},"uris":["http://www.mendeley.com/documents/?uuid=58f8d4f8-b06e-47e0-aee8-0b7035f6ceed"]}],"mendeley":{"formattedCitation":"(Komalasari et al., 2020)","manualFormatting":"Komalasari et al (2020)","plainTextFormattedCitation":"(Komalasari et al., 2020)","previouslyFormattedCitation":"(Komalasari et al., 2020)"},"properties":{"noteIndex":0},"schema":"https://github.com/citation-style-language/schema/raw/master/csl-citation.json"}</w:instrText>
      </w:r>
      <w:r w:rsidR="00627741" w:rsidRPr="00164A04">
        <w:rPr>
          <w:rFonts w:ascii="Segoe UI" w:hAnsi="Segoe UI" w:cs="Segoe UI"/>
          <w:sz w:val="20"/>
          <w:szCs w:val="20"/>
        </w:rPr>
        <w:fldChar w:fldCharType="separate"/>
      </w:r>
      <w:r w:rsidR="00627741" w:rsidRPr="00164A04">
        <w:rPr>
          <w:rFonts w:ascii="Segoe UI" w:hAnsi="Segoe UI" w:cs="Segoe UI"/>
          <w:noProof/>
          <w:sz w:val="20"/>
          <w:szCs w:val="20"/>
        </w:rPr>
        <w:t>Komalasari et al (2020)</w:t>
      </w:r>
      <w:r w:rsidR="00627741" w:rsidRPr="00164A04">
        <w:rPr>
          <w:rFonts w:ascii="Segoe UI" w:hAnsi="Segoe UI" w:cs="Segoe UI"/>
          <w:sz w:val="20"/>
          <w:szCs w:val="20"/>
        </w:rPr>
        <w:fldChar w:fldCharType="end"/>
      </w:r>
      <w:r w:rsidR="00627741" w:rsidRPr="00164A04">
        <w:rPr>
          <w:rFonts w:ascii="Segoe UI" w:hAnsi="Segoe UI" w:cs="Segoe UI"/>
          <w:sz w:val="20"/>
          <w:szCs w:val="20"/>
        </w:rPr>
        <w:t xml:space="preserve"> berjumalah 1 pertanyaan yang di ambil dan ditambahkan 19 pertanyaan serta telah dilakukan uji validasi dan reliabilitas dan menggunakan kuesioner perilaku manajemen prehipertensi dari </w:t>
      </w:r>
      <w:r w:rsidR="00627741" w:rsidRPr="00164A04">
        <w:rPr>
          <w:rFonts w:ascii="Segoe UI" w:hAnsi="Segoe UI" w:cs="Segoe UI"/>
          <w:sz w:val="20"/>
          <w:szCs w:val="20"/>
        </w:rPr>
        <w:fldChar w:fldCharType="begin" w:fldLock="1"/>
      </w:r>
      <w:r w:rsidR="005F5384" w:rsidRPr="00164A04">
        <w:rPr>
          <w:rFonts w:ascii="Segoe UI" w:hAnsi="Segoe UI" w:cs="Segoe UI"/>
          <w:sz w:val="20"/>
          <w:szCs w:val="20"/>
        </w:rPr>
        <w:instrText>ADDIN CSL_CITATION {"citationItems":[{"id":"ITEM-1","itemData":{"DOI":"10.1161/01.HYP.0000167152.98618.4b","ISSN":"0194911X","PMID":"15897368","author":[{"dropping-particle":"","family":"Svetkey","given":"Laura P.","non-dropping-particle":"","parse-names":false,"suffix":""}],"container-title":"Hypertension","id":"ITEM-1","issue":"6","issued":{"date-parts":[["2005"]]},"page":"1056-1061","title":"Management of prehypertension","type":"article-journal","volume":"45"},"uris":["http://www.mendeley.com/documents/?uuid=4ed022e2-c479-47bc-bb57-1c9e3b06fb3e"]}],"mendeley":{"formattedCitation":"(Svetkey, 2005)","manualFormatting":"Svetkey (2005)","plainTextFormattedCitation":"(Svetkey, 2005)","previouslyFormattedCitation":"(Svetkey, 2005)"},"properties":{"noteIndex":0},"schema":"https://github.com/citation-style-language/schema/raw/master/csl-citation.json"}</w:instrText>
      </w:r>
      <w:r w:rsidR="00627741" w:rsidRPr="00164A04">
        <w:rPr>
          <w:rFonts w:ascii="Segoe UI" w:hAnsi="Segoe UI" w:cs="Segoe UI"/>
          <w:sz w:val="20"/>
          <w:szCs w:val="20"/>
        </w:rPr>
        <w:fldChar w:fldCharType="separate"/>
      </w:r>
      <w:r w:rsidR="00627741" w:rsidRPr="00164A04">
        <w:rPr>
          <w:rFonts w:ascii="Segoe UI" w:hAnsi="Segoe UI" w:cs="Segoe UI"/>
          <w:noProof/>
          <w:sz w:val="20"/>
          <w:szCs w:val="20"/>
        </w:rPr>
        <w:t>Svetkey (2005)</w:t>
      </w:r>
      <w:r w:rsidR="00627741" w:rsidRPr="00164A04">
        <w:rPr>
          <w:rFonts w:ascii="Segoe UI" w:hAnsi="Segoe UI" w:cs="Segoe UI"/>
          <w:sz w:val="20"/>
          <w:szCs w:val="20"/>
        </w:rPr>
        <w:fldChar w:fldCharType="end"/>
      </w:r>
      <w:r w:rsidR="00627741" w:rsidRPr="00164A04">
        <w:rPr>
          <w:rFonts w:ascii="Segoe UI" w:hAnsi="Segoe UI" w:cs="Segoe UI"/>
          <w:sz w:val="20"/>
          <w:szCs w:val="20"/>
        </w:rPr>
        <w:t xml:space="preserve">. </w:t>
      </w:r>
      <w:r w:rsidR="00627741" w:rsidRPr="00164A04">
        <w:rPr>
          <w:rFonts w:ascii="Segoe UI" w:hAnsi="Segoe UI" w:cs="Segoe UI"/>
          <w:sz w:val="20"/>
          <w:szCs w:val="20"/>
        </w:rPr>
        <w:lastRenderedPageBreak/>
        <w:t xml:space="preserve">Pengumpulan data pada penelitian ini </w:t>
      </w:r>
      <w:r w:rsidR="008C7D2D" w:rsidRPr="00164A04">
        <w:rPr>
          <w:rFonts w:ascii="Segoe UI" w:hAnsi="Segoe UI" w:cs="Segoe UI"/>
          <w:sz w:val="20"/>
          <w:szCs w:val="20"/>
        </w:rPr>
        <w:t xml:space="preserve">dimulai dengan mengajukan surat permohonan kaji etik kepada komisi etik Fakultas Ilmu </w:t>
      </w:r>
      <w:proofErr w:type="gramStart"/>
      <w:r w:rsidR="008C7D2D" w:rsidRPr="00164A04">
        <w:rPr>
          <w:rFonts w:ascii="Segoe UI" w:hAnsi="Segoe UI" w:cs="Segoe UI"/>
          <w:sz w:val="20"/>
          <w:szCs w:val="20"/>
        </w:rPr>
        <w:t>Kesehatan  UIN</w:t>
      </w:r>
      <w:proofErr w:type="gramEnd"/>
      <w:r w:rsidR="008C7D2D" w:rsidRPr="00164A04">
        <w:rPr>
          <w:rFonts w:ascii="Segoe UI" w:hAnsi="Segoe UI" w:cs="Segoe UI"/>
          <w:sz w:val="20"/>
          <w:szCs w:val="20"/>
        </w:rPr>
        <w:t xml:space="preserve"> Syarif Hidayatullah Jakarta dengan nomor lolos etik</w:t>
      </w:r>
      <w:r w:rsidR="001A1E95" w:rsidRPr="00164A04">
        <w:rPr>
          <w:rFonts w:ascii="Segoe UI" w:hAnsi="Segoe UI" w:cs="Segoe UI"/>
          <w:sz w:val="20"/>
          <w:szCs w:val="20"/>
        </w:rPr>
        <w:t xml:space="preserve"> Un.01/F</w:t>
      </w:r>
      <w:r w:rsidR="00D21F0C" w:rsidRPr="00164A04">
        <w:rPr>
          <w:rFonts w:ascii="Segoe UI" w:hAnsi="Segoe UI" w:cs="Segoe UI"/>
          <w:sz w:val="20"/>
          <w:szCs w:val="20"/>
        </w:rPr>
        <w:t>.10/kp.01.1/KE.SP/05.08.009/2022</w:t>
      </w:r>
      <w:r w:rsidR="008C7D2D" w:rsidRPr="00164A04">
        <w:rPr>
          <w:rFonts w:ascii="Segoe UI" w:hAnsi="Segoe UI" w:cs="Segoe UI"/>
          <w:sz w:val="20"/>
          <w:szCs w:val="20"/>
        </w:rPr>
        <w:t xml:space="preserve">, kemudian mengurus permohonan izin pengambilan data di puskesmas babelan1, setelah itu dilakukan penelitian dengan menyebar kuesioner pada dewasa muda dengan prehipertenesi yang tinggal di wilayah kerja puskesmas babelan 1. </w:t>
      </w:r>
      <w:r w:rsidRPr="00164A04">
        <w:rPr>
          <w:rFonts w:ascii="Segoe UI" w:hAnsi="Segoe UI" w:cs="Segoe UI"/>
          <w:sz w:val="20"/>
          <w:szCs w:val="20"/>
        </w:rPr>
        <w:t xml:space="preserve">Analisis dalam penelitian ini dilakukan dengan </w:t>
      </w:r>
      <w:proofErr w:type="gramStart"/>
      <w:r w:rsidRPr="00164A04">
        <w:rPr>
          <w:rFonts w:ascii="Segoe UI" w:hAnsi="Segoe UI" w:cs="Segoe UI"/>
          <w:sz w:val="20"/>
          <w:szCs w:val="20"/>
        </w:rPr>
        <w:t>cara</w:t>
      </w:r>
      <w:proofErr w:type="gramEnd"/>
      <w:r w:rsidRPr="00164A04">
        <w:rPr>
          <w:rFonts w:ascii="Segoe UI" w:hAnsi="Segoe UI" w:cs="Segoe UI"/>
          <w:sz w:val="20"/>
          <w:szCs w:val="20"/>
        </w:rPr>
        <w:t xml:space="preserve"> analisis univariat untuk mengetahui gambaran karakteristik responden, gambaran pengetahuan dan gambaran perilaku manajemen prehipertensi.</w:t>
      </w:r>
    </w:p>
    <w:p w:rsidR="001A1E95" w:rsidRPr="00164A04" w:rsidRDefault="001A1E95" w:rsidP="00164A04">
      <w:pPr>
        <w:spacing w:before="120" w:after="0" w:line="240" w:lineRule="auto"/>
        <w:jc w:val="both"/>
        <w:rPr>
          <w:rFonts w:ascii="Segoe UI" w:hAnsi="Segoe UI" w:cs="Segoe UI"/>
          <w:b/>
          <w:sz w:val="20"/>
          <w:szCs w:val="20"/>
        </w:rPr>
      </w:pPr>
      <w:r w:rsidRPr="00164A04">
        <w:rPr>
          <w:rFonts w:ascii="Segoe UI" w:hAnsi="Segoe UI" w:cs="Segoe UI"/>
          <w:b/>
          <w:sz w:val="20"/>
          <w:szCs w:val="20"/>
        </w:rPr>
        <w:t>HASIL</w:t>
      </w:r>
    </w:p>
    <w:p w:rsidR="001A1E95" w:rsidRPr="00164A04" w:rsidRDefault="001A1E95" w:rsidP="00164A04">
      <w:pPr>
        <w:pStyle w:val="ListParagraph"/>
        <w:spacing w:line="240" w:lineRule="auto"/>
        <w:ind w:left="0"/>
        <w:jc w:val="both"/>
        <w:rPr>
          <w:rFonts w:ascii="Segoe UI" w:hAnsi="Segoe UI" w:cs="Segoe UI"/>
          <w:b/>
          <w:sz w:val="20"/>
          <w:szCs w:val="20"/>
        </w:rPr>
      </w:pPr>
      <w:r w:rsidRPr="00164A04">
        <w:rPr>
          <w:rFonts w:ascii="Segoe UI" w:hAnsi="Segoe UI" w:cs="Segoe UI"/>
          <w:b/>
          <w:sz w:val="20"/>
          <w:szCs w:val="20"/>
        </w:rPr>
        <w:t>Karakteristik Responden</w:t>
      </w:r>
    </w:p>
    <w:p w:rsidR="001A1E95" w:rsidRPr="00164A04" w:rsidRDefault="001A1E95" w:rsidP="00164A04">
      <w:pPr>
        <w:pStyle w:val="Caption"/>
        <w:ind w:right="27"/>
        <w:jc w:val="center"/>
        <w:rPr>
          <w:rFonts w:ascii="Segoe UI" w:hAnsi="Segoe UI" w:cs="Segoe UI"/>
          <w:b w:val="0"/>
          <w:sz w:val="20"/>
          <w:szCs w:val="20"/>
        </w:rPr>
      </w:pPr>
      <w:proofErr w:type="gramStart"/>
      <w:r w:rsidRPr="00164A04">
        <w:rPr>
          <w:rFonts w:ascii="Segoe UI" w:hAnsi="Segoe UI" w:cs="Segoe UI"/>
          <w:color w:val="auto"/>
          <w:sz w:val="20"/>
          <w:szCs w:val="20"/>
        </w:rPr>
        <w:t xml:space="preserve">Tabel  </w:t>
      </w:r>
      <w:proofErr w:type="gramEnd"/>
      <w:r w:rsidRPr="00164A04">
        <w:rPr>
          <w:rFonts w:ascii="Segoe UI" w:hAnsi="Segoe UI" w:cs="Segoe UI"/>
          <w:color w:val="auto"/>
          <w:sz w:val="20"/>
          <w:szCs w:val="20"/>
        </w:rPr>
        <w:fldChar w:fldCharType="begin"/>
      </w:r>
      <w:r w:rsidRPr="00164A04">
        <w:rPr>
          <w:rFonts w:ascii="Segoe UI" w:hAnsi="Segoe UI" w:cs="Segoe UI"/>
          <w:color w:val="auto"/>
          <w:sz w:val="20"/>
          <w:szCs w:val="20"/>
        </w:rPr>
        <w:instrText xml:space="preserve"> SEQ Tabel_1. \* ARABIC </w:instrText>
      </w:r>
      <w:r w:rsidRPr="00164A04">
        <w:rPr>
          <w:rFonts w:ascii="Segoe UI" w:hAnsi="Segoe UI" w:cs="Segoe UI"/>
          <w:color w:val="auto"/>
          <w:sz w:val="20"/>
          <w:szCs w:val="20"/>
        </w:rPr>
        <w:fldChar w:fldCharType="separate"/>
      </w:r>
      <w:r w:rsidR="00741C3D" w:rsidRPr="00164A04">
        <w:rPr>
          <w:rFonts w:ascii="Segoe UI" w:hAnsi="Segoe UI" w:cs="Segoe UI"/>
          <w:noProof/>
          <w:color w:val="auto"/>
          <w:sz w:val="20"/>
          <w:szCs w:val="20"/>
        </w:rPr>
        <w:t>1</w:t>
      </w:r>
      <w:r w:rsidRPr="00164A04">
        <w:rPr>
          <w:rFonts w:ascii="Segoe UI" w:hAnsi="Segoe UI" w:cs="Segoe UI"/>
          <w:color w:val="auto"/>
          <w:sz w:val="20"/>
          <w:szCs w:val="20"/>
        </w:rPr>
        <w:fldChar w:fldCharType="end"/>
      </w:r>
      <w:r w:rsidRPr="00164A04">
        <w:rPr>
          <w:rFonts w:ascii="Segoe UI" w:hAnsi="Segoe UI" w:cs="Segoe UI"/>
          <w:color w:val="auto"/>
          <w:sz w:val="20"/>
          <w:szCs w:val="20"/>
        </w:rPr>
        <w:t xml:space="preserve"> Distribusi Frekuensi Berdasarkan Usia Dewasa Muda Prehipertensi di Wilayah Kerja Puskesmas Babelan 1</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350"/>
        <w:gridCol w:w="1260"/>
        <w:gridCol w:w="1170"/>
      </w:tblGrid>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Usia</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Frekuensi</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Persentase</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18-29 Tahun</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76</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71%</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30-39 Tahun</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30</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28%</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40 Tahun</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0,9%</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Total</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107</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100%</w:t>
            </w:r>
          </w:p>
        </w:tc>
      </w:tr>
    </w:tbl>
    <w:p w:rsidR="001A1E95" w:rsidRPr="00164A04" w:rsidRDefault="001A1E95" w:rsidP="00164A04">
      <w:pPr>
        <w:pStyle w:val="ListParagraph"/>
        <w:spacing w:line="240" w:lineRule="auto"/>
        <w:ind w:left="0"/>
        <w:jc w:val="both"/>
        <w:rPr>
          <w:rFonts w:ascii="Segoe UI" w:hAnsi="Segoe UI" w:cs="Segoe UI"/>
          <w:b/>
          <w:sz w:val="20"/>
          <w:szCs w:val="20"/>
        </w:rPr>
      </w:pPr>
      <w:r w:rsidRPr="00164A04">
        <w:rPr>
          <w:rFonts w:ascii="Segoe UI" w:hAnsi="Segoe UI" w:cs="Segoe UI"/>
          <w:sz w:val="20"/>
          <w:szCs w:val="20"/>
        </w:rPr>
        <w:t>Tabel 1 menunjukan frekuensi responden berdasarkan usia, sebagian besar dewasa muda dengan prehipertensi di wilayah kerja puskesmas babelan 1 yaitu 18-29 tahun sebanyak 79 responden (71</w:t>
      </w:r>
      <w:proofErr w:type="gramStart"/>
      <w:r w:rsidRPr="00164A04">
        <w:rPr>
          <w:rFonts w:ascii="Segoe UI" w:hAnsi="Segoe UI" w:cs="Segoe UI"/>
          <w:sz w:val="20"/>
          <w:szCs w:val="20"/>
        </w:rPr>
        <w:t>,2</w:t>
      </w:r>
      <w:proofErr w:type="gramEnd"/>
      <w:r w:rsidRPr="00164A04">
        <w:rPr>
          <w:rFonts w:ascii="Segoe UI" w:hAnsi="Segoe UI" w:cs="Segoe UI"/>
          <w:sz w:val="20"/>
          <w:szCs w:val="20"/>
        </w:rPr>
        <w:t>%).</w:t>
      </w:r>
    </w:p>
    <w:p w:rsidR="001A1E95" w:rsidRPr="00164A04" w:rsidRDefault="001A1E95" w:rsidP="00164A04">
      <w:pPr>
        <w:pStyle w:val="Caption"/>
        <w:ind w:right="27"/>
        <w:jc w:val="center"/>
        <w:rPr>
          <w:rFonts w:ascii="Segoe UI" w:hAnsi="Segoe UI" w:cs="Segoe UI"/>
          <w:b w:val="0"/>
          <w:sz w:val="20"/>
          <w:szCs w:val="20"/>
        </w:rPr>
      </w:pPr>
      <w:proofErr w:type="gramStart"/>
      <w:r w:rsidRPr="00164A04">
        <w:rPr>
          <w:rFonts w:ascii="Segoe UI" w:hAnsi="Segoe UI" w:cs="Segoe UI"/>
          <w:color w:val="auto"/>
          <w:sz w:val="20"/>
          <w:szCs w:val="20"/>
        </w:rPr>
        <w:t>Tabel  2</w:t>
      </w:r>
      <w:proofErr w:type="gramEnd"/>
      <w:r w:rsidRPr="00164A04">
        <w:rPr>
          <w:rFonts w:ascii="Segoe UI" w:hAnsi="Segoe UI" w:cs="Segoe UI"/>
          <w:color w:val="auto"/>
          <w:sz w:val="20"/>
          <w:szCs w:val="20"/>
        </w:rPr>
        <w:t xml:space="preserve"> Distribusi Frekuensi Berdasarkan Pendidikan Dewasa Muda Prehipertensi di Wilayah Kerja Puskesmas Babelan 1</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350"/>
        <w:gridCol w:w="1260"/>
        <w:gridCol w:w="1170"/>
      </w:tblGrid>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Pendidikan</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Frekuensi</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Persentase</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SD</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8</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7,2%</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SMP</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11</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9,9%</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SMA</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71</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66,7%</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Perguruan Tinggi</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14</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13,5%</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Tidak Sekolah</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2,7%</w:t>
            </w:r>
          </w:p>
        </w:tc>
      </w:tr>
      <w:tr w:rsidR="001A1E95" w:rsidRPr="00164A04" w:rsidTr="00E1716A">
        <w:tc>
          <w:tcPr>
            <w:tcW w:w="135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Total</w:t>
            </w:r>
          </w:p>
        </w:tc>
        <w:tc>
          <w:tcPr>
            <w:tcW w:w="1260"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107</w:t>
            </w:r>
          </w:p>
        </w:tc>
        <w:tc>
          <w:tcPr>
            <w:tcW w:w="117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100%</w:t>
            </w:r>
          </w:p>
        </w:tc>
      </w:tr>
    </w:tbl>
    <w:p w:rsidR="001A1E95" w:rsidRPr="00164A04" w:rsidRDefault="001A1E95" w:rsidP="00164A04">
      <w:pPr>
        <w:pStyle w:val="ListParagraph"/>
        <w:spacing w:line="240" w:lineRule="auto"/>
        <w:ind w:left="0"/>
        <w:jc w:val="both"/>
        <w:rPr>
          <w:rFonts w:ascii="Segoe UI" w:hAnsi="Segoe UI" w:cs="Segoe UI"/>
          <w:sz w:val="20"/>
          <w:szCs w:val="20"/>
        </w:rPr>
      </w:pPr>
      <w:r w:rsidRPr="00164A04">
        <w:rPr>
          <w:rFonts w:ascii="Segoe UI" w:hAnsi="Segoe UI" w:cs="Segoe UI"/>
          <w:sz w:val="20"/>
          <w:szCs w:val="20"/>
        </w:rPr>
        <w:t>Tabel 2 menunjukan frekuensi responden berdasarkan tingkat pendidikan, sebagian besar dewasa muda dengan prehipertensi di wilayah kerja puskesmas babelan 1 yaitu pendidikan akhirnya SMA sebanyak 11 responden (66</w:t>
      </w:r>
      <w:proofErr w:type="gramStart"/>
      <w:r w:rsidRPr="00164A04">
        <w:rPr>
          <w:rFonts w:ascii="Segoe UI" w:hAnsi="Segoe UI" w:cs="Segoe UI"/>
          <w:sz w:val="20"/>
          <w:szCs w:val="20"/>
        </w:rPr>
        <w:t>,7</w:t>
      </w:r>
      <w:proofErr w:type="gramEnd"/>
      <w:r w:rsidRPr="00164A04">
        <w:rPr>
          <w:rFonts w:ascii="Segoe UI" w:hAnsi="Segoe UI" w:cs="Segoe UI"/>
          <w:sz w:val="20"/>
          <w:szCs w:val="20"/>
        </w:rPr>
        <w:t>%).</w:t>
      </w:r>
    </w:p>
    <w:p w:rsidR="001A1E95" w:rsidRPr="00164A04" w:rsidRDefault="001A1E95" w:rsidP="00164A04">
      <w:pPr>
        <w:pStyle w:val="Caption"/>
        <w:ind w:right="27"/>
        <w:jc w:val="center"/>
        <w:rPr>
          <w:rFonts w:ascii="Segoe UI" w:hAnsi="Segoe UI" w:cs="Segoe UI"/>
          <w:color w:val="auto"/>
          <w:sz w:val="20"/>
          <w:szCs w:val="20"/>
        </w:rPr>
      </w:pPr>
      <w:proofErr w:type="gramStart"/>
      <w:r w:rsidRPr="00164A04">
        <w:rPr>
          <w:rFonts w:ascii="Segoe UI" w:hAnsi="Segoe UI" w:cs="Segoe UI"/>
          <w:color w:val="auto"/>
          <w:sz w:val="20"/>
          <w:szCs w:val="20"/>
        </w:rPr>
        <w:lastRenderedPageBreak/>
        <w:t>Tabel  3</w:t>
      </w:r>
      <w:proofErr w:type="gramEnd"/>
      <w:r w:rsidRPr="00164A04">
        <w:rPr>
          <w:rFonts w:ascii="Segoe UI" w:hAnsi="Segoe UI" w:cs="Segoe UI"/>
          <w:color w:val="auto"/>
          <w:sz w:val="20"/>
          <w:szCs w:val="20"/>
        </w:rPr>
        <w:t xml:space="preserve"> Distribusi Frekuensi Berdasarkan Pekerjaan Dewasa Muda Prehipertensi di Wilayah Kerja Puskesmas Babelan 1</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710"/>
        <w:gridCol w:w="1084"/>
        <w:gridCol w:w="1166"/>
      </w:tblGrid>
      <w:tr w:rsidR="001A1E95" w:rsidRPr="00164A04" w:rsidTr="00E1716A">
        <w:tc>
          <w:tcPr>
            <w:tcW w:w="171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 xml:space="preserve">Pekerjaan </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Frekuensi</w:t>
            </w:r>
          </w:p>
        </w:tc>
        <w:tc>
          <w:tcPr>
            <w:tcW w:w="116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Persentase</w:t>
            </w:r>
          </w:p>
        </w:tc>
      </w:tr>
      <w:tr w:rsidR="001A1E95" w:rsidRPr="00164A04" w:rsidTr="00E1716A">
        <w:tc>
          <w:tcPr>
            <w:tcW w:w="171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Tidak Bekerja</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39</w:t>
            </w:r>
          </w:p>
        </w:tc>
        <w:tc>
          <w:tcPr>
            <w:tcW w:w="116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36,0%</w:t>
            </w:r>
          </w:p>
        </w:tc>
      </w:tr>
      <w:tr w:rsidR="001A1E95" w:rsidRPr="00164A04" w:rsidTr="00E1716A">
        <w:tc>
          <w:tcPr>
            <w:tcW w:w="171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Pegawai Swasta</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23</w:t>
            </w:r>
          </w:p>
        </w:tc>
        <w:tc>
          <w:tcPr>
            <w:tcW w:w="116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21,6%</w:t>
            </w:r>
          </w:p>
        </w:tc>
      </w:tr>
      <w:tr w:rsidR="001A1E95" w:rsidRPr="00164A04" w:rsidTr="00E1716A">
        <w:trPr>
          <w:trHeight w:val="70"/>
        </w:trPr>
        <w:tc>
          <w:tcPr>
            <w:tcW w:w="171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Pegawai Negeri</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w:t>
            </w:r>
          </w:p>
        </w:tc>
        <w:tc>
          <w:tcPr>
            <w:tcW w:w="116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1,8%</w:t>
            </w:r>
          </w:p>
        </w:tc>
      </w:tr>
      <w:tr w:rsidR="001A1E95" w:rsidRPr="00164A04" w:rsidTr="00E1716A">
        <w:tc>
          <w:tcPr>
            <w:tcW w:w="171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Wiraswasta</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23</w:t>
            </w:r>
          </w:p>
        </w:tc>
        <w:tc>
          <w:tcPr>
            <w:tcW w:w="116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21,6%</w:t>
            </w:r>
          </w:p>
        </w:tc>
      </w:tr>
      <w:tr w:rsidR="001A1E95" w:rsidRPr="00164A04" w:rsidTr="00E1716A">
        <w:tc>
          <w:tcPr>
            <w:tcW w:w="171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 xml:space="preserve">Lainnya </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20</w:t>
            </w:r>
          </w:p>
        </w:tc>
        <w:tc>
          <w:tcPr>
            <w:tcW w:w="116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18,9%</w:t>
            </w:r>
          </w:p>
        </w:tc>
      </w:tr>
      <w:tr w:rsidR="001A1E95" w:rsidRPr="00164A04" w:rsidTr="00E1716A">
        <w:tc>
          <w:tcPr>
            <w:tcW w:w="171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Total</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107</w:t>
            </w:r>
          </w:p>
        </w:tc>
        <w:tc>
          <w:tcPr>
            <w:tcW w:w="116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100%</w:t>
            </w:r>
          </w:p>
        </w:tc>
      </w:tr>
    </w:tbl>
    <w:p w:rsidR="001A1E95" w:rsidRPr="00164A04" w:rsidRDefault="001A1E95" w:rsidP="00164A04">
      <w:pPr>
        <w:pStyle w:val="ListParagraph"/>
        <w:spacing w:line="240" w:lineRule="auto"/>
        <w:ind w:left="0"/>
        <w:jc w:val="both"/>
        <w:rPr>
          <w:rFonts w:ascii="Segoe UI" w:hAnsi="Segoe UI" w:cs="Segoe UI"/>
          <w:sz w:val="20"/>
          <w:szCs w:val="20"/>
        </w:rPr>
      </w:pPr>
      <w:proofErr w:type="gramStart"/>
      <w:r w:rsidRPr="00164A04">
        <w:rPr>
          <w:rFonts w:ascii="Segoe UI" w:hAnsi="Segoe UI" w:cs="Segoe UI"/>
          <w:sz w:val="20"/>
          <w:szCs w:val="20"/>
        </w:rPr>
        <w:t>Tabel 3 menunjukan frekuensi responden berdasarkan pekerjaan saat ini, sebagian besar dewasa muda dengan prehipertensi di wilayah kerja puskesmas babelan 1 yaitu tidak bekerja atau sebagai ibu rumah tangga sebanyak 40 responden (36%).</w:t>
      </w:r>
      <w:proofErr w:type="gramEnd"/>
    </w:p>
    <w:p w:rsidR="001A1E95" w:rsidRPr="00164A04" w:rsidRDefault="001A1E95" w:rsidP="00164A04">
      <w:pPr>
        <w:pStyle w:val="Caption"/>
        <w:ind w:right="27"/>
        <w:jc w:val="center"/>
        <w:rPr>
          <w:rFonts w:ascii="Segoe UI" w:hAnsi="Segoe UI" w:cs="Segoe UI"/>
          <w:b w:val="0"/>
          <w:sz w:val="20"/>
          <w:szCs w:val="20"/>
        </w:rPr>
      </w:pPr>
      <w:proofErr w:type="gramStart"/>
      <w:r w:rsidRPr="00164A04">
        <w:rPr>
          <w:rFonts w:ascii="Segoe UI" w:hAnsi="Segoe UI" w:cs="Segoe UI"/>
          <w:color w:val="auto"/>
          <w:sz w:val="20"/>
          <w:szCs w:val="20"/>
        </w:rPr>
        <w:t>Tabel  4</w:t>
      </w:r>
      <w:proofErr w:type="gramEnd"/>
      <w:r w:rsidRPr="00164A04">
        <w:rPr>
          <w:rFonts w:ascii="Segoe UI" w:hAnsi="Segoe UI" w:cs="Segoe UI"/>
          <w:color w:val="auto"/>
          <w:sz w:val="20"/>
          <w:szCs w:val="20"/>
        </w:rPr>
        <w:t xml:space="preserve"> Distribusi Frekuensi Berdasarkan Pekerjaan Dewasa Muda Prehipertensi di Wilayah Kerja Puskesmas Babelan 1</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949"/>
        <w:gridCol w:w="1070"/>
        <w:gridCol w:w="1265"/>
      </w:tblGrid>
      <w:tr w:rsidR="001A1E95" w:rsidRPr="00164A04" w:rsidTr="00E1716A">
        <w:tc>
          <w:tcPr>
            <w:tcW w:w="243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 xml:space="preserve">Pendapatan </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Frekuensi</w:t>
            </w:r>
          </w:p>
        </w:tc>
        <w:tc>
          <w:tcPr>
            <w:tcW w:w="134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Persentase</w:t>
            </w:r>
          </w:p>
        </w:tc>
      </w:tr>
      <w:tr w:rsidR="001A1E95" w:rsidRPr="00164A04" w:rsidTr="00E1716A">
        <w:tc>
          <w:tcPr>
            <w:tcW w:w="243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Sangat tinggi (&gt; Rp3.500.000)</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32</w:t>
            </w:r>
          </w:p>
        </w:tc>
        <w:tc>
          <w:tcPr>
            <w:tcW w:w="134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30,6%</w:t>
            </w:r>
          </w:p>
        </w:tc>
      </w:tr>
      <w:tr w:rsidR="001A1E95" w:rsidRPr="00164A04" w:rsidTr="00E1716A">
        <w:tc>
          <w:tcPr>
            <w:tcW w:w="243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Tinggi (Rp 2.500.000 – Rp 3.500.000)</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18</w:t>
            </w:r>
          </w:p>
        </w:tc>
        <w:tc>
          <w:tcPr>
            <w:tcW w:w="134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17,1%</w:t>
            </w:r>
          </w:p>
        </w:tc>
      </w:tr>
      <w:tr w:rsidR="001A1E95" w:rsidRPr="00164A04" w:rsidTr="00E1716A">
        <w:tc>
          <w:tcPr>
            <w:tcW w:w="243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 xml:space="preserve">Sedang (Rp </w:t>
            </w:r>
            <w:r w:rsidRPr="00164A04">
              <w:rPr>
                <w:rFonts w:ascii="Segoe UI" w:hAnsi="Segoe UI" w:cs="Segoe UI"/>
                <w:sz w:val="20"/>
                <w:szCs w:val="20"/>
              </w:rPr>
              <w:lastRenderedPageBreak/>
              <w:t>1.500.000- Rp 2.500.000)</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37</w:t>
            </w:r>
          </w:p>
        </w:tc>
        <w:tc>
          <w:tcPr>
            <w:tcW w:w="134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34,2%</w:t>
            </w:r>
          </w:p>
        </w:tc>
      </w:tr>
      <w:tr w:rsidR="001A1E95" w:rsidRPr="00164A04" w:rsidTr="00E1716A">
        <w:tc>
          <w:tcPr>
            <w:tcW w:w="243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Rendah (&lt; Rp 1.500.000)</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20</w:t>
            </w:r>
          </w:p>
        </w:tc>
        <w:tc>
          <w:tcPr>
            <w:tcW w:w="134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18,0%</w:t>
            </w:r>
          </w:p>
        </w:tc>
      </w:tr>
      <w:tr w:rsidR="001A1E95" w:rsidRPr="00164A04" w:rsidTr="00E1716A">
        <w:tc>
          <w:tcPr>
            <w:tcW w:w="2430"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Total (Rp)</w:t>
            </w:r>
          </w:p>
        </w:tc>
        <w:tc>
          <w:tcPr>
            <w:tcW w:w="1084"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107</w:t>
            </w:r>
          </w:p>
        </w:tc>
        <w:tc>
          <w:tcPr>
            <w:tcW w:w="1346"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100%</w:t>
            </w:r>
          </w:p>
        </w:tc>
      </w:tr>
    </w:tbl>
    <w:p w:rsidR="001A1E95" w:rsidRPr="00164A04" w:rsidRDefault="001A1E95" w:rsidP="00164A04">
      <w:pPr>
        <w:pStyle w:val="ListParagraph"/>
        <w:spacing w:line="240" w:lineRule="auto"/>
        <w:ind w:left="0"/>
        <w:jc w:val="both"/>
        <w:rPr>
          <w:rFonts w:ascii="Segoe UI" w:hAnsi="Segoe UI" w:cs="Segoe UI"/>
          <w:sz w:val="20"/>
          <w:szCs w:val="20"/>
        </w:rPr>
      </w:pPr>
      <w:r w:rsidRPr="00164A04">
        <w:rPr>
          <w:rFonts w:ascii="Segoe UI" w:hAnsi="Segoe UI" w:cs="Segoe UI"/>
          <w:sz w:val="20"/>
          <w:szCs w:val="20"/>
        </w:rPr>
        <w:t>Tabel 4 menunjukan frekuensi responden berdasarkan pendapatan, sebagian besar dewasa muda dengan prehipertensi di wilayah kerja puskesmas babelan 1 yaitu berpendapatan sedang sebanyak 38 responden (34</w:t>
      </w:r>
      <w:proofErr w:type="gramStart"/>
      <w:r w:rsidRPr="00164A04">
        <w:rPr>
          <w:rFonts w:ascii="Segoe UI" w:hAnsi="Segoe UI" w:cs="Segoe UI"/>
          <w:sz w:val="20"/>
          <w:szCs w:val="20"/>
        </w:rPr>
        <w:t>,2</w:t>
      </w:r>
      <w:proofErr w:type="gramEnd"/>
      <w:r w:rsidRPr="00164A04">
        <w:rPr>
          <w:rFonts w:ascii="Segoe UI" w:hAnsi="Segoe UI" w:cs="Segoe UI"/>
          <w:sz w:val="20"/>
          <w:szCs w:val="20"/>
        </w:rPr>
        <w:t xml:space="preserve">%). </w:t>
      </w:r>
    </w:p>
    <w:p w:rsidR="001A1E95" w:rsidRPr="00164A04" w:rsidRDefault="001A1E95" w:rsidP="00164A04">
      <w:pPr>
        <w:pStyle w:val="ListParagraph"/>
        <w:spacing w:before="120" w:line="240" w:lineRule="auto"/>
        <w:ind w:left="0"/>
        <w:jc w:val="both"/>
        <w:rPr>
          <w:rFonts w:ascii="Segoe UI" w:hAnsi="Segoe UI" w:cs="Segoe UI"/>
          <w:b/>
          <w:sz w:val="20"/>
          <w:szCs w:val="20"/>
        </w:rPr>
      </w:pPr>
    </w:p>
    <w:p w:rsidR="001A1E95" w:rsidRPr="00164A04" w:rsidRDefault="001A1E95" w:rsidP="00164A04">
      <w:pPr>
        <w:pStyle w:val="ListParagraph"/>
        <w:spacing w:before="120" w:line="240" w:lineRule="auto"/>
        <w:ind w:left="0"/>
        <w:jc w:val="center"/>
        <w:rPr>
          <w:rFonts w:ascii="Segoe UI" w:hAnsi="Segoe UI" w:cs="Segoe UI"/>
          <w:b/>
          <w:sz w:val="20"/>
          <w:szCs w:val="20"/>
        </w:rPr>
      </w:pPr>
      <w:proofErr w:type="gramStart"/>
      <w:r w:rsidRPr="00164A04">
        <w:rPr>
          <w:rFonts w:ascii="Segoe UI" w:hAnsi="Segoe UI" w:cs="Segoe UI"/>
          <w:b/>
          <w:sz w:val="20"/>
          <w:szCs w:val="20"/>
        </w:rPr>
        <w:t>Tabel  5</w:t>
      </w:r>
      <w:proofErr w:type="gramEnd"/>
      <w:r w:rsidRPr="00164A04">
        <w:rPr>
          <w:rFonts w:ascii="Segoe UI" w:hAnsi="Segoe UI" w:cs="Segoe UI"/>
          <w:b/>
          <w:sz w:val="20"/>
          <w:szCs w:val="20"/>
        </w:rPr>
        <w:t xml:space="preserve"> Gambaran Pengetahuan Manajemen Prehipertensi Pada Dewasa Muda Prehipertensi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85"/>
        <w:gridCol w:w="1402"/>
        <w:gridCol w:w="1505"/>
      </w:tblGrid>
      <w:tr w:rsidR="001A1E95" w:rsidRPr="00164A04" w:rsidTr="00E1716A">
        <w:tc>
          <w:tcPr>
            <w:tcW w:w="1515"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Pengetahuan</w:t>
            </w:r>
          </w:p>
        </w:tc>
        <w:tc>
          <w:tcPr>
            <w:tcW w:w="1499"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Frekuensi (n)</w:t>
            </w:r>
          </w:p>
        </w:tc>
        <w:tc>
          <w:tcPr>
            <w:tcW w:w="160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Persentase (%)</w:t>
            </w:r>
          </w:p>
        </w:tc>
      </w:tr>
      <w:tr w:rsidR="001A1E95" w:rsidRPr="00164A04" w:rsidTr="00E1716A">
        <w:tc>
          <w:tcPr>
            <w:tcW w:w="1515"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Baik</w:t>
            </w:r>
          </w:p>
        </w:tc>
        <w:tc>
          <w:tcPr>
            <w:tcW w:w="1499"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49</w:t>
            </w:r>
          </w:p>
        </w:tc>
        <w:tc>
          <w:tcPr>
            <w:tcW w:w="160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45,8</w:t>
            </w:r>
          </w:p>
        </w:tc>
      </w:tr>
      <w:tr w:rsidR="001A1E95" w:rsidRPr="00164A04" w:rsidTr="00E1716A">
        <w:tc>
          <w:tcPr>
            <w:tcW w:w="1515"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Cukup</w:t>
            </w:r>
          </w:p>
        </w:tc>
        <w:tc>
          <w:tcPr>
            <w:tcW w:w="1499"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46</w:t>
            </w:r>
          </w:p>
        </w:tc>
        <w:tc>
          <w:tcPr>
            <w:tcW w:w="160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43</w:t>
            </w:r>
          </w:p>
        </w:tc>
      </w:tr>
      <w:tr w:rsidR="001A1E95" w:rsidRPr="00164A04" w:rsidTr="00E1716A">
        <w:tc>
          <w:tcPr>
            <w:tcW w:w="1515"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Kurang</w:t>
            </w:r>
          </w:p>
        </w:tc>
        <w:tc>
          <w:tcPr>
            <w:tcW w:w="1499"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12</w:t>
            </w:r>
          </w:p>
        </w:tc>
        <w:tc>
          <w:tcPr>
            <w:tcW w:w="160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11,2</w:t>
            </w:r>
          </w:p>
        </w:tc>
      </w:tr>
      <w:tr w:rsidR="001A1E95" w:rsidRPr="00164A04" w:rsidTr="00E1716A">
        <w:tc>
          <w:tcPr>
            <w:tcW w:w="1515" w:type="dxa"/>
            <w:tcBorders>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Total</w:t>
            </w:r>
          </w:p>
        </w:tc>
        <w:tc>
          <w:tcPr>
            <w:tcW w:w="1499"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107</w:t>
            </w:r>
          </w:p>
        </w:tc>
        <w:tc>
          <w:tcPr>
            <w:tcW w:w="1600"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100</w:t>
            </w:r>
          </w:p>
        </w:tc>
      </w:tr>
    </w:tbl>
    <w:p w:rsidR="005F5384" w:rsidRPr="00164A04" w:rsidRDefault="001A1E95" w:rsidP="00164A04">
      <w:pPr>
        <w:pStyle w:val="ListParagraph"/>
        <w:spacing w:before="120" w:after="0" w:line="240" w:lineRule="auto"/>
        <w:ind w:left="0"/>
        <w:jc w:val="both"/>
        <w:rPr>
          <w:rFonts w:ascii="Segoe UI" w:hAnsi="Segoe UI" w:cs="Segoe UI"/>
          <w:sz w:val="20"/>
          <w:szCs w:val="20"/>
        </w:rPr>
        <w:sectPr w:rsidR="005F5384" w:rsidRPr="00164A04" w:rsidSect="005F5384">
          <w:type w:val="continuous"/>
          <w:pgSz w:w="11907" w:h="16839" w:code="9"/>
          <w:pgMar w:top="1134" w:right="1134" w:bottom="1134" w:left="1701" w:header="720" w:footer="720" w:gutter="0"/>
          <w:cols w:num="2" w:space="720"/>
          <w:docGrid w:linePitch="360"/>
        </w:sectPr>
      </w:pPr>
      <w:r w:rsidRPr="00164A04">
        <w:rPr>
          <w:rFonts w:ascii="Segoe UI" w:hAnsi="Segoe UI" w:cs="Segoe UI"/>
          <w:sz w:val="20"/>
          <w:szCs w:val="20"/>
        </w:rPr>
        <w:t>Tabel 5 menunjukan bahwa dari jumlah total 111 responden, hampir setengahnya memiliki pengetahuan baik sebanyak 53 responden (47,7%), sebanyak 46 responden (41,4%) memiliki pengetahuan cukup, sebanyak 12 responden (10,8%) memiliki pengetahuan kurang.</w:t>
      </w:r>
    </w:p>
    <w:p w:rsidR="001A1E95" w:rsidRPr="00164A04" w:rsidRDefault="001A1E95" w:rsidP="00164A04">
      <w:pPr>
        <w:pStyle w:val="ListParagraph"/>
        <w:spacing w:before="120" w:line="240" w:lineRule="auto"/>
        <w:ind w:left="0"/>
        <w:jc w:val="both"/>
        <w:rPr>
          <w:rFonts w:ascii="Segoe UI" w:hAnsi="Segoe UI" w:cs="Segoe UI"/>
          <w:b/>
          <w:sz w:val="20"/>
          <w:szCs w:val="20"/>
        </w:rPr>
      </w:pPr>
    </w:p>
    <w:p w:rsidR="001A1E95" w:rsidRPr="00164A04" w:rsidRDefault="001A1E95" w:rsidP="00164A04">
      <w:pPr>
        <w:pStyle w:val="ListParagraph"/>
        <w:spacing w:before="120" w:line="240" w:lineRule="auto"/>
        <w:ind w:left="0"/>
        <w:jc w:val="both"/>
        <w:rPr>
          <w:rFonts w:ascii="Segoe UI" w:hAnsi="Segoe UI" w:cs="Segoe UI"/>
          <w:b/>
          <w:sz w:val="20"/>
          <w:szCs w:val="20"/>
        </w:rPr>
      </w:pPr>
      <w:r w:rsidRPr="00164A04">
        <w:rPr>
          <w:rFonts w:ascii="Segoe UI" w:hAnsi="Segoe UI" w:cs="Segoe UI"/>
          <w:b/>
          <w:sz w:val="20"/>
          <w:szCs w:val="20"/>
        </w:rPr>
        <w:t xml:space="preserve">Tabel </w:t>
      </w:r>
      <w:proofErr w:type="gramStart"/>
      <w:r w:rsidRPr="00164A04">
        <w:rPr>
          <w:rFonts w:ascii="Segoe UI" w:hAnsi="Segoe UI" w:cs="Segoe UI"/>
          <w:b/>
          <w:sz w:val="20"/>
          <w:szCs w:val="20"/>
        </w:rPr>
        <w:t>6  Gambaran</w:t>
      </w:r>
      <w:proofErr w:type="gramEnd"/>
      <w:r w:rsidRPr="00164A04">
        <w:rPr>
          <w:rFonts w:ascii="Segoe UI" w:hAnsi="Segoe UI" w:cs="Segoe UI"/>
          <w:b/>
          <w:sz w:val="20"/>
          <w:szCs w:val="20"/>
        </w:rPr>
        <w:t xml:space="preserve"> Perilaku Manajemen Prehipertensi Pada Dewasa Muda Prehipertensi</w:t>
      </w:r>
    </w:p>
    <w:tbl>
      <w:tblPr>
        <w:tblStyle w:val="TableGrid"/>
        <w:tblW w:w="8616" w:type="dxa"/>
        <w:tblBorders>
          <w:left w:val="none" w:sz="0" w:space="0" w:color="auto"/>
          <w:right w:val="none" w:sz="0" w:space="0" w:color="auto"/>
        </w:tblBorders>
        <w:tblLook w:val="04A0" w:firstRow="1" w:lastRow="0" w:firstColumn="1" w:lastColumn="0" w:noHBand="0" w:noVBand="1"/>
      </w:tblPr>
      <w:tblGrid>
        <w:gridCol w:w="5357"/>
        <w:gridCol w:w="815"/>
        <w:gridCol w:w="803"/>
        <w:gridCol w:w="856"/>
        <w:gridCol w:w="785"/>
      </w:tblGrid>
      <w:tr w:rsidR="001A1E95" w:rsidRPr="00164A04" w:rsidTr="00E1716A">
        <w:trPr>
          <w:trHeight w:val="240"/>
        </w:trPr>
        <w:tc>
          <w:tcPr>
            <w:tcW w:w="5357" w:type="dxa"/>
            <w:tcBorders>
              <w:left w:val="nil"/>
              <w:bottom w:val="single" w:sz="4" w:space="0" w:color="auto"/>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Perilaku</w:t>
            </w:r>
          </w:p>
        </w:tc>
        <w:tc>
          <w:tcPr>
            <w:tcW w:w="1618" w:type="dxa"/>
            <w:gridSpan w:val="2"/>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Ya</w:t>
            </w:r>
          </w:p>
        </w:tc>
        <w:tc>
          <w:tcPr>
            <w:tcW w:w="1641" w:type="dxa"/>
            <w:gridSpan w:val="2"/>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Tidak</w:t>
            </w:r>
          </w:p>
        </w:tc>
      </w:tr>
      <w:tr w:rsidR="001A1E95" w:rsidRPr="00164A04" w:rsidTr="00E1716A">
        <w:trPr>
          <w:trHeight w:val="270"/>
        </w:trPr>
        <w:tc>
          <w:tcPr>
            <w:tcW w:w="5357" w:type="dxa"/>
            <w:tcBorders>
              <w:right w:val="nil"/>
            </w:tcBorders>
          </w:tcPr>
          <w:p w:rsidR="001A1E95" w:rsidRPr="00164A04" w:rsidRDefault="001A1E95" w:rsidP="00164A04">
            <w:pPr>
              <w:rPr>
                <w:rFonts w:ascii="Segoe UI" w:hAnsi="Segoe UI" w:cs="Segoe UI"/>
                <w:sz w:val="20"/>
                <w:szCs w:val="20"/>
              </w:rPr>
            </w:pPr>
            <w:r w:rsidRPr="00164A04">
              <w:rPr>
                <w:rFonts w:ascii="Segoe UI" w:hAnsi="Segoe UI" w:cs="Segoe UI"/>
                <w:sz w:val="20"/>
                <w:szCs w:val="20"/>
              </w:rPr>
              <w:t xml:space="preserve">Konsumsi buah 4-5 mangkuk per hari </w:t>
            </w:r>
          </w:p>
        </w:tc>
        <w:tc>
          <w:tcPr>
            <w:tcW w:w="815"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24</w:t>
            </w:r>
          </w:p>
        </w:tc>
        <w:tc>
          <w:tcPr>
            <w:tcW w:w="803"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22,4%</w:t>
            </w:r>
          </w:p>
        </w:tc>
        <w:tc>
          <w:tcPr>
            <w:tcW w:w="856"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83</w:t>
            </w:r>
          </w:p>
        </w:tc>
        <w:tc>
          <w:tcPr>
            <w:tcW w:w="785"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77,6%</w:t>
            </w:r>
          </w:p>
        </w:tc>
      </w:tr>
      <w:tr w:rsidR="001A1E95" w:rsidRPr="00164A04" w:rsidTr="00E1716A">
        <w:trPr>
          <w:trHeight w:val="270"/>
        </w:trPr>
        <w:tc>
          <w:tcPr>
            <w:tcW w:w="5357" w:type="dxa"/>
            <w:tcBorders>
              <w:right w:val="nil"/>
            </w:tcBorders>
          </w:tcPr>
          <w:p w:rsidR="001A1E95" w:rsidRPr="00164A04" w:rsidRDefault="001A1E95" w:rsidP="00164A04">
            <w:pPr>
              <w:rPr>
                <w:rFonts w:ascii="Segoe UI" w:hAnsi="Segoe UI" w:cs="Segoe UI"/>
                <w:sz w:val="20"/>
                <w:szCs w:val="20"/>
              </w:rPr>
            </w:pPr>
            <w:r w:rsidRPr="00164A04">
              <w:rPr>
                <w:rFonts w:ascii="Segoe UI" w:hAnsi="Segoe UI" w:cs="Segoe UI"/>
                <w:sz w:val="20"/>
                <w:szCs w:val="20"/>
              </w:rPr>
              <w:t>Mempertahankan IMT normal</w:t>
            </w:r>
          </w:p>
        </w:tc>
        <w:tc>
          <w:tcPr>
            <w:tcW w:w="815"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40</w:t>
            </w:r>
          </w:p>
        </w:tc>
        <w:tc>
          <w:tcPr>
            <w:tcW w:w="803"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37,4%</w:t>
            </w:r>
          </w:p>
        </w:tc>
        <w:tc>
          <w:tcPr>
            <w:tcW w:w="856"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67</w:t>
            </w:r>
          </w:p>
        </w:tc>
        <w:tc>
          <w:tcPr>
            <w:tcW w:w="785"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62,6%</w:t>
            </w:r>
          </w:p>
        </w:tc>
      </w:tr>
      <w:tr w:rsidR="001A1E95" w:rsidRPr="00164A04" w:rsidTr="00E1716A">
        <w:trPr>
          <w:trHeight w:val="270"/>
        </w:trPr>
        <w:tc>
          <w:tcPr>
            <w:tcW w:w="5357" w:type="dxa"/>
            <w:tcBorders>
              <w:right w:val="nil"/>
            </w:tcBorders>
          </w:tcPr>
          <w:p w:rsidR="001A1E95" w:rsidRPr="00164A04" w:rsidRDefault="001A1E95" w:rsidP="00164A04">
            <w:pPr>
              <w:rPr>
                <w:rFonts w:ascii="Segoe UI" w:hAnsi="Segoe UI" w:cs="Segoe UI"/>
                <w:sz w:val="20"/>
                <w:szCs w:val="20"/>
              </w:rPr>
            </w:pPr>
            <w:r w:rsidRPr="00164A04">
              <w:rPr>
                <w:rFonts w:ascii="Segoe UI" w:hAnsi="Segoe UI" w:cs="Segoe UI"/>
                <w:sz w:val="20"/>
                <w:szCs w:val="20"/>
              </w:rPr>
              <w:t>Konsumsi alcohol</w:t>
            </w:r>
          </w:p>
        </w:tc>
        <w:tc>
          <w:tcPr>
            <w:tcW w:w="815"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6</w:t>
            </w:r>
          </w:p>
        </w:tc>
        <w:tc>
          <w:tcPr>
            <w:tcW w:w="803"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5,6%</w:t>
            </w:r>
          </w:p>
        </w:tc>
        <w:tc>
          <w:tcPr>
            <w:tcW w:w="856"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101</w:t>
            </w:r>
          </w:p>
        </w:tc>
        <w:tc>
          <w:tcPr>
            <w:tcW w:w="785"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94,4%</w:t>
            </w:r>
          </w:p>
        </w:tc>
      </w:tr>
      <w:tr w:rsidR="001A1E95" w:rsidRPr="00164A04" w:rsidTr="00E1716A">
        <w:trPr>
          <w:trHeight w:val="255"/>
        </w:trPr>
        <w:tc>
          <w:tcPr>
            <w:tcW w:w="5357" w:type="dxa"/>
            <w:tcBorders>
              <w:right w:val="nil"/>
            </w:tcBorders>
          </w:tcPr>
          <w:p w:rsidR="001A1E95" w:rsidRPr="00164A04" w:rsidRDefault="001A1E95" w:rsidP="00164A04">
            <w:pPr>
              <w:rPr>
                <w:rFonts w:ascii="Segoe UI" w:hAnsi="Segoe UI" w:cs="Segoe UI"/>
                <w:sz w:val="20"/>
                <w:szCs w:val="20"/>
              </w:rPr>
            </w:pPr>
            <w:r w:rsidRPr="00164A04">
              <w:rPr>
                <w:rFonts w:ascii="Segoe UI" w:hAnsi="Segoe UI" w:cs="Segoe UI"/>
                <w:sz w:val="20"/>
                <w:szCs w:val="20"/>
              </w:rPr>
              <w:t xml:space="preserve">Merokok </w:t>
            </w:r>
          </w:p>
        </w:tc>
        <w:tc>
          <w:tcPr>
            <w:tcW w:w="815"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28</w:t>
            </w:r>
          </w:p>
        </w:tc>
        <w:tc>
          <w:tcPr>
            <w:tcW w:w="803"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26,2%</w:t>
            </w:r>
          </w:p>
        </w:tc>
        <w:tc>
          <w:tcPr>
            <w:tcW w:w="856"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79</w:t>
            </w:r>
          </w:p>
        </w:tc>
        <w:tc>
          <w:tcPr>
            <w:tcW w:w="785"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73,8%</w:t>
            </w:r>
          </w:p>
        </w:tc>
      </w:tr>
      <w:tr w:rsidR="001A1E95" w:rsidRPr="00164A04" w:rsidTr="00E1716A">
        <w:trPr>
          <w:trHeight w:val="270"/>
        </w:trPr>
        <w:tc>
          <w:tcPr>
            <w:tcW w:w="5357" w:type="dxa"/>
            <w:tcBorders>
              <w:right w:val="nil"/>
            </w:tcBorders>
          </w:tcPr>
          <w:p w:rsidR="001A1E95" w:rsidRPr="00164A04" w:rsidRDefault="001A1E95" w:rsidP="00164A04">
            <w:pPr>
              <w:rPr>
                <w:rFonts w:ascii="Segoe UI" w:hAnsi="Segoe UI" w:cs="Segoe UI"/>
                <w:sz w:val="20"/>
                <w:szCs w:val="20"/>
              </w:rPr>
            </w:pPr>
            <w:r w:rsidRPr="00164A04">
              <w:rPr>
                <w:rFonts w:ascii="Segoe UI" w:hAnsi="Segoe UI" w:cs="Segoe UI"/>
                <w:sz w:val="20"/>
                <w:szCs w:val="20"/>
              </w:rPr>
              <w:t>Konsumsi garam kurang dari 1 sdt per hari</w:t>
            </w:r>
          </w:p>
        </w:tc>
        <w:tc>
          <w:tcPr>
            <w:tcW w:w="815"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48</w:t>
            </w:r>
          </w:p>
        </w:tc>
        <w:tc>
          <w:tcPr>
            <w:tcW w:w="803"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44,9%</w:t>
            </w:r>
          </w:p>
        </w:tc>
        <w:tc>
          <w:tcPr>
            <w:tcW w:w="856"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59</w:t>
            </w:r>
          </w:p>
        </w:tc>
        <w:tc>
          <w:tcPr>
            <w:tcW w:w="785"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55,1%</w:t>
            </w:r>
          </w:p>
        </w:tc>
      </w:tr>
      <w:tr w:rsidR="001A1E95" w:rsidRPr="00164A04" w:rsidTr="00E1716A">
        <w:trPr>
          <w:trHeight w:val="270"/>
        </w:trPr>
        <w:tc>
          <w:tcPr>
            <w:tcW w:w="5357" w:type="dxa"/>
            <w:tcBorders>
              <w:right w:val="nil"/>
            </w:tcBorders>
          </w:tcPr>
          <w:p w:rsidR="001A1E95" w:rsidRPr="00164A04" w:rsidRDefault="001A1E95" w:rsidP="00164A04">
            <w:pPr>
              <w:rPr>
                <w:rFonts w:ascii="Segoe UI" w:hAnsi="Segoe UI" w:cs="Segoe UI"/>
                <w:sz w:val="20"/>
                <w:szCs w:val="20"/>
              </w:rPr>
            </w:pPr>
            <w:r w:rsidRPr="00164A04">
              <w:rPr>
                <w:rFonts w:ascii="Segoe UI" w:hAnsi="Segoe UI" w:cs="Segoe UI"/>
                <w:sz w:val="20"/>
                <w:szCs w:val="20"/>
              </w:rPr>
              <w:t>Konsumsi sayur 4-5 mangkuk per hari</w:t>
            </w:r>
          </w:p>
        </w:tc>
        <w:tc>
          <w:tcPr>
            <w:tcW w:w="815"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35</w:t>
            </w:r>
          </w:p>
        </w:tc>
        <w:tc>
          <w:tcPr>
            <w:tcW w:w="803"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32,7%</w:t>
            </w:r>
          </w:p>
        </w:tc>
        <w:tc>
          <w:tcPr>
            <w:tcW w:w="856"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72</w:t>
            </w:r>
          </w:p>
        </w:tc>
        <w:tc>
          <w:tcPr>
            <w:tcW w:w="785"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67,3%</w:t>
            </w:r>
          </w:p>
        </w:tc>
      </w:tr>
      <w:tr w:rsidR="001A1E95" w:rsidRPr="00164A04" w:rsidTr="00E1716A">
        <w:trPr>
          <w:trHeight w:val="253"/>
        </w:trPr>
        <w:tc>
          <w:tcPr>
            <w:tcW w:w="5357" w:type="dxa"/>
            <w:tcBorders>
              <w:right w:val="nil"/>
            </w:tcBorders>
          </w:tcPr>
          <w:p w:rsidR="001A1E95" w:rsidRPr="00164A04" w:rsidRDefault="001A1E95" w:rsidP="00164A04">
            <w:pPr>
              <w:rPr>
                <w:rFonts w:ascii="Segoe UI" w:hAnsi="Segoe UI" w:cs="Segoe UI"/>
                <w:sz w:val="20"/>
                <w:szCs w:val="20"/>
              </w:rPr>
            </w:pPr>
            <w:r w:rsidRPr="00164A04">
              <w:rPr>
                <w:rFonts w:ascii="Segoe UI" w:hAnsi="Segoe UI" w:cs="Segoe UI"/>
                <w:sz w:val="20"/>
                <w:szCs w:val="20"/>
              </w:rPr>
              <w:t>Melakukan aktivitas fisik sedang ≥30 menit per hari</w:t>
            </w:r>
          </w:p>
        </w:tc>
        <w:tc>
          <w:tcPr>
            <w:tcW w:w="815"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72</w:t>
            </w:r>
          </w:p>
        </w:tc>
        <w:tc>
          <w:tcPr>
            <w:tcW w:w="803"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67,3%</w:t>
            </w:r>
          </w:p>
        </w:tc>
        <w:tc>
          <w:tcPr>
            <w:tcW w:w="856" w:type="dxa"/>
            <w:tcBorders>
              <w:left w:val="nil"/>
              <w:righ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35</w:t>
            </w:r>
          </w:p>
        </w:tc>
        <w:tc>
          <w:tcPr>
            <w:tcW w:w="785" w:type="dxa"/>
            <w:tcBorders>
              <w:left w:val="nil"/>
            </w:tcBorders>
          </w:tcPr>
          <w:p w:rsidR="001A1E95" w:rsidRPr="00164A04" w:rsidRDefault="001A1E95" w:rsidP="00164A04">
            <w:pPr>
              <w:jc w:val="center"/>
              <w:rPr>
                <w:rFonts w:ascii="Segoe UI" w:hAnsi="Segoe UI" w:cs="Segoe UI"/>
                <w:sz w:val="20"/>
                <w:szCs w:val="20"/>
              </w:rPr>
            </w:pPr>
            <w:r w:rsidRPr="00164A04">
              <w:rPr>
                <w:rFonts w:ascii="Segoe UI" w:hAnsi="Segoe UI" w:cs="Segoe UI"/>
                <w:sz w:val="20"/>
                <w:szCs w:val="20"/>
              </w:rPr>
              <w:t>32,7%</w:t>
            </w:r>
          </w:p>
        </w:tc>
      </w:tr>
    </w:tbl>
    <w:p w:rsidR="005F5384" w:rsidRPr="00164A04" w:rsidRDefault="005F5384" w:rsidP="00164A04">
      <w:pPr>
        <w:spacing w:before="120" w:after="0" w:line="240" w:lineRule="auto"/>
        <w:ind w:firstLine="360"/>
        <w:jc w:val="both"/>
        <w:rPr>
          <w:rFonts w:ascii="Segoe UI" w:hAnsi="Segoe UI" w:cs="Segoe UI"/>
          <w:sz w:val="20"/>
          <w:szCs w:val="20"/>
        </w:rPr>
        <w:sectPr w:rsidR="005F5384" w:rsidRPr="00164A04" w:rsidSect="005F5384">
          <w:type w:val="continuous"/>
          <w:pgSz w:w="11907" w:h="16839" w:code="9"/>
          <w:pgMar w:top="1134" w:right="1134" w:bottom="1134" w:left="1701" w:header="720" w:footer="720" w:gutter="0"/>
          <w:cols w:space="720"/>
          <w:docGrid w:linePitch="360"/>
        </w:sectPr>
      </w:pPr>
    </w:p>
    <w:p w:rsidR="005F5384" w:rsidRPr="00164A04" w:rsidRDefault="001A1E95" w:rsidP="00164A04">
      <w:pPr>
        <w:spacing w:before="120" w:after="0" w:line="240" w:lineRule="auto"/>
        <w:ind w:firstLine="360"/>
        <w:jc w:val="both"/>
        <w:rPr>
          <w:rFonts w:ascii="Segoe UI" w:hAnsi="Segoe UI" w:cs="Segoe UI"/>
          <w:sz w:val="20"/>
          <w:szCs w:val="20"/>
        </w:rPr>
        <w:sectPr w:rsidR="005F5384" w:rsidRPr="00164A04" w:rsidSect="005F5384">
          <w:type w:val="continuous"/>
          <w:pgSz w:w="11907" w:h="16839" w:code="9"/>
          <w:pgMar w:top="1134" w:right="1134" w:bottom="1134" w:left="1701" w:header="720" w:footer="720" w:gutter="0"/>
          <w:cols w:num="2" w:space="720"/>
          <w:docGrid w:linePitch="360"/>
        </w:sectPr>
      </w:pPr>
      <w:r w:rsidRPr="00164A04">
        <w:rPr>
          <w:rFonts w:ascii="Segoe UI" w:hAnsi="Segoe UI" w:cs="Segoe UI"/>
          <w:sz w:val="20"/>
          <w:szCs w:val="20"/>
        </w:rPr>
        <w:lastRenderedPageBreak/>
        <w:t xml:space="preserve">Tabel 6 diketahui bahwa perilaku manajemen prehipertensi pada dewasa muda di wilayah kerja puskesmas Babelan 1 yaitu dengan konsumsi buah 4-5 mangkuk per hari sebanyak 26 responden (23,4%), mempertahankan IMT normal sebanyak 43 responden (38,7%), tidak mengonsumsi alkohol sebanyak 105 responden (94,6%), tidak </w:t>
      </w:r>
      <w:r w:rsidRPr="00164A04">
        <w:rPr>
          <w:rFonts w:ascii="Segoe UI" w:hAnsi="Segoe UI" w:cs="Segoe UI"/>
          <w:sz w:val="20"/>
          <w:szCs w:val="20"/>
        </w:rPr>
        <w:lastRenderedPageBreak/>
        <w:t>merokok sebanyak 83 responden (74,8%), mengonsumsi garam rata rata &lt;2500 ml gram sebanyak 49 responden (44,1%), konsumsi sayur 4-5 mangkuk perhari sebanyak 37 responden (33,3%), melakukan aktivitas fisik sedang ≥30 menit per hari sebanyak 76 responden(68,5%).</w:t>
      </w:r>
    </w:p>
    <w:p w:rsidR="001A1E95" w:rsidRPr="00164A04" w:rsidRDefault="001A1E95" w:rsidP="00164A04">
      <w:pPr>
        <w:pStyle w:val="ListParagraph"/>
        <w:spacing w:line="240" w:lineRule="auto"/>
        <w:ind w:left="0"/>
        <w:jc w:val="both"/>
        <w:rPr>
          <w:rFonts w:ascii="Segoe UI" w:hAnsi="Segoe UI" w:cs="Segoe UI"/>
          <w:b/>
          <w:sz w:val="20"/>
          <w:szCs w:val="20"/>
        </w:rPr>
      </w:pPr>
    </w:p>
    <w:p w:rsidR="005F5384" w:rsidRPr="00164A04" w:rsidRDefault="005F5384" w:rsidP="00164A04">
      <w:pPr>
        <w:pStyle w:val="ListParagraph"/>
        <w:spacing w:line="240" w:lineRule="auto"/>
        <w:ind w:left="0"/>
        <w:jc w:val="both"/>
        <w:rPr>
          <w:rFonts w:ascii="Segoe UI" w:hAnsi="Segoe UI" w:cs="Segoe UI"/>
          <w:b/>
          <w:sz w:val="20"/>
          <w:szCs w:val="20"/>
        </w:rPr>
        <w:sectPr w:rsidR="005F5384" w:rsidRPr="00164A04" w:rsidSect="005F5384">
          <w:type w:val="continuous"/>
          <w:pgSz w:w="11907" w:h="16839" w:code="9"/>
          <w:pgMar w:top="1134" w:right="1134" w:bottom="1134" w:left="1701" w:header="720" w:footer="720" w:gutter="0"/>
          <w:cols w:space="720"/>
          <w:docGrid w:linePitch="360"/>
        </w:sectPr>
      </w:pPr>
    </w:p>
    <w:p w:rsidR="001A1E95" w:rsidRPr="00164A04" w:rsidRDefault="001A1E95" w:rsidP="00164A04">
      <w:pPr>
        <w:pStyle w:val="ListParagraph"/>
        <w:spacing w:line="240" w:lineRule="auto"/>
        <w:ind w:left="0"/>
        <w:jc w:val="both"/>
        <w:rPr>
          <w:rFonts w:ascii="Segoe UI" w:hAnsi="Segoe UI" w:cs="Segoe UI"/>
          <w:b/>
          <w:sz w:val="20"/>
          <w:szCs w:val="20"/>
        </w:rPr>
      </w:pPr>
      <w:r w:rsidRPr="00164A04">
        <w:rPr>
          <w:rFonts w:ascii="Segoe UI" w:hAnsi="Segoe UI" w:cs="Segoe UI"/>
          <w:b/>
          <w:sz w:val="20"/>
          <w:szCs w:val="20"/>
        </w:rPr>
        <w:lastRenderedPageBreak/>
        <w:t>PEMBAHASAN</w:t>
      </w:r>
    </w:p>
    <w:p w:rsidR="001A1E95" w:rsidRPr="00164A04" w:rsidRDefault="001A1E95" w:rsidP="00164A04">
      <w:pPr>
        <w:pStyle w:val="ListParagraph"/>
        <w:spacing w:line="240" w:lineRule="auto"/>
        <w:ind w:left="0"/>
        <w:jc w:val="both"/>
        <w:rPr>
          <w:rFonts w:ascii="Segoe UI" w:hAnsi="Segoe UI" w:cs="Segoe UI"/>
          <w:b/>
          <w:sz w:val="20"/>
          <w:szCs w:val="20"/>
        </w:rPr>
      </w:pPr>
      <w:r w:rsidRPr="00164A04">
        <w:rPr>
          <w:rFonts w:ascii="Segoe UI" w:hAnsi="Segoe UI" w:cs="Segoe UI"/>
          <w:b/>
          <w:sz w:val="20"/>
          <w:szCs w:val="20"/>
        </w:rPr>
        <w:t xml:space="preserve">Karakteristik responden </w:t>
      </w:r>
    </w:p>
    <w:p w:rsidR="001A1E95" w:rsidRPr="00164A04" w:rsidRDefault="001A1E95" w:rsidP="00164A04">
      <w:pPr>
        <w:pStyle w:val="ListParagraph"/>
        <w:numPr>
          <w:ilvl w:val="0"/>
          <w:numId w:val="1"/>
        </w:numPr>
        <w:spacing w:line="240" w:lineRule="auto"/>
        <w:ind w:left="360"/>
        <w:jc w:val="both"/>
        <w:rPr>
          <w:rFonts w:ascii="Segoe UI" w:hAnsi="Segoe UI" w:cs="Segoe UI"/>
          <w:b/>
          <w:sz w:val="20"/>
          <w:szCs w:val="20"/>
        </w:rPr>
      </w:pPr>
      <w:r w:rsidRPr="00164A04">
        <w:rPr>
          <w:rFonts w:ascii="Segoe UI" w:hAnsi="Segoe UI" w:cs="Segoe UI"/>
          <w:b/>
          <w:sz w:val="20"/>
          <w:szCs w:val="20"/>
        </w:rPr>
        <w:t xml:space="preserve">Usia </w:t>
      </w:r>
    </w:p>
    <w:p w:rsidR="001A1E95" w:rsidRPr="00164A04" w:rsidRDefault="00424BAB" w:rsidP="00164A04">
      <w:pPr>
        <w:pStyle w:val="ListParagraph"/>
        <w:spacing w:line="240" w:lineRule="auto"/>
        <w:ind w:left="360"/>
        <w:jc w:val="both"/>
        <w:rPr>
          <w:rFonts w:ascii="Segoe UI" w:hAnsi="Segoe UI" w:cs="Segoe UI"/>
          <w:sz w:val="20"/>
          <w:szCs w:val="20"/>
        </w:rPr>
      </w:pPr>
      <w:r w:rsidRPr="00164A04">
        <w:rPr>
          <w:rFonts w:ascii="Segoe UI" w:hAnsi="Segoe UI" w:cs="Segoe UI"/>
          <w:sz w:val="20"/>
          <w:szCs w:val="20"/>
        </w:rPr>
        <w:tab/>
      </w:r>
      <w:r w:rsidR="001A1E95" w:rsidRPr="00164A04">
        <w:rPr>
          <w:rFonts w:ascii="Segoe UI" w:hAnsi="Segoe UI" w:cs="Segoe UI"/>
          <w:sz w:val="20"/>
          <w:szCs w:val="20"/>
        </w:rPr>
        <w:t xml:space="preserve">Berdasarkan hasil penelitian terkait usia responden, diketahui bahwa sebagian </w:t>
      </w:r>
      <w:r w:rsidR="001A1E95" w:rsidRPr="00164A04">
        <w:rPr>
          <w:rFonts w:ascii="Segoe UI" w:hAnsi="Segoe UI" w:cs="Segoe UI"/>
          <w:sz w:val="20"/>
          <w:szCs w:val="20"/>
        </w:rPr>
        <w:lastRenderedPageBreak/>
        <w:t xml:space="preserve">besar responden adalah usia dewasa muda pada masa pembentukan yaitu 18-29 tahun sebanyak 76 orang (71%) dengan rata rata usia sekitar 25-26 tahun. Hal ini sejalan jika dilihat jumlah penduduk dari </w:t>
      </w:r>
      <w:r w:rsidR="001A1E95" w:rsidRPr="00164A04">
        <w:rPr>
          <w:rFonts w:ascii="Segoe UI" w:hAnsi="Segoe UI" w:cs="Segoe UI"/>
          <w:sz w:val="20"/>
          <w:szCs w:val="20"/>
        </w:rPr>
        <w:lastRenderedPageBreak/>
        <w:t xml:space="preserve">data puskesmas Babelan 1, sebagian besar </w:t>
      </w:r>
      <w:proofErr w:type="gramStart"/>
      <w:r w:rsidR="001A1E95" w:rsidRPr="00164A04">
        <w:rPr>
          <w:rFonts w:ascii="Segoe UI" w:hAnsi="Segoe UI" w:cs="Segoe UI"/>
          <w:sz w:val="20"/>
          <w:szCs w:val="20"/>
        </w:rPr>
        <w:t>usia</w:t>
      </w:r>
      <w:proofErr w:type="gramEnd"/>
      <w:r w:rsidR="001A1E95" w:rsidRPr="00164A04">
        <w:rPr>
          <w:rFonts w:ascii="Segoe UI" w:hAnsi="Segoe UI" w:cs="Segoe UI"/>
          <w:sz w:val="20"/>
          <w:szCs w:val="20"/>
        </w:rPr>
        <w:t xml:space="preserve"> yaitu sekitar 25-29 tahun dengan jumlah 12.588 orang. Menurut penelitian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author":[{"dropping-particle":"","family":"Rahman","given":"Ashfikur","non-dropping-particle":"","parse-names":false,"suffix":""},{"dropping-particle":"","family":"Parvez","given":"Mahmood","non-dropping-particle":"","parse-names":false,"suffix":""},{"dropping-particle":"","family":"Ratul","given":"Henry","non-dropping-particle":"","parse-names":false,"suffix":""},{"dropping-particle":"","family":"Narayan","given":"Uday","non-dropping-particle":"","parse-names":false,"suffix":""},{"dropping-particle":"","family":"Kanti","given":"Sabuj","non-dropping-particle":"","parse-names":false,"suffix":""}],"id":"ITEM-1","issue":"July","issued":{"date-parts":[["2021"]]},"title":"Prevalence of and factors associated with prehypertension and hypertension among Bangladeshi young adults : An analysis of the Bangladesh Demographic and Health Survey 2017 – 18","type":"article-journal","volume":"12"},"uris":["http://www.mendeley.com/documents/?uuid=a95b5aac-5484-4494-a2c7-af83df9efadc"]}],"mendeley":{"formattedCitation":"(Rahman et al., 2021)","manualFormatting":"Rahman et al (2021)","plainTextFormattedCitation":"(Rahman et al., 2021)","previouslyFormattedCitation":"(Rahman et al., 2021)"},"properties":{"noteIndex":0},"schema":"https://github.com/citation-style-language/schema/raw/master/csl-citation.json"}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Rahman et al (2021)</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menyatakan bahwa hasil dari penelitiannya sebagian besar berusia 25-30 tahun dengan prehipertensi yaitu sebanyak 39,7%. Hal ini sejalan dengan penelitian yang dilakukan oleh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{"citationItems":[{"id":"ITEM-1","itemData":{"author":[{"dropping-particle":"","family":"Alatas","given":"Haidar","non-dropping-particle":"","parse-names":false,"suffix":""}],"container-title":"Herb-Medicine Journal","id":"ITEM-1","issued":{"date-parts":[["2020"]]},"page":"1-6","title":"Studi Epidemiologi Perkembangan Prehipertensi Menjadi Normotensi , Tetap Prehipertensi , prehipertensi setelah 10 tahun pada populasi daerah ( normotensi ), tetap prehipertensi , menjadi","type":"article-journal","volume":"3"},"uris":["http://www.mendeley.com/documents/?uuid=85686f39-ac8e-431b-b669-50d5d02ad7ac"]}],"mendeley":{"formattedCitation":"(Alatas, 2020)","manualFormatting":"Alatas (2020)","plainTextFormattedCitation":"(Alatas, 2020)","previouslyFormattedCitation":"(Alatas, 2020)"},"properties":{"noteIndex":0},"schema":"https://github.com/citation-style-language/schema/raw/master/csl-citation.json"}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Alatas (2020)</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bahwa prehipertensi dapat berkembang menjadi hipertensi pada usia yang lebih tua.</w:t>
      </w:r>
    </w:p>
    <w:p w:rsidR="001A1E95" w:rsidRPr="00164A04" w:rsidRDefault="001A1E95" w:rsidP="00164A04">
      <w:pPr>
        <w:pStyle w:val="ListParagraph"/>
        <w:numPr>
          <w:ilvl w:val="0"/>
          <w:numId w:val="1"/>
        </w:numPr>
        <w:spacing w:line="240" w:lineRule="auto"/>
        <w:ind w:left="360"/>
        <w:jc w:val="both"/>
        <w:rPr>
          <w:rFonts w:ascii="Segoe UI" w:hAnsi="Segoe UI" w:cs="Segoe UI"/>
          <w:b/>
          <w:sz w:val="20"/>
          <w:szCs w:val="20"/>
        </w:rPr>
      </w:pPr>
      <w:r w:rsidRPr="00164A04">
        <w:rPr>
          <w:rFonts w:ascii="Segoe UI" w:hAnsi="Segoe UI" w:cs="Segoe UI"/>
          <w:b/>
          <w:sz w:val="20"/>
          <w:szCs w:val="20"/>
        </w:rPr>
        <w:t>Pendidikan</w:t>
      </w:r>
    </w:p>
    <w:p w:rsidR="001A1E95" w:rsidRPr="00164A04" w:rsidRDefault="00424BAB" w:rsidP="00164A04">
      <w:pPr>
        <w:pStyle w:val="ListParagraph"/>
        <w:spacing w:line="240" w:lineRule="auto"/>
        <w:ind w:left="360"/>
        <w:jc w:val="both"/>
        <w:rPr>
          <w:rFonts w:ascii="Segoe UI" w:hAnsi="Segoe UI" w:cs="Segoe UI"/>
          <w:sz w:val="20"/>
          <w:szCs w:val="20"/>
        </w:rPr>
      </w:pPr>
      <w:r w:rsidRPr="00164A04">
        <w:rPr>
          <w:rFonts w:ascii="Segoe UI" w:hAnsi="Segoe UI" w:cs="Segoe UI"/>
          <w:sz w:val="20"/>
          <w:szCs w:val="20"/>
        </w:rPr>
        <w:tab/>
      </w:r>
      <w:r w:rsidR="001A1E95" w:rsidRPr="00164A04">
        <w:rPr>
          <w:rFonts w:ascii="Segoe UI" w:hAnsi="Segoe UI" w:cs="Segoe UI"/>
          <w:sz w:val="20"/>
          <w:szCs w:val="20"/>
        </w:rPr>
        <w:t xml:space="preserve">Berdasarkan hasil </w:t>
      </w:r>
      <w:r w:rsidRPr="00164A04">
        <w:rPr>
          <w:rFonts w:ascii="Segoe UI" w:hAnsi="Segoe UI" w:cs="Segoe UI"/>
          <w:sz w:val="20"/>
          <w:szCs w:val="20"/>
        </w:rPr>
        <w:t xml:space="preserve">penelitian </w:t>
      </w:r>
      <w:r w:rsidR="001A1E95" w:rsidRPr="00164A04">
        <w:rPr>
          <w:rFonts w:ascii="Segoe UI" w:hAnsi="Segoe UI" w:cs="Segoe UI"/>
          <w:sz w:val="20"/>
          <w:szCs w:val="20"/>
        </w:rPr>
        <w:t>diatas terkait pendidikan responden, diketahui bahwa sebagian besar responden yaitu dengan pendidikan terakhir SMA sebanyak 71 orang (66</w:t>
      </w:r>
      <w:proofErr w:type="gramStart"/>
      <w:r w:rsidR="001A1E95" w:rsidRPr="00164A04">
        <w:rPr>
          <w:rFonts w:ascii="Segoe UI" w:hAnsi="Segoe UI" w:cs="Segoe UI"/>
          <w:sz w:val="20"/>
          <w:szCs w:val="20"/>
        </w:rPr>
        <w:t>,4</w:t>
      </w:r>
      <w:proofErr w:type="gramEnd"/>
      <w:r w:rsidR="001A1E95" w:rsidRPr="00164A04">
        <w:rPr>
          <w:rFonts w:ascii="Segoe UI" w:hAnsi="Segoe UI" w:cs="Segoe UI"/>
          <w:sz w:val="20"/>
          <w:szCs w:val="20"/>
        </w:rPr>
        <w:t xml:space="preserve">%). </w:t>
      </w:r>
      <w:proofErr w:type="gramStart"/>
      <w:r w:rsidR="001A1E95" w:rsidRPr="00164A04">
        <w:rPr>
          <w:rFonts w:ascii="Segoe UI" w:hAnsi="Segoe UI" w:cs="Segoe UI"/>
          <w:sz w:val="20"/>
          <w:szCs w:val="20"/>
        </w:rPr>
        <w:t>Jika dilihat dari kemdikbud terdapat 17 Sekolah Menengah Atas baik negeri maupun swasta yang berada di wilayah kecamatan Babelan.</w:t>
      </w:r>
      <w:proofErr w:type="gramEnd"/>
      <w:r w:rsidR="001A1E95" w:rsidRPr="00164A04">
        <w:rPr>
          <w:rFonts w:ascii="Segoe UI" w:hAnsi="Segoe UI" w:cs="Segoe UI"/>
          <w:sz w:val="20"/>
          <w:szCs w:val="20"/>
        </w:rPr>
        <w:t xml:space="preserve"> Dari tabel distribusi frekuensi diketahui bahwa dari 107 responden sebagian besar dengan pendidikan terakhir Sekolah Menengah Atas sebanyak 71 orang, selanjutnya pendidikan terakhir perguruan tinggi sebanyak 14 orang, pendidikan terakhir Sekolah Menengah Pertama sebanyak 11 orang, Sekolah Dasar 8 orang dan tidak sekolah sebanyak 3 orang. Hasil dari penelitian ini sejalan dengan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DOI":"https://doi.org/10.31539/jks.v5i2.3560","author":[{"dropping-particle":"","family":"Nursiam","given":"Yusi","non-dropping-particle":"","parse-names":false,"suffix":""},{"dropping-particle":"","family":"Mayetti","given":"","non-dropping-particle":"","parse-names":false,"suffix":""},{"dropping-particle":"","family":"Deswita","given":"","non-dropping-particle":"","parse-names":false,"suffix":""}],"id":"ITEM-1","issued":{"date-parts":[["2022"]]},"page":"887-892","title":"Karakteristik Responden Selama Pengambilan Darah Vena Terhadap Tekanan Darah Pada Anak","type":"article-journal","volume":"5"},"uris":["http://www.mendeley.com/documents/?uuid=f1cfabac-7230-40d5-a8c0-7fb0f4c73953"]}],"mendeley":{"formattedCitation":"(Nursiam et al., 2022)","manualFormatting":"Nursiam et al (2022)","plainTextFormattedCitation":"(Nursiam et al., 2022)","previouslyFormattedCitation":"(Nursiam et al., 2022)"},"properties":{"noteIndex":0},"schema":"https://github.com/citation-style-language/schema/raw/master/csl-citation.json"}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Nursiam et al (2022)</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bahwa didapatkan 14,6% tingkat pendidikan anak yang mengalami prehiperensi yaitu Sekolah Menengah Atas (SMA). </w:t>
      </w:r>
    </w:p>
    <w:p w:rsidR="001A1E95" w:rsidRPr="00164A04" w:rsidRDefault="001A1E95" w:rsidP="00164A04">
      <w:pPr>
        <w:pStyle w:val="ListParagraph"/>
        <w:numPr>
          <w:ilvl w:val="0"/>
          <w:numId w:val="1"/>
        </w:numPr>
        <w:spacing w:line="240" w:lineRule="auto"/>
        <w:ind w:left="360"/>
        <w:jc w:val="both"/>
        <w:rPr>
          <w:rFonts w:ascii="Segoe UI" w:hAnsi="Segoe UI" w:cs="Segoe UI"/>
          <w:b/>
          <w:sz w:val="20"/>
          <w:szCs w:val="20"/>
        </w:rPr>
      </w:pPr>
      <w:r w:rsidRPr="00164A04">
        <w:rPr>
          <w:rFonts w:ascii="Segoe UI" w:hAnsi="Segoe UI" w:cs="Segoe UI"/>
          <w:b/>
          <w:sz w:val="20"/>
          <w:szCs w:val="20"/>
        </w:rPr>
        <w:t>Pekerjaan</w:t>
      </w:r>
    </w:p>
    <w:p w:rsidR="001A1E95" w:rsidRPr="00164A04" w:rsidRDefault="00424BAB" w:rsidP="00164A04">
      <w:pPr>
        <w:pStyle w:val="ListParagraph"/>
        <w:spacing w:line="240" w:lineRule="auto"/>
        <w:ind w:left="360"/>
        <w:jc w:val="both"/>
        <w:rPr>
          <w:rFonts w:ascii="Segoe UI" w:hAnsi="Segoe UI" w:cs="Segoe UI"/>
          <w:sz w:val="20"/>
          <w:szCs w:val="20"/>
        </w:rPr>
      </w:pPr>
      <w:r w:rsidRPr="00164A04">
        <w:rPr>
          <w:rFonts w:ascii="Segoe UI" w:hAnsi="Segoe UI" w:cs="Segoe UI"/>
          <w:sz w:val="20"/>
          <w:szCs w:val="20"/>
        </w:rPr>
        <w:tab/>
      </w:r>
      <w:r w:rsidR="001A1E95" w:rsidRPr="00164A04">
        <w:rPr>
          <w:rFonts w:ascii="Segoe UI" w:hAnsi="Segoe UI" w:cs="Segoe UI"/>
          <w:sz w:val="20"/>
          <w:szCs w:val="20"/>
        </w:rPr>
        <w:t>Berdasarkan hasil penelitian terkait pekerjaan responden, diketahui bahwa sebagian besar responden yaitu tidak bekerja atau sebagai ibu rumah tangga sebanyak 39 orang (36</w:t>
      </w:r>
      <w:proofErr w:type="gramStart"/>
      <w:r w:rsidR="001A1E95" w:rsidRPr="00164A04">
        <w:rPr>
          <w:rFonts w:ascii="Segoe UI" w:hAnsi="Segoe UI" w:cs="Segoe UI"/>
          <w:sz w:val="20"/>
          <w:szCs w:val="20"/>
        </w:rPr>
        <w:t>,4</w:t>
      </w:r>
      <w:proofErr w:type="gramEnd"/>
      <w:r w:rsidR="001A1E95" w:rsidRPr="00164A04">
        <w:rPr>
          <w:rFonts w:ascii="Segoe UI" w:hAnsi="Segoe UI" w:cs="Segoe UI"/>
          <w:sz w:val="20"/>
          <w:szCs w:val="20"/>
        </w:rPr>
        <w:t xml:space="preserve">%). Hal ini sejalan dengan penelitian sebelumnya oleh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{"citationItems":[{"id":"ITEM-1","itemData":{"author":[{"dropping-particle":"","family":"Al-zahrani","given":"Jamaan","non-dropping-particle":"","parse-names":false,"suffix":""},{"dropping-particle":"","family":"Shubair","given":"Mamdouh M","non-dropping-particle":"","parse-names":false,"suffix":""},{"dropping-particle":"","family":"Aldossari","given":"Khaled K","non-dropping-particle":"","parse-names":false,"suffix":""},{"dropping-particle":"","family":"Al-ghamdi","given":"Sameer","non-dropping-particle":"","parse-names":false,"suffix":""},{"dropping-particle":"","family":"Alroba","given":"Raseel","non-dropping-particle":"","parse-names":false,"suffix":""},{"dropping-particle":"","family":"Khaled","given":"Anas","non-dropping-particle":"","parse-names":false,"suffix":""},{"dropping-particle":"","family":"Angawi","given":"Khadijah","non-dropping-particle":"","parse-names":false,"suffix":""},{"dropping-particle":"","family":"El-metwally","given":"Ashraf","non-dropping-particle":"","parse-names":false,"suffix":""}],"id":"ITEM-1","issued":{"date-parts":[["2021"]]},"page":"5657-5661","title":"Saudi Journal of Biological Sciences Association between prehypertension and psychological distress among adults in Saudi Arabia : A population-based survey","type":"article-journal","volume":"28"},"uris":["http://www.mendeley.com/documents/?uuid=f7c1bfdb-4cfb-46d9-81a5-0574a0a1ecba"]}],"mendeley":{"formattedCitation":"(Al-zahrani et al., 2021)","manualFormatting":"Al-zahrani et al (2021)","plainTextFormattedCitation":"(Al-zahrani et al., 2021)","previouslyFormattedCitation":"(Al-zahrani et al., 2021)"},"properties":{"noteIndex":0},"schema":"https://github.com/citation-style-language/schema/raw/master/csl-citation.json"}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Al-zahrani et al (2021)</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menunjukan bahwa penderita prehipertensi yang tidak memiliki pekerjaan atau menganggur lebih tertekan juga secara psikologis dibandingkan dengan orang yang sudah bekerja (p=0,041). Adanya tekanan secara psikologis akan mengakibatkan pelepasan hormone adrenalin sehingga memicu denyut jantng lebih cepat dan tekann darah meningkat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RI","given":"","non-dropping-particle":"","parse-names":false,"suffix":""}],"id":"ITEM-1","issued":{"date-parts":[["2013"]]},"title":"Pedoman Teknis Penemuan dan Tatalaksana Hipertensi","type":"article"},"uris":["http://www.mendeley.com/documents/?uuid=1d8d6eb3-e244-4c76-bc3c-9d51c702f56e"]}],"mendeley":{"formattedCitation":"(Kemenkes RI, 2013)","plainTextFormattedCitation":"(Kemenkes RI, 2013)","previouslyFormattedCitation":"(Kemenkes RI, 2013)"},"properties":{"noteIndex":0},"schema":"https://github.com/citation-style-language/schema/raw/master/csl-citation.json"}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(Kemenkes RI, 2013)</w:t>
      </w:r>
      <w:r w:rsidR="001A1E95" w:rsidRPr="00164A04">
        <w:rPr>
          <w:rFonts w:ascii="Segoe UI" w:hAnsi="Segoe UI" w:cs="Segoe UI"/>
          <w:sz w:val="20"/>
          <w:szCs w:val="20"/>
        </w:rPr>
        <w:fldChar w:fldCharType="end"/>
      </w:r>
      <w:r w:rsidR="001A1E95" w:rsidRPr="00164A04">
        <w:rPr>
          <w:rFonts w:ascii="Segoe UI" w:hAnsi="Segoe UI" w:cs="Segoe UI"/>
          <w:sz w:val="20"/>
          <w:szCs w:val="20"/>
        </w:rPr>
        <w:t>.</w:t>
      </w:r>
    </w:p>
    <w:p w:rsidR="005F5384" w:rsidRPr="00164A04" w:rsidRDefault="001A1E95" w:rsidP="00164A04">
      <w:pPr>
        <w:pStyle w:val="ListParagraph"/>
        <w:numPr>
          <w:ilvl w:val="0"/>
          <w:numId w:val="1"/>
        </w:numPr>
        <w:spacing w:line="240" w:lineRule="auto"/>
        <w:ind w:left="360"/>
        <w:jc w:val="both"/>
        <w:rPr>
          <w:rFonts w:ascii="Segoe UI" w:hAnsi="Segoe UI" w:cs="Segoe UI"/>
          <w:b/>
          <w:sz w:val="20"/>
          <w:szCs w:val="20"/>
        </w:rPr>
      </w:pPr>
      <w:r w:rsidRPr="00164A04">
        <w:rPr>
          <w:rFonts w:ascii="Segoe UI" w:hAnsi="Segoe UI" w:cs="Segoe UI"/>
          <w:b/>
          <w:sz w:val="20"/>
          <w:szCs w:val="20"/>
        </w:rPr>
        <w:t xml:space="preserve">Pendapatan </w:t>
      </w:r>
    </w:p>
    <w:p w:rsidR="001A1E95" w:rsidRPr="00164A04" w:rsidRDefault="00424BAB" w:rsidP="00164A04">
      <w:pPr>
        <w:pStyle w:val="ListParagraph"/>
        <w:spacing w:line="240" w:lineRule="auto"/>
        <w:ind w:left="360"/>
        <w:jc w:val="both"/>
        <w:rPr>
          <w:rFonts w:ascii="Segoe UI" w:hAnsi="Segoe UI" w:cs="Segoe UI"/>
          <w:b/>
          <w:sz w:val="20"/>
          <w:szCs w:val="20"/>
        </w:rPr>
      </w:pPr>
      <w:r w:rsidRPr="00164A04">
        <w:rPr>
          <w:rFonts w:ascii="Segoe UI" w:hAnsi="Segoe UI" w:cs="Segoe UI"/>
          <w:sz w:val="20"/>
          <w:szCs w:val="20"/>
        </w:rPr>
        <w:tab/>
      </w:r>
      <w:r w:rsidR="001A1E95" w:rsidRPr="00164A04">
        <w:rPr>
          <w:rFonts w:ascii="Segoe UI" w:hAnsi="Segoe UI" w:cs="Segoe UI"/>
          <w:sz w:val="20"/>
          <w:szCs w:val="20"/>
        </w:rPr>
        <w:t xml:space="preserve">Berdasarkan hasil </w:t>
      </w:r>
      <w:r w:rsidRPr="00164A04">
        <w:rPr>
          <w:rFonts w:ascii="Segoe UI" w:hAnsi="Segoe UI" w:cs="Segoe UI"/>
          <w:sz w:val="20"/>
          <w:szCs w:val="20"/>
        </w:rPr>
        <w:t xml:space="preserve">penelitian </w:t>
      </w:r>
      <w:r w:rsidR="001A1E95" w:rsidRPr="00164A04">
        <w:rPr>
          <w:rFonts w:ascii="Segoe UI" w:hAnsi="Segoe UI" w:cs="Segoe UI"/>
          <w:sz w:val="20"/>
          <w:szCs w:val="20"/>
        </w:rPr>
        <w:t xml:space="preserve">terkait pendapatan responden, diketahui bahwa </w:t>
      </w:r>
      <w:r w:rsidR="001A1E95" w:rsidRPr="00164A04">
        <w:rPr>
          <w:rFonts w:ascii="Segoe UI" w:hAnsi="Segoe UI" w:cs="Segoe UI"/>
          <w:sz w:val="20"/>
          <w:szCs w:val="20"/>
        </w:rPr>
        <w:lastRenderedPageBreak/>
        <w:t>sebagian besar responden yaitu berpendapatan dalam rumah tangga dengan kategori sedang (Rp 1.500.000- Rp 2.500.000) sebanyak 32 orang (29</w:t>
      </w:r>
      <w:proofErr w:type="gramStart"/>
      <w:r w:rsidR="001A1E95" w:rsidRPr="00164A04">
        <w:rPr>
          <w:rFonts w:ascii="Segoe UI" w:hAnsi="Segoe UI" w:cs="Segoe UI"/>
          <w:sz w:val="20"/>
          <w:szCs w:val="20"/>
        </w:rPr>
        <w:t>,9</w:t>
      </w:r>
      <w:proofErr w:type="gramEnd"/>
      <w:r w:rsidR="001A1E95" w:rsidRPr="00164A04">
        <w:rPr>
          <w:rFonts w:ascii="Segoe UI" w:hAnsi="Segoe UI" w:cs="Segoe UI"/>
          <w:sz w:val="20"/>
          <w:szCs w:val="20"/>
        </w:rPr>
        <w:t xml:space="preserve">%). Hal ini sejalan dengan penelitian oleh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{"citationItems":[{"id":"ITEM-1","itemData":{"abstract":"The purpose of this cross-sectional study was to identify risk factors in the normotensive and pre-hypertensive group based on the blood pressure results of healthy young adults from the Korean National Health and Nutrition Examination Survey 2018. The participants were 2225 healthy young adults between the ages of 19 and under 45, excluding those with a diagnosis of hypertension or taking antihypertensive medications. Of the 2225 participants, the normotensive group was 1498 (67.3%) and the pre-hypertensive group 727 (32.7%). Determinants of pre-hypertension were analyzed using multiple logistic regression based on a complex sample design. Factors related to pre-hypertension in young adults were age, smoking, waist circumference, diabetes, anemia, cholesterol levels including HDL cholesterol, and uric acid levels. Pre-hypertension is a pre-stage that can prevent the morbidity of hypertension through lifestyle control, so its management is very important. Furthermore, a young adult is a stage in the growth and development of human beings, in which lifestyles such as healthy behaviors, eating habits, and exercise are fixed. Therefore, it is very important to improve lifestyles such as diet, exercise, and smoking cessation and to control risk factors in young adults who are at the pre-hypertension stage for health promotion. Continuous health examinations should be conducted for young adults, and education that can be practiced based on clinical data through this should be implemented for community health.","author":[{"dropping-particle":"","family":"Jang","given":"Insil","non-dropping-particle":"","parse-names":false,"suffix":""}],"id":"ITEM-1","issue":"August 2019","issued":{"date-parts":[["2021"]]},"title":"Pre-Hypertension and Its Determinants in Healthy Young Adults : Analysis of Data from the Korean National Health and Nutrition Examination Survey VII","type":"article-journal"},"uris":["http://www.mendeley.com/documents/?uuid=4171c527-565f-447a-a2fc-db30c08d5b41"]}],"mendeley":{"formattedCitation":"(Jang, 2021)","manualFormatting":"Jang (2021)","plainTextFormattedCitation":"(Jang, 2021)","previouslyFormattedCitation":"(Jang, 2021)"},"properties":{"noteIndex":0},"schema":"https://github.com/citation-style-language/schema/raw/master/csl-citation.json"}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Jang (2021)</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bahwa orang dengan prehipertensi kebanyakan dengan pendapatan menengah kebawah yaitu sekitar 37,9%. Menurut Read, Grigoriev &amp; Grigorieva (2011) dalam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{"citationItems":[{"id":"ITEM-1","itemData":{"DOI":"10.31685/kek.v5i2.1008","ISSN":"1410-3249","abstract":"This study analyzed the impact of demography and socioeconomic status on individual health status in Indonesia. The data used Indonesia Family Life Survey 5 (IFLS 5). The study use logit regression model for analysis with health status variable as dependent variable. The other variable such as demography and socioeconomic status as independent variables. Socioeconomic status seen from two measures, namely education and income. The result of this study concludes the demography influence significantly on individual health status in Indonesia. Individual who lives in urban area has higher probability of being health by 1,02 percent compared to individual who lives in rural area. The other variable like socioeconomic status also influences significantly on the individual health status in Indonesia. Individual with longer years of education has higher probability of being health by 3,07 percent compared to individual with less years of education. Individual with high income has higher probability of being health compared to individual with low income.","author":[{"dropping-particle":"","family":"Rakasiwi","given":"Liani Surya","non-dropping-particle":"","parse-names":false,"suffix":""}],"container-title":"Kajian Ekonomi dan Keuangan","id":"ITEM-1","issue":"2","issued":{"date-parts":[["2021"]]},"page":"146-157","title":"Pengaruh Faktor Demografi dan Sosial Ekonomi terhadap Status Kesehatan Individu di Indonesia","type":"article-journal","volume":"5"},"uris":["http://www.mendeley.com/documents/?uuid=9627bdc6-461c-4f56-9e0d-1d5e13150ec7"]}],"mendeley":{"formattedCitation":"(Rakasiwi, 2021)","plainTextFormattedCitation":"(Rakasiwi, 2021)","previouslyFormattedCitation":"(Rakasiwi, 2021)"},"properties":{"noteIndex":0},"schema":"https://github.com/citation-style-language/schema/raw/master/csl-citation.json"}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(Rakasiwi, 2021)</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Kesehatan seseorang ditentukan dengan pendapatan, semakin tinggi tingkat pendapatan seseorang maka lebih memperhatikan kesehatannya dibandingkan dengan seseorang yang berpendapatan lebih rendah.</w:t>
      </w:r>
    </w:p>
    <w:p w:rsidR="001A1E95" w:rsidRPr="00164A04" w:rsidRDefault="001A1E95" w:rsidP="00164A04">
      <w:pPr>
        <w:pStyle w:val="ListParagraph"/>
        <w:spacing w:before="240" w:line="240" w:lineRule="auto"/>
        <w:ind w:left="0"/>
        <w:jc w:val="both"/>
        <w:rPr>
          <w:rFonts w:ascii="Segoe UI" w:hAnsi="Segoe UI" w:cs="Segoe UI"/>
          <w:sz w:val="20"/>
          <w:szCs w:val="20"/>
        </w:rPr>
      </w:pPr>
    </w:p>
    <w:p w:rsidR="001A1E95" w:rsidRPr="00164A04" w:rsidRDefault="001A1E95" w:rsidP="00164A04">
      <w:pPr>
        <w:pStyle w:val="ListParagraph"/>
        <w:spacing w:before="240" w:line="240" w:lineRule="auto"/>
        <w:ind w:left="0"/>
        <w:jc w:val="both"/>
        <w:rPr>
          <w:rFonts w:ascii="Segoe UI" w:hAnsi="Segoe UI" w:cs="Segoe UI"/>
          <w:sz w:val="20"/>
          <w:szCs w:val="20"/>
        </w:rPr>
      </w:pPr>
    </w:p>
    <w:p w:rsidR="001A1E95" w:rsidRPr="00164A04" w:rsidRDefault="001A1E95" w:rsidP="00164A04">
      <w:pPr>
        <w:pStyle w:val="ListParagraph"/>
        <w:spacing w:line="240" w:lineRule="auto"/>
        <w:ind w:left="0"/>
        <w:jc w:val="both"/>
        <w:rPr>
          <w:rFonts w:ascii="Segoe UI" w:hAnsi="Segoe UI" w:cs="Segoe UI"/>
          <w:b/>
          <w:sz w:val="20"/>
          <w:szCs w:val="20"/>
        </w:rPr>
      </w:pPr>
      <w:r w:rsidRPr="00164A04">
        <w:rPr>
          <w:rFonts w:ascii="Segoe UI" w:hAnsi="Segoe UI" w:cs="Segoe UI"/>
          <w:b/>
          <w:sz w:val="20"/>
          <w:szCs w:val="20"/>
        </w:rPr>
        <w:t>Analisis Univariat</w:t>
      </w:r>
    </w:p>
    <w:p w:rsidR="001A1E95" w:rsidRPr="00164A04" w:rsidRDefault="001A1E95" w:rsidP="00164A04">
      <w:pPr>
        <w:pStyle w:val="ListParagraph"/>
        <w:numPr>
          <w:ilvl w:val="0"/>
          <w:numId w:val="2"/>
        </w:numPr>
        <w:spacing w:line="240" w:lineRule="auto"/>
        <w:ind w:left="360"/>
        <w:jc w:val="both"/>
        <w:rPr>
          <w:rFonts w:ascii="Segoe UI" w:hAnsi="Segoe UI" w:cs="Segoe UI"/>
          <w:b/>
          <w:sz w:val="20"/>
          <w:szCs w:val="20"/>
        </w:rPr>
      </w:pPr>
      <w:r w:rsidRPr="00164A04">
        <w:rPr>
          <w:rFonts w:ascii="Segoe UI" w:hAnsi="Segoe UI" w:cs="Segoe UI"/>
          <w:b/>
          <w:sz w:val="20"/>
          <w:szCs w:val="20"/>
        </w:rPr>
        <w:t>Pengetahuan</w:t>
      </w:r>
    </w:p>
    <w:p w:rsidR="001A1E95" w:rsidRPr="00164A04" w:rsidRDefault="00424BAB" w:rsidP="00164A04">
      <w:pPr>
        <w:pStyle w:val="ListParagraph"/>
        <w:spacing w:line="240" w:lineRule="auto"/>
        <w:ind w:left="360"/>
        <w:jc w:val="both"/>
        <w:rPr>
          <w:rFonts w:ascii="Segoe UI" w:hAnsi="Segoe UI" w:cs="Segoe UI"/>
          <w:sz w:val="20"/>
          <w:szCs w:val="20"/>
        </w:rPr>
      </w:pPr>
      <w:r w:rsidRPr="00164A04">
        <w:rPr>
          <w:rFonts w:ascii="Segoe UI" w:hAnsi="Segoe UI" w:cs="Segoe UI"/>
          <w:sz w:val="20"/>
          <w:szCs w:val="20"/>
        </w:rPr>
        <w:tab/>
      </w:r>
      <w:r w:rsidR="001A1E95" w:rsidRPr="00164A04">
        <w:rPr>
          <w:rFonts w:ascii="Segoe UI" w:hAnsi="Segoe UI" w:cs="Segoe UI"/>
          <w:sz w:val="20"/>
          <w:szCs w:val="20"/>
        </w:rPr>
        <w:t xml:space="preserve">Berdasarkan hasil </w:t>
      </w:r>
      <w:r w:rsidR="00D21F0C" w:rsidRPr="00164A04">
        <w:rPr>
          <w:rFonts w:ascii="Segoe UI" w:hAnsi="Segoe UI" w:cs="Segoe UI"/>
          <w:sz w:val="20"/>
          <w:szCs w:val="20"/>
        </w:rPr>
        <w:t xml:space="preserve">penelitian </w:t>
      </w:r>
      <w:r w:rsidR="001A1E95" w:rsidRPr="00164A04">
        <w:rPr>
          <w:rFonts w:ascii="Segoe UI" w:hAnsi="Segoe UI" w:cs="Segoe UI"/>
          <w:sz w:val="20"/>
          <w:szCs w:val="20"/>
        </w:rPr>
        <w:t>terkait pengetahuan mengenai prehiperetensi, diketahuai sebagain besar responden memiliki pengetahuan baik mengenai manajemen prehipertensi sebanyak 49 dewasa muda dengan pehipertensi (45</w:t>
      </w:r>
      <w:proofErr w:type="gramStart"/>
      <w:r w:rsidR="001A1E95" w:rsidRPr="00164A04">
        <w:rPr>
          <w:rFonts w:ascii="Segoe UI" w:hAnsi="Segoe UI" w:cs="Segoe UI"/>
          <w:sz w:val="20"/>
          <w:szCs w:val="20"/>
        </w:rPr>
        <w:t>,8</w:t>
      </w:r>
      <w:proofErr w:type="gramEnd"/>
      <w:r w:rsidR="001A1E95" w:rsidRPr="00164A04">
        <w:rPr>
          <w:rFonts w:ascii="Segoe UI" w:hAnsi="Segoe UI" w:cs="Segoe UI"/>
          <w:sz w:val="20"/>
          <w:szCs w:val="20"/>
        </w:rPr>
        <w:t xml:space="preserve">%). Hasil dari penelitian ini menyatakan bahwa tingkat pengetahuan berdasarakan karakteristik responden sebagian besar pengetahuan baik, jika dilihat dari usia kebanyak reponden berpengetahuan baik berusia 18-29 tahun, pendidikan terakhir Sekolah Menengah Atas (SMA) dan  tidak bekerta atau sebagai Ibu Rumah Tangga serta dengan pendapatan sedang. Faktor yang dapat mempengaruhi seseorang yaitu dari latar pendidikan, dapat diperoleh melalui media masa atau informasi, sosial budaya, pengalaman serta lingkungan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author":[{"dropping-particle":"","family":"Jenita","given":"","non-dropping-particle":"","parse-names":false,"suffix":""}],"editor":[{"dropping-particle":"","family":"Suardi","given":"Moh","non-dropping-particle":"","parse-names":false,"suffix":""}],"id":"ITEM-1","issued":{"date-parts":[["2021"]]},"publisher":"Insan Cendikia Mandiri","publisher-place":"Solok","title":"Motivasi, Kemampuan, dan Pelaksanaan Kinerja","type":"book"},"uris":["http://www.mendeley.com/documents/?uuid=69edefb7-0954-47b2-938c-5b27076f18dc"]}],"mendeley":{"formattedCitation":"(Jenita, 2021)","plainTextFormattedCitation":"(Jenita, 2021)","previouslyFormattedCitation":"(Jenita, 2021)"},"properties":{"noteIndex":0},"schema":"https://github.com/citation-style-language/schema/raw/master/csl-citation.json"}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(Jenita, 2021)</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Perilaku sehat </w:t>
      </w:r>
      <w:r w:rsidR="001A1E95" w:rsidRPr="00164A04">
        <w:rPr>
          <w:rFonts w:ascii="Segoe UI" w:hAnsi="Segoe UI" w:cs="Segoe UI"/>
          <w:noProof/>
          <w:sz w:val="20"/>
          <w:szCs w:val="20"/>
        </w:rPr>
        <w:t xml:space="preserve">berhubungan dengan pengetahuan seseorang, sehingga dengan pengetahuan yang baik maka seseorang dapat menerapkan perilaku hidup sehat </w:t>
      </w:r>
      <w:r w:rsidR="001A1E95" w:rsidRPr="00164A04">
        <w:rPr>
          <w:rFonts w:ascii="Segoe UI" w:hAnsi="Segoe UI" w:cs="Segoe UI"/>
          <w:noProof/>
          <w:sz w:val="20"/>
          <w:szCs w:val="20"/>
        </w:rPr>
        <w:fldChar w:fldCharType="begin" w:fldLock="1"/>
      </w:r>
      <w:r w:rsidR="001A1E95" w:rsidRPr="00164A04">
        <w:rPr>
          <w:rFonts w:ascii="Segoe UI" w:hAnsi="Segoe UI" w:cs="Segoe UI"/>
          <w:noProof/>
          <w:sz w:val="20"/>
          <w:szCs w:val="20"/>
        </w:rPr>
        <w:instrText>ADDIN CSL_CITATION {"citationItems":[{"id":"ITEM-1","itemData":{"author":[{"dropping-particle":"","family":"Green","given":"lawrence w","non-dropping-particle":"","parse-names":false,"suffix":""},{"dropping-particle":"","family":"Gielen","given":"andrea carlson","non-dropping-particle":"","parse-names":false,"suffix":""},{"dropping-particle":"","family":"Ottoson","given":"judith m","non-dropping-particle":"","parse-names":false,"suffix":""},{"dropping-particle":"","family":"Darleen v petterson","given":"","non-dropping-particle":"","parse-names":false,"suffix":""},{"dropping-particle":"","family":"Kreuter","given":"marshall w","non-dropping-particle":"","parse-names":false,"suffix":""}],"id":"ITEM-1","issued":{"date-parts":[["2022"]]},"publisher":"Johns Hopkins University Press","publisher-place":"Baltimore","title":"Health Proram Planning, Implementation, and Evaluation. Baltimore","type":"book"},"uris":["http://www.mendeley.com/documents/?uuid=79462783-8ed6-4a2d-bb27-4674f2b42406"]}],"mendeley":{"formattedCitation":"(Green et al., 2022)","plainTextFormattedCitation":"(Green et al., 2022)","previouslyFormattedCitation":"(Green et al., 2022)"},"properties":{"noteIndex":0},"schema":"https://github.com/citation-style-language/schema/raw/master/csl-citation.json"}</w:instrText>
      </w:r>
      <w:r w:rsidR="001A1E95" w:rsidRPr="00164A04">
        <w:rPr>
          <w:rFonts w:ascii="Segoe UI" w:hAnsi="Segoe UI" w:cs="Segoe UI"/>
          <w:noProof/>
          <w:sz w:val="20"/>
          <w:szCs w:val="20"/>
        </w:rPr>
        <w:fldChar w:fldCharType="separate"/>
      </w:r>
      <w:r w:rsidR="001A1E95" w:rsidRPr="00164A04">
        <w:rPr>
          <w:rFonts w:ascii="Segoe UI" w:hAnsi="Segoe UI" w:cs="Segoe UI"/>
          <w:noProof/>
          <w:sz w:val="20"/>
          <w:szCs w:val="20"/>
        </w:rPr>
        <w:t>(Green et al., 2022)</w:t>
      </w:r>
      <w:r w:rsidR="001A1E95" w:rsidRPr="00164A04">
        <w:rPr>
          <w:rFonts w:ascii="Segoe UI" w:hAnsi="Segoe UI" w:cs="Segoe UI"/>
          <w:noProof/>
          <w:sz w:val="20"/>
          <w:szCs w:val="20"/>
        </w:rPr>
        <w:fldChar w:fldCharType="end"/>
      </w:r>
      <w:r w:rsidR="001A1E95" w:rsidRPr="00164A04">
        <w:rPr>
          <w:rFonts w:ascii="Segoe UI" w:hAnsi="Segoe UI" w:cs="Segoe UI"/>
          <w:noProof/>
          <w:sz w:val="20"/>
          <w:szCs w:val="20"/>
        </w:rPr>
        <w:t xml:space="preserve">. Pengetahuan tidak hanya diperoleh melalui pendidikan formal, pendidikan juga dapat diperoleh melalui media massa atau dari pengalaman orang lain </w:t>
      </w:r>
      <w:r w:rsidR="001A1E95" w:rsidRPr="00164A04">
        <w:rPr>
          <w:rFonts w:ascii="Segoe UI" w:hAnsi="Segoe UI" w:cs="Segoe UI"/>
          <w:noProof/>
          <w:sz w:val="20"/>
          <w:szCs w:val="20"/>
        </w:rPr>
        <w:fldChar w:fldCharType="begin" w:fldLock="1"/>
      </w:r>
      <w:r w:rsidR="001A1E95" w:rsidRPr="00164A04">
        <w:rPr>
          <w:rFonts w:ascii="Segoe UI" w:hAnsi="Segoe UI" w:cs="Segoe UI"/>
          <w:noProof/>
          <w:sz w:val="20"/>
          <w:szCs w:val="20"/>
        </w:rPr>
        <w:instrText>ADDIN CSL_CITATION {"citationItems":[{"id":"ITEM-1","itemData":{"author":[{"dropping-particle":"","family":"Rosdiana","given":"","non-dropping-particle":"","parse-names":false,"suffix":""}],"id":"ITEM-1","issued":{"date-parts":[["2021"]]},"publisher":"Penerbit NEM","title":"Pencegahan Obesitas dengan Exercise","type":"book"},"uris":["http://www.mendeley.com/documents/?uuid=09ce9089-0773-4f04-8ca3-8ee4646be478"]}],"mendeley":{"formattedCitation":"(Rosdiana, 2021)","plainTextFormattedCitation":"(Rosdiana, 2021)","previouslyFormattedCitation":"(Rosdiana, 2021)"},"properties":{"noteIndex":0},"schema":"https://github.com/citation-style-language/schema/raw/master/csl-citation.json"}</w:instrText>
      </w:r>
      <w:r w:rsidR="001A1E95" w:rsidRPr="00164A04">
        <w:rPr>
          <w:rFonts w:ascii="Segoe UI" w:hAnsi="Segoe UI" w:cs="Segoe UI"/>
          <w:noProof/>
          <w:sz w:val="20"/>
          <w:szCs w:val="20"/>
        </w:rPr>
        <w:fldChar w:fldCharType="separate"/>
      </w:r>
      <w:r w:rsidR="001A1E95" w:rsidRPr="00164A04">
        <w:rPr>
          <w:rFonts w:ascii="Segoe UI" w:hAnsi="Segoe UI" w:cs="Segoe UI"/>
          <w:noProof/>
          <w:sz w:val="20"/>
          <w:szCs w:val="20"/>
        </w:rPr>
        <w:t>(Rosdiana, 2021)</w:t>
      </w:r>
      <w:r w:rsidR="001A1E95" w:rsidRPr="00164A04">
        <w:rPr>
          <w:rFonts w:ascii="Segoe UI" w:hAnsi="Segoe UI" w:cs="Segoe UI"/>
          <w:noProof/>
          <w:sz w:val="20"/>
          <w:szCs w:val="20"/>
        </w:rPr>
        <w:fldChar w:fldCharType="end"/>
      </w:r>
      <w:r w:rsidR="001A1E95" w:rsidRPr="00164A04">
        <w:rPr>
          <w:rFonts w:ascii="Segoe UI" w:hAnsi="Segoe UI" w:cs="Segoe UI"/>
          <w:noProof/>
          <w:sz w:val="20"/>
          <w:szCs w:val="20"/>
        </w:rPr>
        <w:t xml:space="preserve">. Dewasa muda dapat mencari informasi yang belum diketahui melalui sumber pengetahuan tersebut, sehingga pengetahuan dewasa muda dapat bertambah mengenai prehipertensi dan mengurangi dampak </w:t>
      </w:r>
      <w:r w:rsidR="001A1E95" w:rsidRPr="00164A04">
        <w:rPr>
          <w:rFonts w:ascii="Segoe UI" w:hAnsi="Segoe UI" w:cs="Segoe UI"/>
          <w:noProof/>
          <w:sz w:val="20"/>
          <w:szCs w:val="20"/>
        </w:rPr>
        <w:lastRenderedPageBreak/>
        <w:t xml:space="preserve">yang mungkin terjadi di masa yang mendatang. </w:t>
      </w:r>
    </w:p>
    <w:p w:rsidR="001A1E95" w:rsidRPr="00164A04" w:rsidRDefault="001A1E95" w:rsidP="00164A04">
      <w:pPr>
        <w:pStyle w:val="ListParagraph"/>
        <w:numPr>
          <w:ilvl w:val="0"/>
          <w:numId w:val="2"/>
        </w:numPr>
        <w:spacing w:line="240" w:lineRule="auto"/>
        <w:ind w:left="360"/>
        <w:jc w:val="both"/>
        <w:rPr>
          <w:rFonts w:ascii="Segoe UI" w:hAnsi="Segoe UI" w:cs="Segoe UI"/>
          <w:b/>
          <w:sz w:val="20"/>
          <w:szCs w:val="20"/>
        </w:rPr>
      </w:pPr>
      <w:r w:rsidRPr="00164A04">
        <w:rPr>
          <w:rFonts w:ascii="Segoe UI" w:hAnsi="Segoe UI" w:cs="Segoe UI"/>
          <w:b/>
          <w:sz w:val="20"/>
          <w:szCs w:val="20"/>
        </w:rPr>
        <w:t xml:space="preserve">Perilaku </w:t>
      </w:r>
    </w:p>
    <w:p w:rsidR="001A1E95" w:rsidRPr="00164A04" w:rsidRDefault="001A1E95" w:rsidP="00164A04">
      <w:pPr>
        <w:pStyle w:val="ListParagraph"/>
        <w:numPr>
          <w:ilvl w:val="0"/>
          <w:numId w:val="3"/>
        </w:numPr>
        <w:spacing w:line="240" w:lineRule="auto"/>
        <w:jc w:val="both"/>
        <w:rPr>
          <w:rFonts w:ascii="Segoe UI" w:hAnsi="Segoe UI" w:cs="Segoe UI"/>
          <w:sz w:val="20"/>
          <w:szCs w:val="20"/>
        </w:rPr>
      </w:pPr>
      <w:r w:rsidRPr="00164A04">
        <w:rPr>
          <w:rFonts w:ascii="Segoe UI" w:hAnsi="Segoe UI" w:cs="Segoe UI"/>
          <w:sz w:val="20"/>
          <w:szCs w:val="20"/>
        </w:rPr>
        <w:t>Konsumsi buah 4-5 mangkuk per hari</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t>Berdasarkan hasil penelitian ditemukan bahwa sebagian besar dewasa muda tidak melakukan manajemen prehipertensi dengan konsumsi buah 4-5 mangkuk per hari yaitu sebanyak 85 dewasa muda dengan prehipertensi (77</w:t>
      </w:r>
      <w:proofErr w:type="gramStart"/>
      <w:r w:rsidRPr="00164A04">
        <w:rPr>
          <w:rFonts w:ascii="Segoe UI" w:hAnsi="Segoe UI" w:cs="Segoe UI"/>
          <w:sz w:val="20"/>
          <w:szCs w:val="20"/>
        </w:rPr>
        <w:t>,6</w:t>
      </w:r>
      <w:proofErr w:type="gramEnd"/>
      <w:r w:rsidRPr="00164A04">
        <w:rPr>
          <w:rFonts w:ascii="Segoe UI" w:hAnsi="Segoe UI" w:cs="Segoe UI"/>
          <w:sz w:val="20"/>
          <w:szCs w:val="20"/>
        </w:rPr>
        <w:t xml:space="preserve">%). Hal ini sejalan dengan penelitian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{"citationItems":[{"id":"ITEM-1","itemData":{"DOI":"10.4103/ijpvm.IJPVM","author":[{"dropping-particle":"","family":"Selvaraj","given":"sitanshu sekahr kar kalaiselvi","non-dropping-particle":"","parse-names":false,"suffix":""},{"dropping-particle":"","family":"Ramaswamy","given":"Gomathi","non-dropping-particle":"","parse-names":false,"suffix":""},{"dropping-particle":"","family":"Kalidoss","given":"K C premarajan ganesh kumar saya vinodhkumar","non-dropping-particle":"","parse-names":false,"suffix":""}],"container-title":"International Journal of Preventive Medicine","id":"ITEM-1","issued":{"date-parts":[["2020"]]},"title":"High Prevalence of Prehypertension and its Association with Modifiable Risk Factors : Findings of Household STEPS Survey from Urban Puducherry, South India","type":"article-journal"},"uris":["http://www.mendeley.com/documents/?uuid=42c21cc0-8de6-4142-9f24-3c8cb8df6010"]}],"mendeley":{"formattedCitation":"(Selvaraj et al., 2020)","manualFormatting":"Selvaraj et al (2020)","plainTextFormattedCitation":"(Selvaraj et al., 2020)","previouslyFormattedCitation":"(Selvaraj et al., 2020)"},"properties":{"noteIndex":0},"schema":"https://github.com/citation-style-language/schema/raw/master/csl-citation.json"}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Selvaraj et al (2020)</w:t>
      </w:r>
      <w:r w:rsidRPr="00164A04">
        <w:rPr>
          <w:rFonts w:ascii="Segoe UI" w:hAnsi="Segoe UI" w:cs="Segoe UI"/>
          <w:sz w:val="20"/>
          <w:szCs w:val="20"/>
        </w:rPr>
        <w:fldChar w:fldCharType="end"/>
      </w:r>
      <w:r w:rsidRPr="00164A04">
        <w:rPr>
          <w:rFonts w:ascii="Segoe UI" w:hAnsi="Segoe UI" w:cs="Segoe UI"/>
          <w:sz w:val="20"/>
          <w:szCs w:val="20"/>
        </w:rPr>
        <w:t xml:space="preserve"> dalam penelitiannya terdapat 97,7% pada dewasa dengan prehipertensi yang kurang konsumsi buah. Kurangnya konsumsi buah pada dewasa muda dikarenakan lebih memilih makanan cepat saji, sehingga tidak mencerminakan </w:t>
      </w:r>
      <w:proofErr w:type="gramStart"/>
      <w:r w:rsidRPr="00164A04">
        <w:rPr>
          <w:rFonts w:ascii="Segoe UI" w:hAnsi="Segoe UI" w:cs="Segoe UI"/>
          <w:sz w:val="20"/>
          <w:szCs w:val="20"/>
        </w:rPr>
        <w:t>gaya</w:t>
      </w:r>
      <w:proofErr w:type="gramEnd"/>
      <w:r w:rsidRPr="00164A04">
        <w:rPr>
          <w:rFonts w:ascii="Segoe UI" w:hAnsi="Segoe UI" w:cs="Segoe UI"/>
          <w:sz w:val="20"/>
          <w:szCs w:val="20"/>
        </w:rPr>
        <w:t xml:space="preserve"> hidup yang sehat. </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t>Hasil dari penelitian ini sebagian besar pendidikan terakhir dewasa muda yaitu SMA (66</w:t>
      </w:r>
      <w:proofErr w:type="gramStart"/>
      <w:r w:rsidRPr="00164A04">
        <w:rPr>
          <w:rFonts w:ascii="Segoe UI" w:hAnsi="Segoe UI" w:cs="Segoe UI"/>
          <w:sz w:val="20"/>
          <w:szCs w:val="20"/>
        </w:rPr>
        <w:t>,4</w:t>
      </w:r>
      <w:proofErr w:type="gramEnd"/>
      <w:r w:rsidRPr="00164A04">
        <w:rPr>
          <w:rFonts w:ascii="Segoe UI" w:hAnsi="Segoe UI" w:cs="Segoe UI"/>
          <w:sz w:val="20"/>
          <w:szCs w:val="20"/>
        </w:rPr>
        <w:t>%) dan masih ada yang memiliki pengetahuan dengan kategori kurang (10,8%). Hal ini berarti bahwa pengetahuan sangat berhubungan dengan perilaku seseorang, pengetahuan yang baik akan menerapkan perilaku hidup sehat seperti melakukan manajemen prehipertensi seperti konsumsi buah 4-5 mangkuk per hari dan mengurangi makanan cepat saji</w:t>
      </w:r>
      <w:r w:rsidRPr="00164A04">
        <w:rPr>
          <w:rFonts w:ascii="Segoe UI" w:hAnsi="Segoe UI" w:cs="Segoe UI"/>
          <w:noProof/>
          <w:sz w:val="20"/>
          <w:szCs w:val="20"/>
        </w:rPr>
        <w:t xml:space="preserve"> </w:t>
      </w:r>
      <w:r w:rsidRPr="00164A04">
        <w:rPr>
          <w:rFonts w:ascii="Segoe UI" w:hAnsi="Segoe UI" w:cs="Segoe UI"/>
          <w:noProof/>
          <w:sz w:val="20"/>
          <w:szCs w:val="20"/>
        </w:rPr>
        <w:fldChar w:fldCharType="begin" w:fldLock="1"/>
      </w:r>
      <w:r w:rsidRPr="00164A04">
        <w:rPr>
          <w:rFonts w:ascii="Segoe UI" w:hAnsi="Segoe UI" w:cs="Segoe UI"/>
          <w:noProof/>
          <w:sz w:val="20"/>
          <w:szCs w:val="20"/>
        </w:rPr>
        <w:instrText>ADDIN CSL_CITATION {"citationItems":[{"id":"ITEM-1","itemData":{"author":[{"dropping-particle":"","family":"Green","given":"lawrence w","non-dropping-particle":"","parse-names":false,"suffix":""},{"dropping-particle":"","family":"Gielen","given":"andrea carlson","non-dropping-particle":"","parse-names":false,"suffix":""},{"dropping-particle":"","family":"Ottoson","given":"judith m","non-dropping-particle":"","parse-names":false,"suffix":""},{"dropping-particle":"","family":"Darleen v petterson","given":"","non-dropping-particle":"","parse-names":false,"suffix":""},{"dropping-particle":"","family":"Kreuter","given":"marshall w","non-dropping-particle":"","parse-names":false,"suffix":""}],"id":"ITEM-1","issued":{"date-parts":[["2022"]]},"publisher":"Johns Hopkins University Press","publisher-place":"Baltimore","title":"Health Proram Planning, Implementation, and Evaluation. Baltimore","type":"book"},"uris":["http://www.mendeley.com/documents/?uuid=79462783-8ed6-4a2d-bb27-4674f2b42406"]}],"mendeley":{"formattedCitation":"(Green et al., 2022)","plainTextFormattedCitation":"(Green et al., 2022)","previouslyFormattedCitation":"(Green et al., 2022)"},"properties":{"noteIndex":0},"schema":"https://github.com/citation-style-language/schema/raw/master/csl-citation.json"}</w:instrText>
      </w:r>
      <w:r w:rsidRPr="00164A04">
        <w:rPr>
          <w:rFonts w:ascii="Segoe UI" w:hAnsi="Segoe UI" w:cs="Segoe UI"/>
          <w:noProof/>
          <w:sz w:val="20"/>
          <w:szCs w:val="20"/>
        </w:rPr>
        <w:fldChar w:fldCharType="separate"/>
      </w:r>
      <w:r w:rsidRPr="00164A04">
        <w:rPr>
          <w:rFonts w:ascii="Segoe UI" w:hAnsi="Segoe UI" w:cs="Segoe UI"/>
          <w:noProof/>
          <w:sz w:val="20"/>
          <w:szCs w:val="20"/>
        </w:rPr>
        <w:t>(Green et al., 2022)</w:t>
      </w:r>
      <w:r w:rsidRPr="00164A04">
        <w:rPr>
          <w:rFonts w:ascii="Segoe UI" w:hAnsi="Segoe UI" w:cs="Segoe UI"/>
          <w:noProof/>
          <w:sz w:val="20"/>
          <w:szCs w:val="20"/>
        </w:rPr>
        <w:fldChar w:fldCharType="end"/>
      </w:r>
      <w:r w:rsidRPr="00164A04">
        <w:rPr>
          <w:rFonts w:ascii="Segoe UI" w:hAnsi="Segoe UI" w:cs="Segoe UI"/>
          <w:noProof/>
          <w:sz w:val="20"/>
          <w:szCs w:val="20"/>
        </w:rPr>
        <w:t>.</w:t>
      </w:r>
      <w:r w:rsidRPr="00164A04">
        <w:rPr>
          <w:rFonts w:ascii="Segoe UI" w:hAnsi="Segoe UI" w:cs="Segoe UI"/>
          <w:sz w:val="20"/>
          <w:szCs w:val="20"/>
        </w:rPr>
        <w:t xml:space="preserve"> Begitupun dengan tingkat pendidikan bahwa semakin tinggi tingkat pendidikan seseorang maka akan mempengaruhi kebiasaan baik untuk menjaga status kesehatannya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{"citationItems":[{"id":"ITEM-1","itemData":{"DOI":"10.31685/kek.v5i2.1008","ISSN":"1410-3249","abstract":"This study analyzed the impact of demography and socioeconomic status on individual health status in Indonesia. The data used Indonesia Family Life Survey 5 (IFLS 5). The study use logit regression model for analysis with health status variable as dependent variable. The other variable such as demography and socioeconomic status as independent variables. Socioeconomic status seen from two measures, namely education and income. The result of this study concludes the demography influence significantly on individual health status in Indonesia. Individual who lives in urban area has higher probability of being health by 1,02 percent compared to individual who lives in rural area. The other variable like socioeconomic status also influences significantly on the individual health status in Indonesia. Individual with longer years of education has higher probability of being health by 3,07 percent compared to individual with less years of education. Individual with high income has higher probability of being health compared to individual with low income.","author":[{"dropping-particle":"","family":"Rakasiwi","given":"Liani Surya","non-dropping-particle":"","parse-names":false,"suffix":""}],"container-title":"Kajian Ekonomi dan Keuangan","id":"ITEM-1","issue":"2","issued":{"date-parts":[["2021"]]},"page":"146-157","title":"Pengaruh Faktor Demografi dan Sosial Ekonomi terhadap Status Kesehatan Individu di Indonesia","type":"article-journal","volume":"5"},"uris":["http://www.mendeley.com/documents/?uuid=9627bdc6-461c-4f56-9e0d-1d5e13150ec7"]}],"mendeley":{"formattedCitation":"(Rakasiwi, 2021)","plainTextFormattedCitation":"(Rakasiwi, 2021)","previouslyFormattedCitation":"(Rakasiwi, 2021)"},"properties":{"noteIndex":0},"schema":"https://github.com/citation-style-language/schema/raw/master/csl-citation.json"}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(Rakasiwi, 2021)</w:t>
      </w:r>
      <w:r w:rsidRPr="00164A04">
        <w:rPr>
          <w:rFonts w:ascii="Segoe UI" w:hAnsi="Segoe UI" w:cs="Segoe UI"/>
          <w:sz w:val="20"/>
          <w:szCs w:val="20"/>
        </w:rPr>
        <w:fldChar w:fldCharType="end"/>
      </w:r>
      <w:r w:rsidRPr="00164A04">
        <w:rPr>
          <w:rFonts w:ascii="Segoe UI" w:hAnsi="Segoe UI" w:cs="Segoe UI"/>
          <w:sz w:val="20"/>
          <w:szCs w:val="20"/>
        </w:rPr>
        <w:t>.</w:t>
      </w:r>
    </w:p>
    <w:p w:rsidR="001A1E95" w:rsidRPr="00164A04" w:rsidRDefault="001A1E95" w:rsidP="00164A04">
      <w:pPr>
        <w:pStyle w:val="ListParagraph"/>
        <w:numPr>
          <w:ilvl w:val="0"/>
          <w:numId w:val="4"/>
        </w:numPr>
        <w:spacing w:line="240" w:lineRule="auto"/>
        <w:jc w:val="both"/>
        <w:rPr>
          <w:rFonts w:ascii="Segoe UI" w:hAnsi="Segoe UI" w:cs="Segoe UI"/>
          <w:sz w:val="20"/>
          <w:szCs w:val="20"/>
        </w:rPr>
      </w:pPr>
      <w:r w:rsidRPr="00164A04">
        <w:rPr>
          <w:rFonts w:ascii="Segoe UI" w:hAnsi="Segoe UI" w:cs="Segoe UI"/>
          <w:sz w:val="20"/>
          <w:szCs w:val="20"/>
        </w:rPr>
        <w:t>Mempertahankan IMT normal</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t>Berdasarkan hasil penelitian ditemukan bahwa sebagian besar dewasa muda tidak melakukan manajemen prehipertensi dengan mempertahankan IMT normal yaitu sebanyak 68 dewasa muda dengan prehipertensi (62</w:t>
      </w:r>
      <w:proofErr w:type="gramStart"/>
      <w:r w:rsidRPr="00164A04">
        <w:rPr>
          <w:rFonts w:ascii="Segoe UI" w:hAnsi="Segoe UI" w:cs="Segoe UI"/>
          <w:sz w:val="20"/>
          <w:szCs w:val="20"/>
        </w:rPr>
        <w:t>,6</w:t>
      </w:r>
      <w:proofErr w:type="gramEnd"/>
      <w:r w:rsidRPr="00164A04">
        <w:rPr>
          <w:rFonts w:ascii="Segoe UI" w:hAnsi="Segoe UI" w:cs="Segoe UI"/>
          <w:sz w:val="20"/>
          <w:szCs w:val="20"/>
        </w:rPr>
        <w:t xml:space="preserve">%). </w:t>
      </w:r>
      <w:proofErr w:type="gramStart"/>
      <w:r w:rsidRPr="00164A04">
        <w:rPr>
          <w:rFonts w:ascii="Segoe UI" w:hAnsi="Segoe UI" w:cs="Segoe UI"/>
          <w:sz w:val="20"/>
          <w:szCs w:val="20"/>
        </w:rPr>
        <w:t>Arti dari mempertahankan IMT normal dalam penelitain ini yaitu responden yang memiliki berat badan lebih atau obesitas.</w:t>
      </w:r>
      <w:proofErr w:type="gramEnd"/>
      <w:r w:rsidRPr="00164A04">
        <w:rPr>
          <w:rFonts w:ascii="Segoe UI" w:hAnsi="Segoe UI" w:cs="Segoe UI"/>
          <w:sz w:val="20"/>
          <w:szCs w:val="20"/>
        </w:rPr>
        <w:t xml:space="preserve"> Orang dengan berat badan lebih dan obesitas berisiko mengalami prehipertensi dan hipertensi, hal ini sejalan dengan penelitian oleh </w:t>
      </w:r>
      <w:r w:rsidRPr="00164A04">
        <w:rPr>
          <w:rFonts w:ascii="Segoe UI" w:hAnsi="Segoe UI" w:cs="Segoe UI"/>
          <w:sz w:val="20"/>
          <w:szCs w:val="20"/>
        </w:rPr>
        <w:lastRenderedPageBreak/>
        <w:fldChar w:fldCharType="begin" w:fldLock="1"/>
      </w:r>
      <w:r w:rsidRPr="00164A04">
        <w:rPr>
          <w:rFonts w:ascii="Segoe UI" w:hAnsi="Segoe UI" w:cs="Segoe UI"/>
          <w:sz w:val="20"/>
          <w:szCs w:val="20"/>
        </w:rPr>
        <w:instrText>ADDIN CSL_CITATION {"citationItems":[{"id":"ITEM-1","itemData":{"author":[{"dropping-particle":"","family":"Tryastuti","given":"Dini","non-dropping-particle":"","parse-names":false,"suffix":""}],"id":"ITEM-1","issue":"1","issued":{"date-parts":[["2018"]]},"page":"55-63","title":"Hubungan Karakteristik Individu Dan Praktik Kesehatan Keluarga Dengan Kejadian Pre-Hipertensi Di Kelurahan Srengseng Sawah Kecamatan Jagakarsa Jakarta Selatan","type":"article-journal","volume":"10"},"uris":["http://www.mendeley.com/documents/?uuid=5e785ee1-4fe8-4f50-b6e0-4374635066b7"]}],"mendeley":{"formattedCitation":"(Tryastuti, 2018)","manualFormatting":"Tryastuti (2018)","plainTextFormattedCitation":"(Tryastuti, 2018)","previouslyFormattedCitation":"(Tryastuti, 2018)"},"properties":{"noteIndex":0},"schema":"https://github.com/citation-style-language/schema/raw/master/csl-citation.json"}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Tryastuti (2018)</w:t>
      </w:r>
      <w:r w:rsidRPr="00164A04">
        <w:rPr>
          <w:rFonts w:ascii="Segoe UI" w:hAnsi="Segoe UI" w:cs="Segoe UI"/>
          <w:sz w:val="20"/>
          <w:szCs w:val="20"/>
        </w:rPr>
        <w:fldChar w:fldCharType="end"/>
      </w:r>
      <w:r w:rsidRPr="00164A04">
        <w:rPr>
          <w:rFonts w:ascii="Segoe UI" w:hAnsi="Segoe UI" w:cs="Segoe UI"/>
          <w:sz w:val="20"/>
          <w:szCs w:val="20"/>
        </w:rPr>
        <w:t xml:space="preserve"> bahwa dewasa yang tidak mempertahankan IMT normal lebh berisiko 14,93 kali untuk mengalami prehipertensi dibandingkan dewasa dengan IMT normal. Hal ini didukung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Rahman","given":"Ashfikur","non-dropping-particle":"","parse-names":false,"suffix":""},{"dropping-particle":"","family":"Parvez","given":"Mahmood","non-dropping-particle":"","parse-names":false,"suffix":""},{"dropping-particle":"","family":"Ratul","given":"Henry","non-dropping-particle":"","parse-names":false,"suffix":""},{"dropping-particle":"","family":"Narayan","given":"Uday","non-dropping-particle":"","parse-names":false,"suffix":""},{"dropping-particle":"","family":"Kanti","given":"Sabuj","non-dropping-particle":"","parse-names":false,"suffix":""}],"id":"ITEM-1","issue":"July","issued":{"date-parts":[["2021"]]},"title":"Prevalence of and factors associated with prehypertension and hypertension among Bangladeshi young adults : An analysis of the Bangladesh Demographic and Health Survey 2017 – 18","type":"article-journal","volume":"12"},"uris":["http://www.mendeley.com/documents/?uuid=a95b5aac-5484-4494-a2c7-af83df9efadc"]}],"mendeley":{"formattedCitation":"(Rahman et al., 2021)","manualFormatting":"Rahman et al (2021)","plainTextFormattedCitation":"(Rahman et al., 2021)","previouslyFormattedCitation":"(Rahman et al., 2021)"},"properties":{"noteIndex":0},"schema":"https://github.com/citation-style-language/schema/raw/master/csl-citation.json"}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Rahman et al (2021)</w:t>
      </w:r>
      <w:r w:rsidRPr="00164A04">
        <w:rPr>
          <w:rFonts w:ascii="Segoe UI" w:hAnsi="Segoe UI" w:cs="Segoe UI"/>
          <w:sz w:val="20"/>
          <w:szCs w:val="20"/>
        </w:rPr>
        <w:fldChar w:fldCharType="end"/>
      </w:r>
      <w:r w:rsidRPr="00164A04">
        <w:rPr>
          <w:rFonts w:ascii="Segoe UI" w:hAnsi="Segoe UI" w:cs="Segoe UI"/>
          <w:sz w:val="20"/>
          <w:szCs w:val="20"/>
        </w:rPr>
        <w:t xml:space="preserve"> bahwa orang dengan berat badan lebih atau obesitas yang berisiko terjadinya prehipertensi atau hipertensi dibandingkan orang dengan berat badan kurang, namun orang dengan berat badan normal juga berpeluang 1,72 kali untuk mengalami prehipertensi jika tidak melakukan manajemen prehipertensi dengan mempertahankan IMT normal. Hal ini juga diperkuat penelitian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{"citationItems":[{"id":"ITEM-1","itemData":{"author":[{"dropping-particle":"","family":"Ramadhan","given":"Aji","non-dropping-particle":"","parse-names":false,"suffix":""},{"dropping-particle":"","family":"Djajakusumah","given":"Tony S","non-dropping-particle":"","parse-names":false,"suffix":""}],"container-title":"Prosiding Kedokteran","id":"ITEM-1","issued":{"date-parts":[["2021"]]},"page":"284-287","title":"Hubungan antara Indeks Massa Tubuh dan Grade Hipertensi pada Pasien Hipertensi Rawat Jalan Lansia di Poliklinik Jantung RSUD Al-Ihsan Kabupaten Bandung Tahun 2019","type":"article-journal","volume":"7"},"uris":["http://www.mendeley.com/documents/?uuid=bde58b6b-2f58-4647-b90f-06852d2528c4"]}],"mendeley":{"formattedCitation":"(Ramadhan &amp; Djajakusumah, 2021)","manualFormatting":"Ramadhan &amp; Djajakusumah (2021)","plainTextFormattedCitation":"(Ramadhan &amp; Djajakusumah, 2021)","previouslyFormattedCitation":"(Ramadhan &amp; Djajakusumah, 2021)"},"properties":{"noteIndex":0},"schema":"https://github.com/citation-style-language/schema/raw/master/csl-citation.json"}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Ramadhan &amp; Djajakusumah (2021)</w:t>
      </w:r>
      <w:r w:rsidRPr="00164A04">
        <w:rPr>
          <w:rFonts w:ascii="Segoe UI" w:hAnsi="Segoe UI" w:cs="Segoe UI"/>
          <w:sz w:val="20"/>
          <w:szCs w:val="20"/>
        </w:rPr>
        <w:fldChar w:fldCharType="end"/>
      </w:r>
      <w:r w:rsidRPr="00164A04">
        <w:rPr>
          <w:rFonts w:ascii="Segoe UI" w:hAnsi="Segoe UI" w:cs="Segoe UI"/>
          <w:b/>
          <w:sz w:val="20"/>
          <w:szCs w:val="20"/>
        </w:rPr>
        <w:t xml:space="preserve"> </w:t>
      </w:r>
      <w:r w:rsidRPr="00164A04">
        <w:rPr>
          <w:rFonts w:ascii="Segoe UI" w:hAnsi="Segoe UI" w:cs="Segoe UI"/>
          <w:sz w:val="20"/>
          <w:szCs w:val="20"/>
        </w:rPr>
        <w:t>bahwa IMT sangat mempengaruhi seseorang untuk mengalami tekanan darah tinggi yaitu sebanyak 47% responden dengan obesitas mengalami hipertensi.</w:t>
      </w:r>
    </w:p>
    <w:p w:rsidR="001A1E95" w:rsidRPr="00164A04" w:rsidRDefault="001A1E95" w:rsidP="00164A04">
      <w:pPr>
        <w:pStyle w:val="ListParagraph"/>
        <w:numPr>
          <w:ilvl w:val="0"/>
          <w:numId w:val="5"/>
        </w:numPr>
        <w:spacing w:line="240" w:lineRule="auto"/>
        <w:jc w:val="both"/>
        <w:rPr>
          <w:rFonts w:ascii="Segoe UI" w:hAnsi="Segoe UI" w:cs="Segoe UI"/>
          <w:sz w:val="20"/>
          <w:szCs w:val="20"/>
        </w:rPr>
      </w:pPr>
      <w:r w:rsidRPr="00164A04">
        <w:rPr>
          <w:rFonts w:ascii="Segoe UI" w:hAnsi="Segoe UI" w:cs="Segoe UI"/>
          <w:sz w:val="20"/>
          <w:szCs w:val="20"/>
        </w:rPr>
        <w:t>Tidak konsumsi alcohol</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t>Berdasarkan hasil penelitian ditemukan bahwa hampir seluruhnya dewasa muda melakukan manajemen prehipertensi dengan tidak konsumsi alcohol yaitu sebanyak 101 dewasa muda dengan prehipertensi (94</w:t>
      </w:r>
      <w:proofErr w:type="gramStart"/>
      <w:r w:rsidRPr="00164A04">
        <w:rPr>
          <w:rFonts w:ascii="Segoe UI" w:hAnsi="Segoe UI" w:cs="Segoe UI"/>
          <w:sz w:val="20"/>
          <w:szCs w:val="20"/>
        </w:rPr>
        <w:t>,4</w:t>
      </w:r>
      <w:proofErr w:type="gramEnd"/>
      <w:r w:rsidRPr="00164A04">
        <w:rPr>
          <w:rFonts w:ascii="Segoe UI" w:hAnsi="Segoe UI" w:cs="Segoe UI"/>
          <w:sz w:val="20"/>
          <w:szCs w:val="20"/>
        </w:rPr>
        <w:t xml:space="preserve">%). Hal ini bertolak belakang dengan penelitian sebelumnya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{"citationItems":[{"id":"ITEM-1","itemData":{"abstract":"The purpose of this cross-sectional study was to identify risk factors in the normotensive and pre-hypertensive group based on the blood pressure results of healthy young adults from the Korean National Health and Nutrition Examination Survey 2018. The participants were 2225 healthy young adults between the ages of 19 and under 45, excluding those with a diagnosis of hypertension or taking antihypertensive medications. Of the 2225 participants, the normotensive group was 1498 (67.3%) and the pre-hypertensive group 727 (32.7%). Determinants of pre-hypertension were analyzed using multiple logistic regression based on a complex sample design. Factors related to pre-hypertension in young adults were age, smoking, waist circumference, diabetes, anemia, cholesterol levels including HDL cholesterol, and uric acid levels. Pre-hypertension is a pre-stage that can prevent the morbidity of hypertension through lifestyle control, so its management is very important. Furthermore, a young adult is a stage in the growth and development of human beings, in which lifestyles such as healthy behaviors, eating habits, and exercise are fixed. Therefore, it is very important to improve lifestyles such as diet, exercise, and smoking cessation and to control risk factors in young adults who are at the pre-hypertension stage for health promotion. Continuous health examinations should be conducted for young adults, and education that can be practiced based on clinical data through this should be implemented for community health.","author":[{"dropping-particle":"","family":"Jang","given":"Insil","non-dropping-particle":"","parse-names":false,"suffix":""}],"id":"ITEM-1","issue":"August 2019","issued":{"date-parts":[["2021"]]},"title":"Pre-Hypertension and Its Determinants in Healthy Young Adults : Analysis of Data from the Korean National Health and Nutrition Examination Survey VII","type":"article-journal"},"uris":["http://www.mendeley.com/documents/?uuid=4171c527-565f-447a-a2fc-db30c08d5b41"]}],"mendeley":{"formattedCitation":"(Jang, 2021)","manualFormatting":"Jang (2021)","plainTextFormattedCitation":"(Jang, 2021)","previouslyFormattedCitation":"(Jang, 2021)"},"properties":{"noteIndex":0},"schema":"https://github.com/citation-style-language/schema/raw/master/csl-citation.json"}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Jang (2021)</w:t>
      </w:r>
      <w:r w:rsidRPr="00164A04">
        <w:rPr>
          <w:rFonts w:ascii="Segoe UI" w:hAnsi="Segoe UI" w:cs="Segoe UI"/>
          <w:sz w:val="20"/>
          <w:szCs w:val="20"/>
        </w:rPr>
        <w:fldChar w:fldCharType="end"/>
      </w:r>
      <w:r w:rsidRPr="00164A04">
        <w:rPr>
          <w:rFonts w:ascii="Segoe UI" w:hAnsi="Segoe UI" w:cs="Segoe UI"/>
          <w:sz w:val="20"/>
          <w:szCs w:val="20"/>
        </w:rPr>
        <w:t xml:space="preserve">, dalam penelitiannya lebih banyak yang konsumsi alcohol (37,0%) dibandingkan dengan yang tidak konsumsi alcohol (29,3%) pada penderita prehipertensi. Penelitian ini menegaskan bahwa pada dewasa muda di Korea tekanan darahnya meningkat karena pola makan yang ke barat baratan dan stress serta diiringi dengan mengonsumsi alcohol. </w:t>
      </w:r>
      <w:proofErr w:type="gramStart"/>
      <w:r w:rsidRPr="00164A04">
        <w:rPr>
          <w:rFonts w:ascii="Segoe UI" w:hAnsi="Segoe UI" w:cs="Segoe UI"/>
          <w:sz w:val="20"/>
          <w:szCs w:val="20"/>
        </w:rPr>
        <w:t>Konsumsi alcohol di Indonesia berbeda dengan di Korea, di Korea minum-minuman merupakan sebuah budaya yang diterima dalam komunitas.</w:t>
      </w:r>
      <w:proofErr w:type="gramEnd"/>
      <w:r w:rsidRPr="00164A04">
        <w:rPr>
          <w:rFonts w:ascii="Segoe UI" w:hAnsi="Segoe UI" w:cs="Segoe UI"/>
          <w:sz w:val="20"/>
          <w:szCs w:val="20"/>
        </w:rPr>
        <w:t xml:space="preserve"> Meskipun deminikian Korea tidak memiliki angka kriminal yang tinggi dibandingkan dengan Indonesia akibit dari konsumsi alcohol, karena di Korea tidak suka keributan sehingga tetap aman dan tidak masalah meski banyak orang bermabukan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Dinar","given":"Nancy","non-dropping-particle":"","parse-names":false,"suffix":""}],"editor":[{"dropping-particle":"","family":"Widjajanto","given":"Donna","non-dropping-particle":"","parse-names":false,"suffix":""}],"id":"ITEM-1","issued":{"date-parts":[["2013"]]},"publisher":"PT Gramedia Pustaka Utama","publisher-place":"Jakarta","title":"Korea A to Z","type":"book"},"uris":["http://www.mendeley.com/documents/?uuid=4c6760a1-6d43-4112-a842-01457cd86e83"]}],"mendeley":{"formattedCitation":"(Dinar, 2013)","plainTextFormattedCitation":"(Dinar, 2013)","previouslyFormattedCitation":"(Dinar, 2013)"},"properties":{"noteIndex":0},"schema":"https://github.com/citation-style-language/schema/raw/master/csl-citation.json"}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(Dinar, 2013)</w:t>
      </w:r>
      <w:r w:rsidRPr="00164A04">
        <w:rPr>
          <w:rFonts w:ascii="Segoe UI" w:hAnsi="Segoe UI" w:cs="Segoe UI"/>
          <w:sz w:val="20"/>
          <w:szCs w:val="20"/>
        </w:rPr>
        <w:fldChar w:fldCharType="end"/>
      </w:r>
      <w:r w:rsidRPr="00164A04">
        <w:rPr>
          <w:rFonts w:ascii="Segoe UI" w:hAnsi="Segoe UI" w:cs="Segoe UI"/>
          <w:sz w:val="20"/>
          <w:szCs w:val="20"/>
        </w:rPr>
        <w:t xml:space="preserve">. Kelompok </w:t>
      </w:r>
      <w:r w:rsidRPr="00164A04">
        <w:rPr>
          <w:rFonts w:ascii="Segoe UI" w:hAnsi="Segoe UI" w:cs="Segoe UI"/>
          <w:sz w:val="20"/>
          <w:szCs w:val="20"/>
        </w:rPr>
        <w:lastRenderedPageBreak/>
        <w:t xml:space="preserve">umur terbanyak yang mengonsumsi alcohol yaitu umur 20-14 tahun (6,4%)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{"citationItems":[{"id":"ITEM-1","itemData":{"author":[{"dropping-particle":"","family":"Kementrian Kesehatan RI","given":"","non-dropping-particle":"","parse-names":false,"suffix":""}],"id":"ITEM-1","issued":{"date-parts":[["2019"]]},"title":"Laporan Nasional, Riskesdas 2018","type":"article"},"uris":["http://www.mendeley.com/documents/?uuid=6f375b69-a3f5-4c55-a03a-44215df2e172"]}],"mendeley":{"formattedCitation":"(Kementrian Kesehatan RI, 2019)","plainTextFormattedCitation":"(Kementrian Kesehatan RI, 2019)","previouslyFormattedCitation":"(Kementrian Kesehatan RI, 2019)"},"properties":{"noteIndex":0},"schema":"https://github.com/citation-style-language/schema/raw/master/csl-citation.json"}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(Kementrian Kesehatan RI, 2019)</w:t>
      </w:r>
      <w:r w:rsidRPr="00164A04">
        <w:rPr>
          <w:rFonts w:ascii="Segoe UI" w:hAnsi="Segoe UI" w:cs="Segoe UI"/>
          <w:sz w:val="20"/>
          <w:szCs w:val="20"/>
        </w:rPr>
        <w:fldChar w:fldCharType="end"/>
      </w:r>
      <w:r w:rsidRPr="00164A04">
        <w:rPr>
          <w:rFonts w:ascii="Segoe UI" w:hAnsi="Segoe UI" w:cs="Segoe UI"/>
          <w:sz w:val="20"/>
          <w:szCs w:val="20"/>
        </w:rPr>
        <w:t xml:space="preserve">, begitu pun dalam penelitian ini yang konsumsi alcohol dengan usia 18-27 tahun. </w:t>
      </w:r>
    </w:p>
    <w:p w:rsidR="001A1E95" w:rsidRPr="00164A04" w:rsidRDefault="001A1E95" w:rsidP="00164A04">
      <w:pPr>
        <w:pStyle w:val="ListParagraph"/>
        <w:numPr>
          <w:ilvl w:val="0"/>
          <w:numId w:val="6"/>
        </w:numPr>
        <w:spacing w:line="240" w:lineRule="auto"/>
        <w:jc w:val="both"/>
        <w:rPr>
          <w:rFonts w:ascii="Segoe UI" w:hAnsi="Segoe UI" w:cs="Segoe UI"/>
          <w:sz w:val="20"/>
          <w:szCs w:val="20"/>
        </w:rPr>
      </w:pPr>
      <w:r w:rsidRPr="00164A04">
        <w:rPr>
          <w:rFonts w:ascii="Segoe UI" w:hAnsi="Segoe UI" w:cs="Segoe UI"/>
          <w:sz w:val="20"/>
          <w:szCs w:val="20"/>
        </w:rPr>
        <w:t>Tidak merokok</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t>Berdasarkan hasil penelitian ditemukan bahwa sebagian besar dewasa muda melakukan manajemen prehipertensi dengan tidak merokok yaitu sebanyak 83 dewasa muda dengan prehipertensi (73</w:t>
      </w:r>
      <w:proofErr w:type="gramStart"/>
      <w:r w:rsidRPr="00164A04">
        <w:rPr>
          <w:rFonts w:ascii="Segoe UI" w:hAnsi="Segoe UI" w:cs="Segoe UI"/>
          <w:sz w:val="20"/>
          <w:szCs w:val="20"/>
        </w:rPr>
        <w:t>,8</w:t>
      </w:r>
      <w:proofErr w:type="gramEnd"/>
      <w:r w:rsidRPr="00164A04">
        <w:rPr>
          <w:rFonts w:ascii="Segoe UI" w:hAnsi="Segoe UI" w:cs="Segoe UI"/>
          <w:sz w:val="20"/>
          <w:szCs w:val="20"/>
        </w:rPr>
        <w:t xml:space="preserve">%). Hal ini bertolak belakang dengan penelitian sebelumnya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{"citationItems":[{"id":"ITEM-1","itemData":{"author":[{"dropping-particle":"","family":"Rafan","given":"Siti Nurhani","non-dropping-particle":"","parse-names":false,"suffix":""},{"dropping-particle":"","family":"Zakaria","given":"Rosnani","non-dropping-particle":"","parse-names":false,"suffix":""},{"dropping-particle":"","family":"Ismail","given":"Shaiful Bahari","non-dropping-particle":"","parse-names":false,"suffix":""},{"dropping-particle":"","family":"Muhamad","given":"Rosediani","non-dropping-particle":"","parse-names":false,"suffix":""}],"id":"ITEM-1","issued":{"date-parts":[["2018"]]},"title":"Prevalence of prehypertension and its associated factors among adults visiting outpatient clinic in Northeast Malaysia","type":"article-journal","volume":"13"},"uris":["http://www.mendeley.com/documents/?uuid=02529367-b9b5-43d0-8196-e6bffbebb2e9"]}],"mendeley":{"formattedCitation":"(Rafan et al., 2018)","manualFormatting":"Rafan et al (2018)","plainTextFormattedCitation":"(Rafan et al., 2018)","previouslyFormattedCitation":"(Rafan et al., 2018)"},"properties":{"noteIndex":0},"schema":"https://github.com/citation-style-language/schema/raw/master/csl-citation.json"}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Rafan et al (2018)</w:t>
      </w:r>
      <w:r w:rsidRPr="00164A04">
        <w:rPr>
          <w:rFonts w:ascii="Segoe UI" w:hAnsi="Segoe UI" w:cs="Segoe UI"/>
          <w:sz w:val="20"/>
          <w:szCs w:val="20"/>
        </w:rPr>
        <w:fldChar w:fldCharType="end"/>
      </w:r>
      <w:r w:rsidRPr="00164A04">
        <w:rPr>
          <w:rFonts w:ascii="Segoe UI" w:hAnsi="Segoe UI" w:cs="Segoe UI"/>
          <w:sz w:val="20"/>
          <w:szCs w:val="20"/>
        </w:rPr>
        <w:t xml:space="preserve"> bahwa orang dengan prehipertensi di Malaysia lebih banyak yang merokok (68,8%) dibandingkan dengan yang tidak merokok. Keinginan seseorang merokok karna 3 hal (ajakan teman, rasa ingin mencoba, dan pengaruh iklan yang menarik)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{"citationItems":[{"id":"ITEM-1","itemData":{"author":[{"dropping-particle":"","family":"Ridwan","given":"Muhamad","non-dropping-particle":"","parse-names":false,"suffix":""}],"id":"ITEM-1","issued":{"date-parts":[["2017"]]},"publisher":"Romawi Press","publisher-place":"Yogyakarta","title":"Mengenal, Mencegah, Dan Mengatasi Silent Killer Hipertensi","type":"book"},"uris":["http://www.mendeley.com/documents/?uuid=e635767e-d79e-452b-a28f-4b4380a0330a"]}],"mendeley":{"formattedCitation":"(Ridwan, 2017)","plainTextFormattedCitation":"(Ridwan, 2017)","previouslyFormattedCitation":"(Ridwan, 2017)"},"properties":{"noteIndex":0},"schema":"https://github.com/citation-style-language/schema/raw/master/csl-citation.json"}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(Ridwan, 2017)</w:t>
      </w:r>
      <w:r w:rsidRPr="00164A04">
        <w:rPr>
          <w:rFonts w:ascii="Segoe UI" w:hAnsi="Segoe UI" w:cs="Segoe UI"/>
          <w:sz w:val="20"/>
          <w:szCs w:val="20"/>
        </w:rPr>
        <w:fldChar w:fldCharType="end"/>
      </w:r>
      <w:r w:rsidRPr="00164A04">
        <w:rPr>
          <w:rFonts w:ascii="Segoe UI" w:hAnsi="Segoe UI" w:cs="Segoe UI"/>
          <w:sz w:val="20"/>
          <w:szCs w:val="20"/>
        </w:rPr>
        <w:t xml:space="preserve">. Hasil penelitian ini sejalan bahwa rata-rata </w:t>
      </w:r>
      <w:proofErr w:type="gramStart"/>
      <w:r w:rsidRPr="00164A04">
        <w:rPr>
          <w:rFonts w:ascii="Segoe UI" w:hAnsi="Segoe UI" w:cs="Segoe UI"/>
          <w:sz w:val="20"/>
          <w:szCs w:val="20"/>
        </w:rPr>
        <w:t>usia</w:t>
      </w:r>
      <w:proofErr w:type="gramEnd"/>
      <w:r w:rsidRPr="00164A04">
        <w:rPr>
          <w:rFonts w:ascii="Segoe UI" w:hAnsi="Segoe UI" w:cs="Segoe UI"/>
          <w:sz w:val="20"/>
          <w:szCs w:val="20"/>
        </w:rPr>
        <w:t xml:space="preserve"> dewasa muda dengan prhipertensi yang merokok yaitu sekitar 18-29 tahun. Usia rentang 18-19 tahun merupakan masa pembentukan yang dimana seseorang mulai mengembangakn persahabatan, sehingga pergaulan sangatlah berpengaruh bagi penderita prehipertensi dengan merokok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{"citationItems":[{"id":"ITEM-1","itemData":{"author":[{"dropping-particle":"","family":"Darmareja","given":"Rycco","non-dropping-particle":"","parse-names":false,"suffix":""},{"dropping-particle":"","family":"Sihombng","given":"riama marlyn","non-dropping-particle":"","parse-names":false,"suffix":""},{"dropping-particle":"","family":"Mukhoirotin","given":"","non-dropping-particle":"","parse-names":false,"suffix":""},{"dropping-particle":"","family":"Haro","given":"Masta","non-dropping-particle":"","parse-names":false,"suffix":""},{"dropping-particle":"","family":"Sari","given":"tesha hestyana","non-dropping-particle":"","parse-names":false,"suffix":""},{"dropping-particle":"","family":"Rantung","given":"Jeanny","non-dropping-particle":"","parse-names":false,"suffix":""},{"dropping-particle":"","family":"Wulandari","given":"imanuel sri mei","non-dropping-particle":"","parse-names":false,"suffix":""},{"dropping-particle":"","family":"Suwarto","given":"Tri","non-dropping-particle":"","parse-names":false,"suffix":""},{"dropping-particle":"","family":"Hutapea","given":"adventina delima","non-dropping-particle":"","parse-names":false,"suffix":""}],"editor":[{"dropping-particle":"","family":"Watrianthos","given":"Ronal","non-dropping-particle":"","parse-names":false,"suffix":""}],"id":"ITEM-1","issued":{"date-parts":[["2021"]]},"publisher":"yayasan kita menulis","publisher-place":"medan","title":"Dasar-Dasar Keperawatan : Konsep Untuk Mahasiswa Keperawatan.","type":"book"},"uris":["http://www.mendeley.com/documents/?uuid=540b4923-0c4a-4b76-9909-45422f4a44e3"]}],"mendeley":{"formattedCitation":"(Darmareja et al., 2021)","plainTextFormattedCitation":"(Darmareja et al., 2021)","previouslyFormattedCitation":"(Darmareja et al., 2021)"},"properties":{"noteIndex":0},"schema":"https://github.com/citation-style-language/schema/raw/master/csl-citation.json"}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(Darmareja et al., 2021)</w:t>
      </w:r>
      <w:r w:rsidRPr="00164A04">
        <w:rPr>
          <w:rFonts w:ascii="Segoe UI" w:hAnsi="Segoe UI" w:cs="Segoe UI"/>
          <w:sz w:val="20"/>
          <w:szCs w:val="20"/>
        </w:rPr>
        <w:fldChar w:fldCharType="end"/>
      </w:r>
      <w:r w:rsidRPr="00164A04">
        <w:rPr>
          <w:rFonts w:ascii="Segoe UI" w:hAnsi="Segoe UI" w:cs="Segoe UI"/>
          <w:sz w:val="20"/>
          <w:szCs w:val="20"/>
        </w:rPr>
        <w:t>.</w:t>
      </w:r>
    </w:p>
    <w:p w:rsidR="00424BAB" w:rsidRPr="00164A04" w:rsidRDefault="001A1E95" w:rsidP="00164A04">
      <w:pPr>
        <w:pStyle w:val="ListParagraph"/>
        <w:numPr>
          <w:ilvl w:val="0"/>
          <w:numId w:val="1"/>
        </w:numPr>
        <w:spacing w:line="240" w:lineRule="auto"/>
        <w:jc w:val="both"/>
        <w:rPr>
          <w:rFonts w:ascii="Segoe UI" w:hAnsi="Segoe UI" w:cs="Segoe UI"/>
          <w:sz w:val="20"/>
          <w:szCs w:val="20"/>
        </w:rPr>
      </w:pPr>
      <w:r w:rsidRPr="00164A04">
        <w:rPr>
          <w:rFonts w:ascii="Segoe UI" w:hAnsi="Segoe UI" w:cs="Segoe UI"/>
          <w:sz w:val="20"/>
          <w:szCs w:val="20"/>
        </w:rPr>
        <w:t>Konsumsi garam kurang dari 1 sdt per hari</w:t>
      </w:r>
    </w:p>
    <w:p w:rsidR="001A1E95" w:rsidRPr="00164A04" w:rsidRDefault="00424BAB"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r>
      <w:r w:rsidR="001A1E95" w:rsidRPr="00164A04">
        <w:rPr>
          <w:rFonts w:ascii="Segoe UI" w:hAnsi="Segoe UI" w:cs="Segoe UI"/>
          <w:sz w:val="20"/>
          <w:szCs w:val="20"/>
        </w:rPr>
        <w:t>Berdasarkan hasil penelitian ditemukan bahwa sebagian besar dewasa muda tidak melakukan manajemen prehipertensi dengan konsumsi garam kurang dari 1 sdt yaitu sebanyak 59 dewasa muda dengan prehipertensi (55</w:t>
      </w:r>
      <w:proofErr w:type="gramStart"/>
      <w:r w:rsidR="001A1E95" w:rsidRPr="00164A04">
        <w:rPr>
          <w:rFonts w:ascii="Segoe UI" w:hAnsi="Segoe UI" w:cs="Segoe UI"/>
          <w:sz w:val="20"/>
          <w:szCs w:val="20"/>
        </w:rPr>
        <w:t>,1</w:t>
      </w:r>
      <w:proofErr w:type="gramEnd"/>
      <w:r w:rsidR="001A1E95" w:rsidRPr="00164A04">
        <w:rPr>
          <w:rFonts w:ascii="Segoe UI" w:hAnsi="Segoe UI" w:cs="Segoe UI"/>
          <w:sz w:val="20"/>
          <w:szCs w:val="20"/>
        </w:rPr>
        <w:t xml:space="preserve">%). Menurut data Riskesdas 2018 bahwa Jawa Barat merupkan provinsi dengan kebiasaan konsumsi makanan asin (≥1 kali per hari) tertinggi yaitu 54,1% dan sebagain besar tidak bekerja (30,3%)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{"citationItems":[{"id":"ITEM-1","itemData":{"author":[{"dropping-particle":"","family":"Kementrian Kesehatan RI","given":"","non-dropping-particle":"","parse-names":false,"suffix":""}],"id":"ITEM-1","issued":{"date-parts":[["2019"]]},"title":"Laporan Nasional, Riskesdas 2018","type":"article"},"uris":["http://www.mendeley.com/documents/?uuid=6f375b69-a3f5-4c55-a03a-44215df2e172"]}],"mendeley":{"formattedCitation":"(Kementrian Kesehatan RI, 2019)","plainTextFormattedCitation":"(Kementrian Kesehatan RI, 2019)","previouslyFormattedCitation":"(Kementrian Kesehatan RI, 2019)"},"properties":{"noteIndex":0},"schema":"https://github.com/citation-style-language/schema/raw/master/csl-citation.json"}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(Kementrian Kesehatan RI, 2019)</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w:t>
      </w:r>
      <w:proofErr w:type="gramStart"/>
      <w:r w:rsidR="001A1E95" w:rsidRPr="00164A04">
        <w:rPr>
          <w:rFonts w:ascii="Segoe UI" w:hAnsi="Segoe UI" w:cs="Segoe UI"/>
          <w:sz w:val="20"/>
          <w:szCs w:val="20"/>
        </w:rPr>
        <w:t>Hasil dari penelitian ini sejalan dengan laporan Riskesdas bahwa kebiasaan konsumsi makanan asin sebagain besar status pekerjaannya yaitu tidak bekerja atau sebagai Ibu Rumah Tangga.</w:t>
      </w:r>
      <w:proofErr w:type="gramEnd"/>
      <w:r w:rsidR="001A1E95" w:rsidRPr="00164A04">
        <w:rPr>
          <w:rFonts w:ascii="Segoe UI" w:hAnsi="Segoe UI" w:cs="Segoe UI"/>
          <w:sz w:val="20"/>
          <w:szCs w:val="20"/>
        </w:rPr>
        <w:t xml:space="preserve"> Hasil dari penelitian ini </w:t>
      </w:r>
      <w:r w:rsidR="001A1E95" w:rsidRPr="00164A04">
        <w:rPr>
          <w:rFonts w:ascii="Segoe UI" w:hAnsi="Segoe UI" w:cs="Segoe UI"/>
          <w:sz w:val="20"/>
          <w:szCs w:val="20"/>
        </w:rPr>
        <w:lastRenderedPageBreak/>
        <w:t xml:space="preserve">didukung oleh penelitian sebelumnya di India Selatan oleh </w:t>
      </w:r>
      <w:r w:rsidR="001A1E95" w:rsidRPr="00164A04">
        <w:rPr>
          <w:rFonts w:ascii="Segoe UI" w:hAnsi="Segoe UI" w:cs="Segoe UI"/>
          <w:sz w:val="20"/>
          <w:szCs w:val="20"/>
        </w:rPr>
        <w:fldChar w:fldCharType="begin" w:fldLock="1"/>
      </w:r>
      <w:r w:rsidR="001A1E95" w:rsidRPr="00164A04">
        <w:rPr>
          <w:rFonts w:ascii="Segoe UI" w:hAnsi="Segoe UI" w:cs="Segoe UI"/>
          <w:sz w:val="20"/>
          <w:szCs w:val="20"/>
        </w:rPr>
        <w:instrText>ADDIN CSL_CITATION {"citationItems":[{"id":"ITEM-1","itemData":{"DOI":"10.4103/ijpvm.IJPVM","author":[{"dropping-particle":"","family":"Selvaraj","given":"sitanshu sekahr kar kalaiselvi","non-dropping-particle":"","parse-names":false,"suffix":""},{"dropping-particle":"","family":"Ramaswamy","given":"Gomathi","non-dropping-particle":"","parse-names":false,"suffix":""},{"dropping-particle":"","family":"Kalidoss","given":"K C premarajan ganesh kumar saya vinodhkumar","non-dropping-particle":"","parse-names":false,"suffix":""}],"container-title":"International Journal of Preventive Medicine","id":"ITEM-1","issued":{"date-parts":[["2020"]]},"title":"High Prevalence of Prehypertension and its Association with Modifiable Risk Factors : Findings of Household STEPS Survey from Urban Puducherry, South India","type":"article-journal"},"uris":["http://www.mendeley.com/documents/?uuid=42c21cc0-8de6-4142-9f24-3c8cb8df6010"]}],"mendeley":{"formattedCitation":"(Selvaraj et al., 2020)","manualFormatting":"Selvaraj et al (2020)","plainTextFormattedCitation":"(Selvaraj et al., 2020)","previouslyFormattedCitation":"(Selvaraj et al., 2020)"},"properties":{"noteIndex":0},"schema":"https://github.com/citation-style-language/schema/raw/master/csl-citation.json"}</w:instrText>
      </w:r>
      <w:r w:rsidR="001A1E95" w:rsidRPr="00164A04">
        <w:rPr>
          <w:rFonts w:ascii="Segoe UI" w:hAnsi="Segoe UI" w:cs="Segoe UI"/>
          <w:sz w:val="20"/>
          <w:szCs w:val="20"/>
        </w:rPr>
        <w:fldChar w:fldCharType="separate"/>
      </w:r>
      <w:r w:rsidR="001A1E95" w:rsidRPr="00164A04">
        <w:rPr>
          <w:rFonts w:ascii="Segoe UI" w:hAnsi="Segoe UI" w:cs="Segoe UI"/>
          <w:noProof/>
          <w:sz w:val="20"/>
          <w:szCs w:val="20"/>
        </w:rPr>
        <w:t>Selvaraj et al (2020)</w:t>
      </w:r>
      <w:r w:rsidR="001A1E95" w:rsidRPr="00164A04">
        <w:rPr>
          <w:rFonts w:ascii="Segoe UI" w:hAnsi="Segoe UI" w:cs="Segoe UI"/>
          <w:sz w:val="20"/>
          <w:szCs w:val="20"/>
        </w:rPr>
        <w:fldChar w:fldCharType="end"/>
      </w:r>
      <w:r w:rsidR="001A1E95" w:rsidRPr="00164A04">
        <w:rPr>
          <w:rFonts w:ascii="Segoe UI" w:hAnsi="Segoe UI" w:cs="Segoe UI"/>
          <w:sz w:val="20"/>
          <w:szCs w:val="20"/>
        </w:rPr>
        <w:t xml:space="preserve"> bahwa asupan garam yang tinggi secara signifikan lebih berkaitan dengan kejadian prehipertensi yang akan berdampak menjadi penyakit kardiovaskular seperti hipertensi. </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t xml:space="preserve">Penyebab kebiasaan mengonsumsi makanan asin karena selalu menaruh garam dapur disetiap makanan yang dikonsumsi setiap hari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Bahar","given":"Hartati","non-dropping-particle":"","parse-names":false,"suffix":""},{"dropping-particle":"","family":"Lestari","given":"Hariati","non-dropping-particle":"","parse-names":false,"suffix":""},{"dropping-particle":"","family":"Ratu","given":"Andi","non-dropping-particle":"","parse-names":false,"suffix":""},{"dropping-particle":"","family":"DS","given":"ayu septiana","non-dropping-particle":"","parse-names":false,"suffix":""},{"dropping-particle":"","family":"Rezkillah","given":"albrina roza","non-dropping-particle":"","parse-names":false,"suffix":""},{"dropping-particle":"","family":"Astian","given":"Sri","non-dropping-particle":"","parse-names":false,"suffix":""},{"dropping-particle":"","family":"Wijaya","given":"Nuzul","non-dropping-particle":"","parse-names":false,"suffix":""}],"id":"ITEM-1","issued":{"date-parts":[["2020"]]},"publisher":"Guepedia","publisher-place":"Bogor","title":"Penyuluhan Kesehatan Dengan Pendekatan Epidemiologi Perilaku","type":"book"},"uris":["http://www.mendeley.com/documents/?uuid=9216663e-0532-49ae-bab6-3e83e896d8fe"]}],"mendeley":{"formattedCitation":"(Bahar et al., 2020)","plainTextFormattedCitation":"(Bahar et al., 2020)","previouslyFormattedCitation":"(Bahar et al., 2020)"},"properties":{"noteIndex":0},"schema":"https://github.com/citation-style-language/schema/raw/master/csl-citation.json"}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(Bahar et al., 2020)</w:t>
      </w:r>
      <w:r w:rsidRPr="00164A04">
        <w:rPr>
          <w:rFonts w:ascii="Segoe UI" w:hAnsi="Segoe UI" w:cs="Segoe UI"/>
          <w:sz w:val="20"/>
          <w:szCs w:val="20"/>
        </w:rPr>
        <w:fldChar w:fldCharType="end"/>
      </w:r>
      <w:r w:rsidRPr="00164A04">
        <w:rPr>
          <w:rFonts w:ascii="Segoe UI" w:hAnsi="Segoe UI" w:cs="Segoe UI"/>
          <w:sz w:val="20"/>
          <w:szCs w:val="20"/>
        </w:rPr>
        <w:t xml:space="preserve">. Selain itu </w:t>
      </w:r>
      <w:proofErr w:type="gramStart"/>
      <w:r w:rsidRPr="00164A04">
        <w:rPr>
          <w:rFonts w:ascii="Segoe UI" w:hAnsi="Segoe UI" w:cs="Segoe UI"/>
          <w:sz w:val="20"/>
          <w:szCs w:val="20"/>
        </w:rPr>
        <w:t>usia</w:t>
      </w:r>
      <w:proofErr w:type="gramEnd"/>
      <w:r w:rsidRPr="00164A04">
        <w:rPr>
          <w:rFonts w:ascii="Segoe UI" w:hAnsi="Segoe UI" w:cs="Segoe UI"/>
          <w:sz w:val="20"/>
          <w:szCs w:val="20"/>
        </w:rPr>
        <w:t xml:space="preserve"> juga sangat berpengaruh dalam kebiasaan konsumsi makanan asin. </w:t>
      </w:r>
      <w:proofErr w:type="gramStart"/>
      <w:r w:rsidRPr="00164A04">
        <w:rPr>
          <w:rFonts w:ascii="Segoe UI" w:hAnsi="Segoe UI" w:cs="Segoe UI"/>
          <w:sz w:val="20"/>
          <w:szCs w:val="20"/>
        </w:rPr>
        <w:t>Pada dewasa muda sering kali lebih memilih makanan instant dan cepat saji.</w:t>
      </w:r>
      <w:proofErr w:type="gramEnd"/>
      <w:r w:rsidRPr="00164A04">
        <w:rPr>
          <w:rFonts w:ascii="Segoe UI" w:hAnsi="Segoe UI" w:cs="Segoe UI"/>
          <w:sz w:val="20"/>
          <w:szCs w:val="20"/>
        </w:rPr>
        <w:t xml:space="preserve"> Hal ini sejalan dengan penelitian sebelumnya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{"citationItems":[{"id":"ITEM-1","itemData":{"abstract":"The purpose of this cross-sectional study was to identify risk factors in the normotensive and pre-hypertensive group based on the blood pressure results of healthy young adults from the Korean National Health and Nutrition Examination Survey 2018. The participants were 2225 healthy young adults between the ages of 19 and under 45, excluding those with a diagnosis of hypertension or taking antihypertensive medications. Of the 2225 participants, the normotensive group was 1498 (67.3%) and the pre-hypertensive group 727 (32.7%). Determinants of pre-hypertension were analyzed using multiple logistic regression based on a complex sample design. Factors related to pre-hypertension in young adults were age, smoking, waist circumference, diabetes, anemia, cholesterol levels including HDL cholesterol, and uric acid levels. Pre-hypertension is a pre-stage that can prevent the morbidity of hypertension through lifestyle control, so its management is very important. Furthermore, a young adult is a stage in the growth and development of human beings, in which lifestyles such as healthy behaviors, eating habits, and exercise are fixed. Therefore, it is very important to improve lifestyles such as diet, exercise, and smoking cessation and to control risk factors in young adults who are at the pre-hypertension stage for health promotion. Continuous health examinations should be conducted for young adults, and education that can be practiced based on clinical data through this should be implemented for community health.","author":[{"dropping-particle":"","family":"Jang","given":"Insil","non-dropping-particle":"","parse-names":false,"suffix":""}],"id":"ITEM-1","issue":"August 2019","issued":{"date-parts":[["2021"]]},"title":"Pre-Hypertension and Its Determinants in Healthy Young Adults : Analysis of Data from the Korean National Health and Nutrition Examination Survey VII","type":"article-journal"},"uris":["http://www.mendeley.com/documents/?uuid=4171c527-565f-447a-a2fc-db30c08d5b41"]}],"mendeley":{"formattedCitation":"(Jang, 2021)","manualFormatting":"Jang (2021)","plainTextFormattedCitation":"(Jang, 2021)","previouslyFormattedCitation":"(Jang, 2021)"},"properties":{"noteIndex":0},"schema":"https://github.com/citation-style-language/schema/raw/master/csl-citation.json"}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Jang (2021)</w:t>
      </w:r>
      <w:r w:rsidRPr="00164A04">
        <w:rPr>
          <w:rFonts w:ascii="Segoe UI" w:hAnsi="Segoe UI" w:cs="Segoe UI"/>
          <w:sz w:val="20"/>
          <w:szCs w:val="20"/>
        </w:rPr>
        <w:fldChar w:fldCharType="end"/>
      </w:r>
      <w:r w:rsidRPr="00164A04">
        <w:rPr>
          <w:rFonts w:ascii="Segoe UI" w:hAnsi="Segoe UI" w:cs="Segoe UI"/>
          <w:sz w:val="20"/>
          <w:szCs w:val="20"/>
        </w:rPr>
        <w:t xml:space="preserve"> bahwa gaya hidup dewasa muda pada tahap prehipertensi perlu diperbaiki seperti kebiasaan makan, sehingga dapat meningkatkan status kesehatan seseorang. </w:t>
      </w:r>
    </w:p>
    <w:p w:rsidR="001A1E95" w:rsidRPr="00164A04" w:rsidRDefault="001A1E95" w:rsidP="00164A04">
      <w:pPr>
        <w:pStyle w:val="ListParagraph"/>
        <w:numPr>
          <w:ilvl w:val="0"/>
          <w:numId w:val="1"/>
        </w:numPr>
        <w:spacing w:line="240" w:lineRule="auto"/>
        <w:jc w:val="both"/>
        <w:rPr>
          <w:rFonts w:ascii="Segoe UI" w:hAnsi="Segoe UI" w:cs="Segoe UI"/>
          <w:sz w:val="20"/>
          <w:szCs w:val="20"/>
        </w:rPr>
      </w:pPr>
      <w:r w:rsidRPr="00164A04">
        <w:rPr>
          <w:rFonts w:ascii="Segoe UI" w:hAnsi="Segoe UI" w:cs="Segoe UI"/>
          <w:sz w:val="20"/>
          <w:szCs w:val="20"/>
        </w:rPr>
        <w:t>Konsumsi sayur 4-5 mangkuk per hari</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t>Berdasarkan hasil penelitian ditemukan bahwa sebagian besar dewasa muda tidak melakukan manajemen prehipertensi dengan konsumsi sayur 4-5 mangkuk per hari yaitu sebanyak 72 dewasa muda dengan prehipertensi (67</w:t>
      </w:r>
      <w:proofErr w:type="gramStart"/>
      <w:r w:rsidRPr="00164A04">
        <w:rPr>
          <w:rFonts w:ascii="Segoe UI" w:hAnsi="Segoe UI" w:cs="Segoe UI"/>
          <w:sz w:val="20"/>
          <w:szCs w:val="20"/>
        </w:rPr>
        <w:t>,3</w:t>
      </w:r>
      <w:proofErr w:type="gramEnd"/>
      <w:r w:rsidRPr="00164A04">
        <w:rPr>
          <w:rFonts w:ascii="Segoe UI" w:hAnsi="Segoe UI" w:cs="Segoe UI"/>
          <w:sz w:val="20"/>
          <w:szCs w:val="20"/>
        </w:rPr>
        <w:t xml:space="preserve">%). Hal ini sejalan dengan penelitian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{"citationItems":[{"id":"ITEM-1","itemData":{"DOI":"10.4103/ijpvm.IJPVM","author":[{"dropping-particle":"","family":"Selvaraj","given":"sitanshu sekahr kar kalaiselvi","non-dropping-particle":"","parse-names":false,"suffix":""},{"dropping-particle":"","family":"Ramaswamy","given":"Gomathi","non-dropping-particle":"","parse-names":false,"suffix":""},{"dropping-particle":"","family":"Kalidoss","given":"K C premarajan ganesh kumar saya vinodhkumar","non-dropping-particle":"","parse-names":false,"suffix":""}],"container-title":"International Journal of Preventive Medicine","id":"ITEM-1","issued":{"date-parts":[["2020"]]},"title":"High Prevalence of Prehypertension and its Association with Modifiable Risk Factors : Findings of Household STEPS Survey from Urban Puducherry, South India","type":"article-journal"},"uris":["http://www.mendeley.com/documents/?uuid=42c21cc0-8de6-4142-9f24-3c8cb8df6010"]}],"mendeley":{"formattedCitation":"(Selvaraj et al., 2020)","manualFormatting":"Selvaraj et al (2020)","plainTextFormattedCitation":"(Selvaraj et al., 2020)","previouslyFormattedCitation":"(Selvaraj et al., 2020)"},"properties":{"noteIndex":0},"schema":"https://github.com/citation-style-language/schema/raw/master/csl-citation.json"}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Selvaraj et al (2020)</w:t>
      </w:r>
      <w:r w:rsidRPr="00164A04">
        <w:rPr>
          <w:rFonts w:ascii="Segoe UI" w:hAnsi="Segoe UI" w:cs="Segoe UI"/>
          <w:sz w:val="20"/>
          <w:szCs w:val="20"/>
        </w:rPr>
        <w:fldChar w:fldCharType="end"/>
      </w:r>
      <w:r w:rsidRPr="00164A04">
        <w:rPr>
          <w:rFonts w:ascii="Segoe UI" w:hAnsi="Segoe UI" w:cs="Segoe UI"/>
          <w:sz w:val="20"/>
          <w:szCs w:val="20"/>
        </w:rPr>
        <w:t xml:space="preserve"> dalam penelitiannya terdapat 97,7% pada dewasa dengan prehipertensi yang kurang konsumsi sayur. </w:t>
      </w:r>
      <w:proofErr w:type="gramStart"/>
      <w:r w:rsidRPr="00164A04">
        <w:rPr>
          <w:rFonts w:ascii="Segoe UI" w:hAnsi="Segoe UI" w:cs="Segoe UI"/>
          <w:sz w:val="20"/>
          <w:szCs w:val="20"/>
        </w:rPr>
        <w:t>Usia</w:t>
      </w:r>
      <w:proofErr w:type="gramEnd"/>
      <w:r w:rsidRPr="00164A04">
        <w:rPr>
          <w:rFonts w:ascii="Segoe UI" w:hAnsi="Segoe UI" w:cs="Segoe UI"/>
          <w:sz w:val="20"/>
          <w:szCs w:val="20"/>
        </w:rPr>
        <w:t xml:space="preserve"> sangat berpengaruh dalam kebiasaan konsumsi sayur, dewasa merupakana usia peralihan dari remaja. Kebiasaan buruk saaat remaja bisa jadi akan terus dilakukan hingga dewasa, kebiasaan buruk tersebut seperti kurang mengonsumsi sayur dan lebih memilih makanan cepat saji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{"citationItems":[{"id":"ITEM-1","itemData":{"author":[{"dropping-particle":"","family":"Arundhana","given":"andi imam","non-dropping-particle":"","parse-names":false,"suffix":""},{"dropping-particle":"","family":"Masnar","given":"Asriadi","non-dropping-particle":"","parse-names":false,"suffix":""}],"id":"ITEM-1","issued":{"date-parts":[["2021"]]},"publisher":"CV. Edugizi Pratama Indonesia","publisher-place":"Depok","title":"Obesitas Anak dan Remaja (Faktor Risiko, Pencegahan, dan Isu Terkini)","type":"book"},"uris":["http://www.mendeley.com/documents/?uuid=1be86af9-2ad7-4b78-a2d4-8f4b3c6cd53a"]}],"mendeley":{"formattedCitation":"(Arundhana &amp; Masnar, 2021)","plainTextFormattedCitation":"(Arundhana &amp; Masnar, 2021)","previouslyFormattedCitation":"(Arundhana &amp; Masnar, 2021)"},"properties":{"noteIndex":0},"schema":"https://github.com/citation-style-language/schema/raw/master/csl-citation.json"}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(Arundhana &amp; Masnar, 2021)</w:t>
      </w:r>
      <w:r w:rsidRPr="00164A04">
        <w:rPr>
          <w:rFonts w:ascii="Segoe UI" w:hAnsi="Segoe UI" w:cs="Segoe UI"/>
          <w:sz w:val="20"/>
          <w:szCs w:val="20"/>
        </w:rPr>
        <w:fldChar w:fldCharType="end"/>
      </w:r>
      <w:r w:rsidRPr="00164A04">
        <w:rPr>
          <w:rFonts w:ascii="Segoe UI" w:hAnsi="Segoe UI" w:cs="Segoe UI"/>
          <w:sz w:val="20"/>
          <w:szCs w:val="20"/>
        </w:rPr>
        <w:t xml:space="preserve">. Menurut data Riskesdas (2018) menemukan bahwa sekitar 95,4%  masyarakat Indonesia  kurang konsumsi buah dan sayur, Jawa Barat merupakan provinsi dengan prevalensi tertinggi dengan penduduk usia ≥5 tahun kurang kunsumsi sayur yaitu 98,1%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{"citationItems":[{"id":"ITEM-1","itemData":{"author":[{"dropping-particle":"","family":"Kementrian Kesehatan RI","given":"","non-dropping-particle":"","parse-names":false,"suffix":""}],"id":"ITEM-1","issued":{"date-parts":[["2019"]]},"title":"Laporan Nasional, Riskesdas 2018","type":"article"},"uris":["http://www.mendeley.com/documents/?uuid=6f375b69-a3f5-4c55-a03a-44215df2e172"]}],"mendeley":{"formattedCitation":"(Kementrian Kesehatan RI, 2019)","plainTextFormattedCitation":"(Kementrian Kesehatan RI, 2019)","previouslyFormattedCitation":"(Kementrian Kesehatan RI, 2019)"},"properties":{"noteIndex":0},"schema":"https://github.com/citation-style-language/schema/raw/master/csl-citation.json"}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(Kementrian Kesehatan RI, 2019)</w:t>
      </w:r>
      <w:r w:rsidRPr="00164A04">
        <w:rPr>
          <w:rFonts w:ascii="Segoe UI" w:hAnsi="Segoe UI" w:cs="Segoe UI"/>
          <w:sz w:val="20"/>
          <w:szCs w:val="20"/>
        </w:rPr>
        <w:fldChar w:fldCharType="end"/>
      </w:r>
      <w:r w:rsidRPr="00164A04">
        <w:rPr>
          <w:rFonts w:ascii="Segoe UI" w:hAnsi="Segoe UI" w:cs="Segoe UI"/>
          <w:sz w:val="20"/>
          <w:szCs w:val="20"/>
        </w:rPr>
        <w:t xml:space="preserve">. </w:t>
      </w:r>
    </w:p>
    <w:p w:rsidR="001A1E95" w:rsidRPr="00164A04" w:rsidRDefault="001A1E95" w:rsidP="00164A04">
      <w:pPr>
        <w:pStyle w:val="ListParagraph"/>
        <w:numPr>
          <w:ilvl w:val="0"/>
          <w:numId w:val="7"/>
        </w:numPr>
        <w:spacing w:line="240" w:lineRule="auto"/>
        <w:jc w:val="both"/>
        <w:rPr>
          <w:rFonts w:ascii="Segoe UI" w:hAnsi="Segoe UI" w:cs="Segoe UI"/>
          <w:sz w:val="20"/>
          <w:szCs w:val="20"/>
        </w:rPr>
      </w:pPr>
      <w:r w:rsidRPr="00164A04">
        <w:rPr>
          <w:rFonts w:ascii="Segoe UI" w:hAnsi="Segoe UI" w:cs="Segoe UI"/>
          <w:sz w:val="20"/>
          <w:szCs w:val="20"/>
        </w:rPr>
        <w:t>Melakukan aktivitas fisik sedang ≥30 menit per hari</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lastRenderedPageBreak/>
        <w:tab/>
        <w:t xml:space="preserve">Berdasarkan hasil penelitian ditemukan bahwa sebagian besar dewasa muda melakukan manajemen prehipertensi dengan melakukan aktivitas fisik sedang seperti berjalan cepat, menari, berkebun, melakukan pekerjaan rumah selama ≥30 menit per hari yaitu sebanyak 72 dewasa muda dengan prehipertensi (67,3%). Hal ini bertolak belkaang dengan penelitian sebelumnya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Priska","given":"Natasya","non-dropping-particle":"","parse-names":false,"suffix":""},{"dropping-particle":"","family":"Mira","given":"Mutiyani","non-dropping-particle":"","parse-names":false,"suffix":""},{"dropping-particle":"","family":"Dadang","given":"Rosmana","non-dropping-particle":"","parse-names":false,"suffix":""},{"dropping-particle":"","family":"Siti","given":"Fadilah Bintang","non-dropping-particle":"","parse-names":false,"suffix":""}],"id":"ITEM-1","issued":{"date-parts":[["2019"]]},"page":"113-123","title":"Peranan Konseling Diet Daph Termodifikasi Dan Cincau Hijau Terhadap Penurunan Tekanan Darah Prehipertensi Dewasa","type":"article-journal","volume":"11"},"uris":["http://www.mendeley.com/documents/?uuid=44812838-fe01-49e1-a421-6a222896a67f"]}],"mendeley":{"formattedCitation":"(Priska et al., 2019)","manualFormatting":"Priska et al (2019)","plainTextFormattedCitation":"(Priska et al., 2019)","previouslyFormattedCitation":"(Priska et al., 2019)"},"properties":{"noteIndex":0},"schema":"https://github.com/citation-style-language/schema/raw/master/csl-citation.json"}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Priska et al (2019)</w:t>
      </w:r>
      <w:r w:rsidRPr="00164A04">
        <w:rPr>
          <w:rFonts w:ascii="Segoe UI" w:hAnsi="Segoe UI" w:cs="Segoe UI"/>
          <w:sz w:val="20"/>
          <w:szCs w:val="20"/>
        </w:rPr>
        <w:fldChar w:fldCharType="end"/>
      </w:r>
      <w:r w:rsidRPr="00164A04">
        <w:rPr>
          <w:rFonts w:ascii="Segoe UI" w:hAnsi="Segoe UI" w:cs="Segoe UI"/>
          <w:sz w:val="20"/>
          <w:szCs w:val="20"/>
        </w:rPr>
        <w:t xml:space="preserve"> dalam penelitiannya hanya terdapat 11,1% pada penderita prehipertensi yang melakukan aktivitas fisik &gt; 3 kali per minggu. Namun jika dilihat dari status pekerjaan, hasil penelitian ini sejalan dengan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Priska","given":"Natasya","non-dropping-particle":"","parse-names":false,"suffix":""},{"dropping-particle":"","family":"Mira","given":"Mutiyani","non-dropping-particle":"","parse-names":false,"suffix":""},{"dropping-particle":"","family":"Dadang","given":"Rosmana","non-dropping-particle":"","parse-names":false,"suffix":""},{"dropping-particle":"","family":"Siti","given":"Fadilah Bintang","non-dropping-particle":"","parse-names":false,"suffix":""}],"id":"ITEM-1","issued":{"date-parts":[["2019"]]},"page":"113-123","title":"Peranan Konseling Diet Daph Termodifikasi Dan Cincau Hijau Terhadap Penurunan Tekanan Darah Prehipertensi Dewasa","type":"article-journal","volume":"11"},"uris":["http://www.mendeley.com/documents/?uuid=44812838-fe01-49e1-a421-6a222896a67f"]}],"mendeley":{"formattedCitation":"(Priska et al., 2019)","manualFormatting":"Priska et al (2019)","plainTextFormattedCitation":"(Priska et al., 2019)","previouslyFormattedCitation":"(Priska et al., 2019)"},"properties":{"noteIndex":0},"schema":"https://github.com/citation-style-language/schema/raw/master/csl-citation.json"}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Priska et al (2019)</w:t>
      </w:r>
      <w:r w:rsidRPr="00164A04">
        <w:rPr>
          <w:rFonts w:ascii="Segoe UI" w:hAnsi="Segoe UI" w:cs="Segoe UI"/>
          <w:sz w:val="20"/>
          <w:szCs w:val="20"/>
        </w:rPr>
        <w:fldChar w:fldCharType="end"/>
      </w:r>
      <w:r w:rsidRPr="00164A04">
        <w:rPr>
          <w:rFonts w:ascii="Segoe UI" w:hAnsi="Segoe UI" w:cs="Segoe UI"/>
          <w:sz w:val="20"/>
          <w:szCs w:val="20"/>
        </w:rPr>
        <w:t xml:space="preserve"> bahwa sebagain besar pada dewasa dengan prehipertensi bekerja sebagai ibu rumah tangga (61,1%). Akivitas fisik sedang yang paling sering dilakukan yaitu pada Ibu Rumah Tangga, misalnya seperti memasak, mencucui pakaian, mengepel lantai dan lain sebagainya yang dilakukan rutin setiap hari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{"citationItems":[{"id":"ITEM-1","itemData":{"author":[{"dropping-particle":"","family":"Rahmawati","given":"","non-dropping-particle":"","parse-names":false,"suffix":""}],"editor":[{"dropping-particle":"","family":"Rerung","given":"rintho r","non-dropping-particle":"","parse-names":false,"suffix":""}],"id":"ITEM-1","issued":{"date-parts":[["2022"]]},"publisher":"Media Sains Indonesia","title":"Pencegahan Primer Stroke Penderita Hipertensi Melalui Health Literacy Apps","type":"book"},"uris":["http://www.mendeley.com/documents/?uuid=86954300-0af8-461a-98ab-ca9fc9debbe8"]}],"mendeley":{"formattedCitation":"(Rahmawati, 2022)","plainTextFormattedCitation":"(Rahmawati, 2022)","previouslyFormattedCitation":"(Rahmawati, 2022)"},"properties":{"noteIndex":0},"schema":"https://github.com/citation-style-language/schema/raw/master/csl-citation.json"}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(Rahmawati, 2022)</w:t>
      </w:r>
      <w:r w:rsidRPr="00164A04">
        <w:rPr>
          <w:rFonts w:ascii="Segoe UI" w:hAnsi="Segoe UI" w:cs="Segoe UI"/>
          <w:sz w:val="20"/>
          <w:szCs w:val="20"/>
        </w:rPr>
        <w:fldChar w:fldCharType="end"/>
      </w:r>
      <w:r w:rsidRPr="00164A04">
        <w:rPr>
          <w:rFonts w:ascii="Segoe UI" w:hAnsi="Segoe UI" w:cs="Segoe UI"/>
          <w:sz w:val="20"/>
          <w:szCs w:val="20"/>
        </w:rPr>
        <w:t xml:space="preserve">. </w:t>
      </w:r>
    </w:p>
    <w:p w:rsidR="001A1E95" w:rsidRPr="00164A04" w:rsidRDefault="001A1E95" w:rsidP="00164A04">
      <w:pPr>
        <w:pStyle w:val="ListParagraph"/>
        <w:spacing w:line="240" w:lineRule="auto"/>
        <w:jc w:val="both"/>
        <w:rPr>
          <w:rFonts w:ascii="Segoe UI" w:hAnsi="Segoe UI" w:cs="Segoe UI"/>
          <w:sz w:val="20"/>
          <w:szCs w:val="20"/>
        </w:rPr>
      </w:pPr>
      <w:r w:rsidRPr="00164A04">
        <w:rPr>
          <w:rFonts w:ascii="Segoe UI" w:hAnsi="Segoe UI" w:cs="Segoe UI"/>
          <w:sz w:val="20"/>
          <w:szCs w:val="20"/>
        </w:rPr>
        <w:tab/>
      </w:r>
      <w:proofErr w:type="gramStart"/>
      <w:r w:rsidRPr="00164A04">
        <w:rPr>
          <w:rFonts w:ascii="Segoe UI" w:hAnsi="Segoe UI" w:cs="Segoe UI"/>
          <w:sz w:val="20"/>
          <w:szCs w:val="20"/>
        </w:rPr>
        <w:t>Manajemen prehiperrensi dengan rutin melakukan aktivitas fisik sedang yang dilakukan ≥5 hari dalam seminggu dengan durasi ≥30 menit per hari.</w:t>
      </w:r>
      <w:proofErr w:type="gramEnd"/>
      <w:r w:rsidRPr="00164A04">
        <w:rPr>
          <w:rFonts w:ascii="Segoe UI" w:hAnsi="Segoe UI" w:cs="Segoe UI"/>
          <w:sz w:val="20"/>
          <w:szCs w:val="20"/>
        </w:rPr>
        <w:t xml:space="preserve"> Menurut laporan Riskesdas 2018, sebanyak 66</w:t>
      </w:r>
      <w:proofErr w:type="gramStart"/>
      <w:r w:rsidRPr="00164A04">
        <w:rPr>
          <w:rFonts w:ascii="Segoe UI" w:hAnsi="Segoe UI" w:cs="Segoe UI"/>
          <w:sz w:val="20"/>
          <w:szCs w:val="20"/>
        </w:rPr>
        <w:t>,5</w:t>
      </w:r>
      <w:proofErr w:type="gramEnd"/>
      <w:r w:rsidRPr="00164A04">
        <w:rPr>
          <w:rFonts w:ascii="Segoe UI" w:hAnsi="Segoe UI" w:cs="Segoe UI"/>
          <w:sz w:val="20"/>
          <w:szCs w:val="20"/>
        </w:rPr>
        <w:t xml:space="preserve">% pada penduduk usia lebih dari 10 tahun melakukan aktivitas fisik yang cukup. Hasil penelitian ini juga sejalan dari laporan Riskesdas 2018 bahwa usia dewasa muda (18-40 tahun) cukup dalam melakukan aktivitas (66,8%-78,9%)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{"citationItems":[{"id":"ITEM-1","itemData":{"author":[{"dropping-particle":"","family":"Kementrian Kesehatan RI","given":"","non-dropping-particle":"","parse-names":false,"suffix":""}],"id":"ITEM-1","issued":{"date-parts":[["2019"]]},"title":"Laporan Nasional, Riskesdas 2018","type":"article"},"uris":["http://www.mendeley.com/documents/?uuid=6f375b69-a3f5-4c55-a03a-44215df2e172"]}],"mendeley":{"formattedCitation":"(Kementrian Kesehatan RI, 2019)","plainTextFormattedCitation":"(Kementrian Kesehatan RI, 2019)","previouslyFormattedCitation":"(Kementrian Kesehatan RI, 2019)"},"properties":{"noteIndex":0},"schema":"https://github.com/citation-style-language/schema/raw/master/csl-citation.json"}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(Kementrian Kesehatan RI, 2019)</w:t>
      </w:r>
      <w:r w:rsidRPr="00164A04">
        <w:rPr>
          <w:rFonts w:ascii="Segoe UI" w:hAnsi="Segoe UI" w:cs="Segoe UI"/>
          <w:sz w:val="20"/>
          <w:szCs w:val="20"/>
        </w:rPr>
        <w:fldChar w:fldCharType="end"/>
      </w:r>
      <w:r w:rsidRPr="00164A04">
        <w:rPr>
          <w:rFonts w:ascii="Segoe UI" w:hAnsi="Segoe UI" w:cs="Segoe UI"/>
          <w:sz w:val="20"/>
          <w:szCs w:val="20"/>
        </w:rPr>
        <w:t xml:space="preserve">. Kurangnya aktivitas fisik berhubungan dengan kejadian prehipertensi, hal ini didukung penelitian sebelumnya oleh </w:t>
      </w:r>
      <w:r w:rsidRPr="00164A04">
        <w:rPr>
          <w:rFonts w:ascii="Segoe UI" w:hAnsi="Segoe UI" w:cs="Segoe UI"/>
          <w:sz w:val="20"/>
          <w:szCs w:val="20"/>
        </w:rPr>
        <w:fldChar w:fldCharType="begin" w:fldLock="1"/>
      </w:r>
      <w:r w:rsidRPr="00164A04">
        <w:rPr>
          <w:rFonts w:ascii="Segoe UI" w:hAnsi="Segoe UI" w:cs="Segoe UI"/>
          <w:sz w:val="20"/>
          <w:szCs w:val="20"/>
        </w:rPr>
        <w:instrText>ADDIN CSL_CITATION {"citationItems":[{"id":"ITEM-1","itemData":{"author":[{"dropping-particle":"","family":"Tryastuti","given":"Dini","non-dropping-particle":"","parse-names":false,"suffix":""}],"id":"ITEM-1","issue":"1","issued":{"date-parts":[["2018"]]},"page":"55-63","title":"Hubungan Karakteristik Individu Dan Praktik Kesehatan Keluarga Dengan Kejadian Pre-Hipertensi Di Kelurahan Srengseng Sawah Kecamatan Jagakarsa Jakarta Selatan","type":"article-journal","volume":"10"},"uris":["http://www.mendeley.com/documents/?uuid=5e785ee1-4fe8-4f50-b6e0-4374635066b7"]}],"mendeley":{"formattedCitation":"(Tryastuti, 2018)","manualFormatting":"Tryastuti (2018)","plainTextFormattedCitation":"(Tryastuti, 2018)","previouslyFormattedCitation":"(Tryastuti, 2018)"},"properties":{"noteIndex":0},"schema":"https://github.com/citation-style-language/schema/raw/master/csl-citation.json"}</w:instrText>
      </w:r>
      <w:r w:rsidRPr="00164A04">
        <w:rPr>
          <w:rFonts w:ascii="Segoe UI" w:hAnsi="Segoe UI" w:cs="Segoe UI"/>
          <w:sz w:val="20"/>
          <w:szCs w:val="20"/>
        </w:rPr>
        <w:fldChar w:fldCharType="separate"/>
      </w:r>
      <w:r w:rsidRPr="00164A04">
        <w:rPr>
          <w:rFonts w:ascii="Segoe UI" w:hAnsi="Segoe UI" w:cs="Segoe UI"/>
          <w:noProof/>
          <w:sz w:val="20"/>
          <w:szCs w:val="20"/>
        </w:rPr>
        <w:t>Tryastuti (2018)</w:t>
      </w:r>
      <w:r w:rsidRPr="00164A04">
        <w:rPr>
          <w:rFonts w:ascii="Segoe UI" w:hAnsi="Segoe UI" w:cs="Segoe UI"/>
          <w:sz w:val="20"/>
          <w:szCs w:val="20"/>
        </w:rPr>
        <w:fldChar w:fldCharType="end"/>
      </w:r>
      <w:r w:rsidRPr="00164A04">
        <w:rPr>
          <w:rFonts w:ascii="Segoe UI" w:hAnsi="Segoe UI" w:cs="Segoe UI"/>
          <w:sz w:val="20"/>
          <w:szCs w:val="20"/>
        </w:rPr>
        <w:t xml:space="preserve"> bahwa aktivitas fisik kurang baik yang dilakukan oleh keluarga berpeluang 5,37 kali terjadinya prehipertensi dibandingkan dewasa dengan keluarga yang melakukan aktivitas fisik baik.</w:t>
      </w:r>
    </w:p>
    <w:p w:rsidR="001A1E95" w:rsidRPr="00164A04" w:rsidRDefault="001A1E95" w:rsidP="00164A04">
      <w:pPr>
        <w:pStyle w:val="ListParagraph"/>
        <w:spacing w:line="240" w:lineRule="auto"/>
        <w:jc w:val="both"/>
        <w:rPr>
          <w:rFonts w:ascii="Segoe UI" w:hAnsi="Segoe UI" w:cs="Segoe UI"/>
          <w:sz w:val="20"/>
          <w:szCs w:val="20"/>
        </w:rPr>
      </w:pPr>
    </w:p>
    <w:p w:rsidR="001A1E95" w:rsidRPr="00164A04" w:rsidRDefault="001A1E95" w:rsidP="00164A04">
      <w:pPr>
        <w:pStyle w:val="ListParagraph"/>
        <w:spacing w:line="240" w:lineRule="auto"/>
        <w:jc w:val="both"/>
        <w:rPr>
          <w:rFonts w:ascii="Segoe UI" w:hAnsi="Segoe UI" w:cs="Segoe UI"/>
          <w:sz w:val="20"/>
          <w:szCs w:val="20"/>
        </w:rPr>
      </w:pPr>
    </w:p>
    <w:p w:rsidR="001A1E95" w:rsidRPr="00164A04" w:rsidRDefault="001A1E95" w:rsidP="00164A04">
      <w:pPr>
        <w:pStyle w:val="ListParagraph"/>
        <w:spacing w:line="240" w:lineRule="auto"/>
        <w:ind w:left="0"/>
        <w:jc w:val="both"/>
        <w:rPr>
          <w:rFonts w:ascii="Segoe UI" w:hAnsi="Segoe UI" w:cs="Segoe UI"/>
          <w:b/>
          <w:sz w:val="20"/>
          <w:szCs w:val="20"/>
        </w:rPr>
      </w:pPr>
      <w:r w:rsidRPr="00164A04">
        <w:rPr>
          <w:rFonts w:ascii="Segoe UI" w:hAnsi="Segoe UI" w:cs="Segoe UI"/>
          <w:b/>
          <w:sz w:val="20"/>
          <w:szCs w:val="20"/>
        </w:rPr>
        <w:t>SIMPULAN DAN SARAN</w:t>
      </w:r>
    </w:p>
    <w:p w:rsidR="001A1E95" w:rsidRPr="00164A04" w:rsidRDefault="001A1E95" w:rsidP="00164A04">
      <w:pPr>
        <w:pStyle w:val="ListParagraph"/>
        <w:spacing w:line="240" w:lineRule="auto"/>
        <w:ind w:left="0"/>
        <w:jc w:val="both"/>
        <w:rPr>
          <w:rFonts w:ascii="Segoe UI" w:hAnsi="Segoe UI" w:cs="Segoe UI"/>
          <w:b/>
          <w:sz w:val="20"/>
          <w:szCs w:val="20"/>
        </w:rPr>
      </w:pPr>
      <w:r w:rsidRPr="00164A04">
        <w:rPr>
          <w:rFonts w:ascii="Segoe UI" w:hAnsi="Segoe UI" w:cs="Segoe UI"/>
          <w:b/>
          <w:sz w:val="20"/>
          <w:szCs w:val="20"/>
        </w:rPr>
        <w:t xml:space="preserve">Simpulan </w:t>
      </w:r>
    </w:p>
    <w:p w:rsidR="001A1E95" w:rsidRPr="00164A04" w:rsidRDefault="001A1E95" w:rsidP="00164A04">
      <w:pPr>
        <w:pStyle w:val="ListParagraph"/>
        <w:numPr>
          <w:ilvl w:val="0"/>
          <w:numId w:val="8"/>
        </w:numPr>
        <w:spacing w:line="240" w:lineRule="auto"/>
        <w:ind w:left="360"/>
        <w:jc w:val="both"/>
        <w:rPr>
          <w:rFonts w:ascii="Segoe UI" w:hAnsi="Segoe UI" w:cs="Segoe UI"/>
          <w:sz w:val="20"/>
          <w:szCs w:val="20"/>
        </w:rPr>
      </w:pPr>
      <w:bookmarkStart w:id="1" w:name="_Toc109623582"/>
      <w:r w:rsidRPr="00164A04">
        <w:rPr>
          <w:rFonts w:ascii="Segoe UI" w:hAnsi="Segoe UI" w:cs="Segoe UI"/>
          <w:sz w:val="20"/>
          <w:szCs w:val="20"/>
        </w:rPr>
        <w:t xml:space="preserve">Dewasa muda dengan prehipertensi di wilayah kerja Puskesmas Babelan 1 usia </w:t>
      </w:r>
      <w:r w:rsidRPr="00164A04">
        <w:rPr>
          <w:rFonts w:ascii="Segoe UI" w:hAnsi="Segoe UI" w:cs="Segoe UI"/>
          <w:sz w:val="20"/>
          <w:szCs w:val="20"/>
        </w:rPr>
        <w:lastRenderedPageBreak/>
        <w:t>18-29 tahun sebanyak 76 dewasa muda (71%), usia 30-39 tahun sebanyak 30 dewasa muda (28%), usia 40 tahun hanya ada 1 dewasa muda (0,9%).</w:t>
      </w:r>
      <w:bookmarkEnd w:id="1"/>
    </w:p>
    <w:p w:rsidR="001A1E95" w:rsidRPr="00164A04" w:rsidRDefault="001A1E95" w:rsidP="00164A04">
      <w:pPr>
        <w:pStyle w:val="ListParagraph"/>
        <w:numPr>
          <w:ilvl w:val="0"/>
          <w:numId w:val="8"/>
        </w:numPr>
        <w:spacing w:line="240" w:lineRule="auto"/>
        <w:ind w:left="360"/>
        <w:jc w:val="both"/>
        <w:rPr>
          <w:rFonts w:ascii="Segoe UI" w:hAnsi="Segoe UI" w:cs="Segoe UI"/>
          <w:sz w:val="20"/>
          <w:szCs w:val="20"/>
        </w:rPr>
      </w:pPr>
      <w:bookmarkStart w:id="2" w:name="_Toc109623583"/>
      <w:r w:rsidRPr="00164A04">
        <w:rPr>
          <w:rFonts w:ascii="Segoe UI" w:hAnsi="Segoe UI" w:cs="Segoe UI"/>
          <w:sz w:val="20"/>
          <w:szCs w:val="20"/>
        </w:rPr>
        <w:t>Pendidikan terakhir pada dewasa muda dengan prehieprtensi di wilayah kerja Puskesmas Babelan 1, yaitu tamat SMA/SMK/MA (66</w:t>
      </w:r>
      <w:proofErr w:type="gramStart"/>
      <w:r w:rsidRPr="00164A04">
        <w:rPr>
          <w:rFonts w:ascii="Segoe UI" w:hAnsi="Segoe UI" w:cs="Segoe UI"/>
          <w:sz w:val="20"/>
          <w:szCs w:val="20"/>
        </w:rPr>
        <w:t>,4</w:t>
      </w:r>
      <w:proofErr w:type="gramEnd"/>
      <w:r w:rsidRPr="00164A04">
        <w:rPr>
          <w:rFonts w:ascii="Segoe UI" w:hAnsi="Segoe UI" w:cs="Segoe UI"/>
          <w:sz w:val="20"/>
          <w:szCs w:val="20"/>
        </w:rPr>
        <w:t>%), tamat  S1 (13,1%), tamat SMP/MTs (10,3%), tamat SD (7,5%), dan tidak sekolah (2,8%).</w:t>
      </w:r>
      <w:bookmarkEnd w:id="2"/>
    </w:p>
    <w:p w:rsidR="001A1E95" w:rsidRPr="00164A04" w:rsidRDefault="001A1E95" w:rsidP="00164A04">
      <w:pPr>
        <w:pStyle w:val="ListParagraph"/>
        <w:numPr>
          <w:ilvl w:val="0"/>
          <w:numId w:val="8"/>
        </w:numPr>
        <w:spacing w:line="240" w:lineRule="auto"/>
        <w:ind w:left="360"/>
        <w:jc w:val="both"/>
        <w:rPr>
          <w:rFonts w:ascii="Segoe UI" w:hAnsi="Segoe UI" w:cs="Segoe UI"/>
          <w:sz w:val="20"/>
          <w:szCs w:val="20"/>
        </w:rPr>
      </w:pPr>
      <w:bookmarkStart w:id="3" w:name="_Toc109623584"/>
      <w:r w:rsidRPr="00164A04">
        <w:rPr>
          <w:rFonts w:ascii="Segoe UI" w:hAnsi="Segoe UI" w:cs="Segoe UI"/>
          <w:sz w:val="20"/>
          <w:szCs w:val="20"/>
        </w:rPr>
        <w:t>Pekerjaan dewasa muda dengan prehieprtensi di wilayah kerja Puskesmas Babelan 1, yaitu sebagian besar tidak bekerja atau sebagai Ibu Rumah Tangga (36</w:t>
      </w:r>
      <w:proofErr w:type="gramStart"/>
      <w:r w:rsidRPr="00164A04">
        <w:rPr>
          <w:rFonts w:ascii="Segoe UI" w:hAnsi="Segoe UI" w:cs="Segoe UI"/>
          <w:sz w:val="20"/>
          <w:szCs w:val="20"/>
        </w:rPr>
        <w:t>,4</w:t>
      </w:r>
      <w:proofErr w:type="gramEnd"/>
      <w:r w:rsidRPr="00164A04">
        <w:rPr>
          <w:rFonts w:ascii="Segoe UI" w:hAnsi="Segoe UI" w:cs="Segoe UI"/>
          <w:sz w:val="20"/>
          <w:szCs w:val="20"/>
        </w:rPr>
        <w:t>%), bekerja sebagai pegawai swasta (21,5%), bekerja sebagai pegawai negeri (1,9%), bekerja sebagai wiraswasta (21,5%), dam lainnya (18,7%).</w:t>
      </w:r>
      <w:bookmarkEnd w:id="3"/>
    </w:p>
    <w:p w:rsidR="001A1E95" w:rsidRPr="00164A04" w:rsidRDefault="001A1E95" w:rsidP="00164A04">
      <w:pPr>
        <w:pStyle w:val="ListParagraph"/>
        <w:numPr>
          <w:ilvl w:val="0"/>
          <w:numId w:val="8"/>
        </w:numPr>
        <w:spacing w:line="240" w:lineRule="auto"/>
        <w:ind w:left="360"/>
        <w:jc w:val="both"/>
        <w:rPr>
          <w:rFonts w:ascii="Segoe UI" w:hAnsi="Segoe UI" w:cs="Segoe UI"/>
          <w:sz w:val="20"/>
          <w:szCs w:val="20"/>
        </w:rPr>
      </w:pPr>
      <w:bookmarkStart w:id="4" w:name="_Toc109623585"/>
      <w:r w:rsidRPr="00164A04">
        <w:rPr>
          <w:rFonts w:ascii="Segoe UI" w:hAnsi="Segoe UI" w:cs="Segoe UI"/>
          <w:sz w:val="20"/>
          <w:szCs w:val="20"/>
        </w:rPr>
        <w:t>Pendapatan dewasa muda dengan prehipertensi di wilayah kerja Puskesmas Babelan 1, yaitu kategori pendapatan sedang (34</w:t>
      </w:r>
      <w:proofErr w:type="gramStart"/>
      <w:r w:rsidRPr="00164A04">
        <w:rPr>
          <w:rFonts w:ascii="Segoe UI" w:hAnsi="Segoe UI" w:cs="Segoe UI"/>
          <w:sz w:val="20"/>
          <w:szCs w:val="20"/>
        </w:rPr>
        <w:t>,6</w:t>
      </w:r>
      <w:proofErr w:type="gramEnd"/>
      <w:r w:rsidRPr="00164A04">
        <w:rPr>
          <w:rFonts w:ascii="Segoe UI" w:hAnsi="Segoe UI" w:cs="Segoe UI"/>
          <w:sz w:val="20"/>
          <w:szCs w:val="20"/>
        </w:rPr>
        <w:t>%), pendapatan sangat tinggi (29,9%), pendapatan tinggi (16,8%). Pendapatan rendah (18</w:t>
      </w:r>
      <w:proofErr w:type="gramStart"/>
      <w:r w:rsidRPr="00164A04">
        <w:rPr>
          <w:rFonts w:ascii="Segoe UI" w:hAnsi="Segoe UI" w:cs="Segoe UI"/>
          <w:sz w:val="20"/>
          <w:szCs w:val="20"/>
        </w:rPr>
        <w:t>,7</w:t>
      </w:r>
      <w:proofErr w:type="gramEnd"/>
      <w:r w:rsidRPr="00164A04">
        <w:rPr>
          <w:rFonts w:ascii="Segoe UI" w:hAnsi="Segoe UI" w:cs="Segoe UI"/>
          <w:sz w:val="20"/>
          <w:szCs w:val="20"/>
        </w:rPr>
        <w:t>%).</w:t>
      </w:r>
      <w:bookmarkEnd w:id="4"/>
    </w:p>
    <w:p w:rsidR="001A1E95" w:rsidRPr="00164A04" w:rsidRDefault="001A1E95" w:rsidP="00164A04">
      <w:pPr>
        <w:pStyle w:val="ListParagraph"/>
        <w:numPr>
          <w:ilvl w:val="0"/>
          <w:numId w:val="8"/>
        </w:numPr>
        <w:spacing w:line="240" w:lineRule="auto"/>
        <w:ind w:left="360"/>
        <w:jc w:val="both"/>
        <w:rPr>
          <w:rFonts w:ascii="Segoe UI" w:hAnsi="Segoe UI" w:cs="Segoe UI"/>
          <w:sz w:val="20"/>
          <w:szCs w:val="20"/>
        </w:rPr>
      </w:pPr>
      <w:bookmarkStart w:id="5" w:name="_Toc109623586"/>
      <w:r w:rsidRPr="00164A04">
        <w:rPr>
          <w:rFonts w:ascii="Segoe UI" w:hAnsi="Segoe UI" w:cs="Segoe UI"/>
          <w:sz w:val="20"/>
          <w:szCs w:val="20"/>
        </w:rPr>
        <w:t>Dewasa muda dengan prehipertensi di wilayah kerja Puskesmas Babelan 1 sebagian besar memiliki pengetahuan baik (45</w:t>
      </w:r>
      <w:proofErr w:type="gramStart"/>
      <w:r w:rsidRPr="00164A04">
        <w:rPr>
          <w:rFonts w:ascii="Segoe UI" w:hAnsi="Segoe UI" w:cs="Segoe UI"/>
          <w:sz w:val="20"/>
          <w:szCs w:val="20"/>
        </w:rPr>
        <w:t>,8</w:t>
      </w:r>
      <w:proofErr w:type="gramEnd"/>
      <w:r w:rsidRPr="00164A04">
        <w:rPr>
          <w:rFonts w:ascii="Segoe UI" w:hAnsi="Segoe UI" w:cs="Segoe UI"/>
          <w:sz w:val="20"/>
          <w:szCs w:val="20"/>
        </w:rPr>
        <w:t>%), namun masih ada yang memili pengetahuan cukup (43%) dan kurang (11,2%).</w:t>
      </w:r>
      <w:bookmarkStart w:id="6" w:name="_Toc109623587"/>
      <w:bookmarkEnd w:id="5"/>
    </w:p>
    <w:p w:rsidR="001A1E95" w:rsidRPr="00164A04" w:rsidRDefault="001A1E95" w:rsidP="00164A04">
      <w:pPr>
        <w:pStyle w:val="ListParagraph"/>
        <w:numPr>
          <w:ilvl w:val="0"/>
          <w:numId w:val="8"/>
        </w:numPr>
        <w:spacing w:line="240" w:lineRule="auto"/>
        <w:ind w:left="360"/>
        <w:jc w:val="both"/>
        <w:rPr>
          <w:rFonts w:ascii="Segoe UI" w:hAnsi="Segoe UI" w:cs="Segoe UI"/>
          <w:sz w:val="20"/>
          <w:szCs w:val="20"/>
        </w:rPr>
      </w:pPr>
      <w:r w:rsidRPr="00164A04">
        <w:rPr>
          <w:rFonts w:ascii="Segoe UI" w:hAnsi="Segoe UI" w:cs="Segoe UI"/>
          <w:sz w:val="20"/>
          <w:szCs w:val="20"/>
        </w:rPr>
        <w:t>Perilaku dewasa muda terhadap manajemen prehipertensi masih banyak yang tidak dilakukan seperti tidak konsumsi buah 4-5 mangkuk per hari (77</w:t>
      </w:r>
      <w:proofErr w:type="gramStart"/>
      <w:r w:rsidRPr="00164A04">
        <w:rPr>
          <w:rFonts w:ascii="Segoe UI" w:hAnsi="Segoe UI" w:cs="Segoe UI"/>
          <w:sz w:val="20"/>
          <w:szCs w:val="20"/>
        </w:rPr>
        <w:t>,6</w:t>
      </w:r>
      <w:proofErr w:type="gramEnd"/>
      <w:r w:rsidRPr="00164A04">
        <w:rPr>
          <w:rFonts w:ascii="Segoe UI" w:hAnsi="Segoe UI" w:cs="Segoe UI"/>
          <w:sz w:val="20"/>
          <w:szCs w:val="20"/>
        </w:rPr>
        <w:t>%), tidak konsumsi sayur 4-5 mangkuk per hari (67,3%) tidak mempertahankan IMT normal (62,6%), konsumsi garam lebih dari 1 sdt per hari (55,1%), serta masih ada dewasa muda dengan prehipertensi yang yang merokok (26,2%) dan konsumsi alcohol (5,6%). Hal ini menunjukan bahwa dewasa muda dengan prehihpertensi di puskesmas Babelan 1 perlu melakukan hidup sehat dengan sering konsumsi buah dan sayur serta mengurangi asupan garam per harinya dan mempertahankan IMT normal serta stop merokok dan konsusmsi alkohol.</w:t>
      </w:r>
      <w:bookmarkEnd w:id="6"/>
    </w:p>
    <w:p w:rsidR="001A1E95" w:rsidRPr="00164A04" w:rsidRDefault="001A1E95" w:rsidP="00164A04">
      <w:pPr>
        <w:pStyle w:val="ListParagraph"/>
        <w:spacing w:before="120" w:line="240" w:lineRule="auto"/>
        <w:ind w:left="360" w:hanging="360"/>
        <w:jc w:val="both"/>
        <w:outlineLvl w:val="1"/>
        <w:rPr>
          <w:rFonts w:ascii="Segoe UI" w:hAnsi="Segoe UI" w:cs="Segoe UI"/>
          <w:b/>
          <w:sz w:val="20"/>
          <w:szCs w:val="20"/>
        </w:rPr>
      </w:pPr>
    </w:p>
    <w:p w:rsidR="001A1E95" w:rsidRPr="00164A04" w:rsidRDefault="001A1E95" w:rsidP="00164A04">
      <w:pPr>
        <w:pStyle w:val="ListParagraph"/>
        <w:spacing w:before="120" w:line="240" w:lineRule="auto"/>
        <w:ind w:left="360" w:hanging="360"/>
        <w:jc w:val="both"/>
        <w:outlineLvl w:val="1"/>
        <w:rPr>
          <w:rFonts w:ascii="Segoe UI" w:hAnsi="Segoe UI" w:cs="Segoe UI"/>
          <w:b/>
          <w:sz w:val="20"/>
          <w:szCs w:val="20"/>
        </w:rPr>
      </w:pPr>
      <w:r w:rsidRPr="00164A04">
        <w:rPr>
          <w:rFonts w:ascii="Segoe UI" w:hAnsi="Segoe UI" w:cs="Segoe UI"/>
          <w:b/>
          <w:sz w:val="20"/>
          <w:szCs w:val="20"/>
        </w:rPr>
        <w:t xml:space="preserve">Saran </w:t>
      </w:r>
    </w:p>
    <w:p w:rsidR="001A1E95" w:rsidRPr="00164A04" w:rsidRDefault="001A1E95" w:rsidP="00164A04">
      <w:pPr>
        <w:pStyle w:val="ListParagraph"/>
        <w:spacing w:line="240" w:lineRule="auto"/>
        <w:ind w:left="360" w:hanging="360"/>
        <w:jc w:val="both"/>
        <w:outlineLvl w:val="1"/>
        <w:rPr>
          <w:rFonts w:ascii="Segoe UI" w:hAnsi="Segoe UI" w:cs="Segoe UI"/>
          <w:b/>
          <w:sz w:val="20"/>
          <w:szCs w:val="20"/>
        </w:rPr>
      </w:pPr>
      <w:r w:rsidRPr="00164A04">
        <w:rPr>
          <w:rFonts w:ascii="Segoe UI" w:hAnsi="Segoe UI" w:cs="Segoe UI"/>
          <w:sz w:val="20"/>
          <w:szCs w:val="20"/>
        </w:rPr>
        <w:t xml:space="preserve">Berdasarkan hasil penelitian, peneliti memberikan saran sebagai </w:t>
      </w:r>
      <w:proofErr w:type="gramStart"/>
      <w:r w:rsidRPr="00164A04">
        <w:rPr>
          <w:rFonts w:ascii="Segoe UI" w:hAnsi="Segoe UI" w:cs="Segoe UI"/>
          <w:sz w:val="20"/>
          <w:szCs w:val="20"/>
        </w:rPr>
        <w:t>berikut :</w:t>
      </w:r>
      <w:proofErr w:type="gramEnd"/>
    </w:p>
    <w:p w:rsidR="001A1E95" w:rsidRPr="00164A04" w:rsidRDefault="001A1E95" w:rsidP="00164A04">
      <w:pPr>
        <w:pStyle w:val="ListParagraph"/>
        <w:numPr>
          <w:ilvl w:val="0"/>
          <w:numId w:val="9"/>
        </w:numPr>
        <w:spacing w:line="240" w:lineRule="auto"/>
        <w:ind w:left="360"/>
        <w:jc w:val="both"/>
        <w:rPr>
          <w:rFonts w:ascii="Segoe UI" w:hAnsi="Segoe UI" w:cs="Segoe UI"/>
          <w:b/>
          <w:sz w:val="20"/>
          <w:szCs w:val="20"/>
        </w:rPr>
      </w:pPr>
      <w:r w:rsidRPr="00164A04">
        <w:rPr>
          <w:rFonts w:ascii="Segoe UI" w:hAnsi="Segoe UI" w:cs="Segoe UI"/>
          <w:b/>
          <w:sz w:val="20"/>
          <w:szCs w:val="20"/>
        </w:rPr>
        <w:t>Bagi Peneliti Selanjutnya</w:t>
      </w:r>
    </w:p>
    <w:p w:rsidR="001A1E95" w:rsidRPr="00164A04" w:rsidRDefault="001A1E95" w:rsidP="00164A04">
      <w:pPr>
        <w:pStyle w:val="ListParagraph"/>
        <w:spacing w:line="240" w:lineRule="auto"/>
        <w:ind w:left="360"/>
        <w:jc w:val="both"/>
        <w:rPr>
          <w:rFonts w:ascii="Segoe UI" w:hAnsi="Segoe UI" w:cs="Segoe UI"/>
          <w:b/>
          <w:sz w:val="20"/>
          <w:szCs w:val="20"/>
        </w:rPr>
      </w:pPr>
      <w:proofErr w:type="gramStart"/>
      <w:r w:rsidRPr="00164A04">
        <w:rPr>
          <w:rFonts w:ascii="Segoe UI" w:hAnsi="Segoe UI" w:cs="Segoe UI"/>
          <w:sz w:val="20"/>
          <w:szCs w:val="20"/>
        </w:rPr>
        <w:lastRenderedPageBreak/>
        <w:t>Penelitian ini dapat dijadikan sebagai acuan untuk mengkaji tingkat pengetahuan dan perilaku dewasa muda dalam manajemen prehipertensi untuk mengurangi kasus hipertensi.</w:t>
      </w:r>
      <w:proofErr w:type="gramEnd"/>
      <w:r w:rsidRPr="00164A04">
        <w:rPr>
          <w:rFonts w:ascii="Segoe UI" w:hAnsi="Segoe UI" w:cs="Segoe UI"/>
          <w:sz w:val="20"/>
          <w:szCs w:val="20"/>
        </w:rPr>
        <w:t xml:space="preserve"> </w:t>
      </w:r>
      <w:proofErr w:type="gramStart"/>
      <w:r w:rsidRPr="00164A04">
        <w:rPr>
          <w:rFonts w:ascii="Segoe UI" w:hAnsi="Segoe UI" w:cs="Segoe UI"/>
          <w:sz w:val="20"/>
          <w:szCs w:val="20"/>
        </w:rPr>
        <w:t>Peneliti selanjutnya dapat mengkaji hubungan antara pengetahuan dan perilaku manajemen prehipertensi pada dewasa muda.</w:t>
      </w:r>
      <w:proofErr w:type="gramEnd"/>
      <w:r w:rsidRPr="00164A04">
        <w:rPr>
          <w:rFonts w:ascii="Segoe UI" w:hAnsi="Segoe UI" w:cs="Segoe UI"/>
          <w:sz w:val="20"/>
          <w:szCs w:val="20"/>
        </w:rPr>
        <w:t xml:space="preserve"> Peneliti selanjutnya juga dapat meneliti responden dengan </w:t>
      </w:r>
      <w:proofErr w:type="gramStart"/>
      <w:r w:rsidRPr="00164A04">
        <w:rPr>
          <w:rFonts w:ascii="Segoe UI" w:hAnsi="Segoe UI" w:cs="Segoe UI"/>
          <w:sz w:val="20"/>
          <w:szCs w:val="20"/>
        </w:rPr>
        <w:t>usia</w:t>
      </w:r>
      <w:proofErr w:type="gramEnd"/>
      <w:r w:rsidRPr="00164A04">
        <w:rPr>
          <w:rFonts w:ascii="Segoe UI" w:hAnsi="Segoe UI" w:cs="Segoe UI"/>
          <w:sz w:val="20"/>
          <w:szCs w:val="20"/>
        </w:rPr>
        <w:t xml:space="preserve"> dewasa awal hingga dewasa akhir atau dapat menspesifikannya berdasarkan tingkat pendidikan, sehingga dapat melengkapi gambaran pengetahuan dan perilaku dewasa pada tiap tingkat pendidikan. Peneliti selanjutnya juga dapat menambahkan upaya pencegahan </w:t>
      </w:r>
      <w:proofErr w:type="gramStart"/>
      <w:r w:rsidRPr="00164A04">
        <w:rPr>
          <w:rFonts w:ascii="Segoe UI" w:hAnsi="Segoe UI" w:cs="Segoe UI"/>
          <w:sz w:val="20"/>
          <w:szCs w:val="20"/>
        </w:rPr>
        <w:t>lain</w:t>
      </w:r>
      <w:proofErr w:type="gramEnd"/>
      <w:r w:rsidRPr="00164A04">
        <w:rPr>
          <w:rFonts w:ascii="Segoe UI" w:hAnsi="Segoe UI" w:cs="Segoe UI"/>
          <w:sz w:val="20"/>
          <w:szCs w:val="20"/>
        </w:rPr>
        <w:t xml:space="preserve"> yang dapat dilaksanakan oleh individu, bukan hanya pengetahuan dan perilaku tetapi diperluas ke sikap hidup sehat dengan manajemen prehipertensi.</w:t>
      </w:r>
    </w:p>
    <w:p w:rsidR="001A1E95" w:rsidRPr="00164A04" w:rsidRDefault="001A1E95" w:rsidP="00164A04">
      <w:pPr>
        <w:pStyle w:val="ListParagraph"/>
        <w:numPr>
          <w:ilvl w:val="0"/>
          <w:numId w:val="9"/>
        </w:numPr>
        <w:spacing w:line="240" w:lineRule="auto"/>
        <w:ind w:left="360"/>
        <w:jc w:val="both"/>
        <w:rPr>
          <w:rFonts w:ascii="Segoe UI" w:hAnsi="Segoe UI" w:cs="Segoe UI"/>
          <w:b/>
          <w:sz w:val="20"/>
          <w:szCs w:val="20"/>
        </w:rPr>
      </w:pPr>
      <w:r w:rsidRPr="00164A04">
        <w:rPr>
          <w:rFonts w:ascii="Segoe UI" w:hAnsi="Segoe UI" w:cs="Segoe UI"/>
          <w:b/>
          <w:sz w:val="20"/>
          <w:szCs w:val="20"/>
        </w:rPr>
        <w:t>Bagi Responden</w:t>
      </w:r>
    </w:p>
    <w:p w:rsidR="001A1E95" w:rsidRPr="00164A04" w:rsidRDefault="001A1E95" w:rsidP="00164A04">
      <w:pPr>
        <w:pStyle w:val="ListParagraph"/>
        <w:spacing w:line="240" w:lineRule="auto"/>
        <w:ind w:left="360"/>
        <w:jc w:val="both"/>
        <w:rPr>
          <w:rFonts w:ascii="Segoe UI" w:hAnsi="Segoe UI" w:cs="Segoe UI"/>
          <w:b/>
          <w:sz w:val="20"/>
          <w:szCs w:val="20"/>
        </w:rPr>
      </w:pPr>
      <w:proofErr w:type="gramStart"/>
      <w:r w:rsidRPr="00164A04">
        <w:rPr>
          <w:rFonts w:ascii="Segoe UI" w:hAnsi="Segoe UI" w:cs="Segoe UI"/>
          <w:sz w:val="20"/>
          <w:szCs w:val="20"/>
        </w:rPr>
        <w:t>Bagi responden yang memiliki pengetahuan kurang dan tidak menerapkan manajemen prehipertensi harus memili kesadaran agar tidak menimbulkan dampak yang lebih serius seperti penyakit hipertensi dan penyakit kardiovaskular lainnya.</w:t>
      </w:r>
      <w:proofErr w:type="gramEnd"/>
      <w:r w:rsidRPr="00164A04">
        <w:rPr>
          <w:rFonts w:ascii="Segoe UI" w:hAnsi="Segoe UI" w:cs="Segoe UI"/>
          <w:sz w:val="20"/>
          <w:szCs w:val="20"/>
        </w:rPr>
        <w:t xml:space="preserve"> Upaya pencegahan harus dilakukan dengan kosnsisten dan benar sesuai dengan acuan manajemen prehipertensi seperti konsumsi buah dan sayur sebanya 4-5 mangkuk perhari, konsumsi garam tidak lebih dari 1 sendok teh (&lt;2500 ml gram), tidak merokok, tidak konsumsi alcohol, melakukan aktivitas fisik sedang ≥30 menit per hari </w:t>
      </w:r>
      <w:proofErr w:type="gramStart"/>
      <w:r w:rsidRPr="00164A04">
        <w:rPr>
          <w:rFonts w:ascii="Segoe UI" w:hAnsi="Segoe UI" w:cs="Segoe UI"/>
          <w:sz w:val="20"/>
          <w:szCs w:val="20"/>
        </w:rPr>
        <w:t>dan  mempertahankan</w:t>
      </w:r>
      <w:proofErr w:type="gramEnd"/>
      <w:r w:rsidRPr="00164A04">
        <w:rPr>
          <w:rFonts w:ascii="Segoe UI" w:hAnsi="Segoe UI" w:cs="Segoe UI"/>
          <w:sz w:val="20"/>
          <w:szCs w:val="20"/>
        </w:rPr>
        <w:t xml:space="preserve"> IMT normal. </w:t>
      </w:r>
    </w:p>
    <w:p w:rsidR="001A1E95" w:rsidRPr="00164A04" w:rsidRDefault="001A1E95" w:rsidP="00164A04">
      <w:pPr>
        <w:pStyle w:val="ListParagraph"/>
        <w:numPr>
          <w:ilvl w:val="0"/>
          <w:numId w:val="9"/>
        </w:numPr>
        <w:spacing w:line="240" w:lineRule="auto"/>
        <w:ind w:left="360"/>
        <w:jc w:val="both"/>
        <w:rPr>
          <w:rFonts w:ascii="Segoe UI" w:hAnsi="Segoe UI" w:cs="Segoe UI"/>
          <w:b/>
          <w:sz w:val="20"/>
          <w:szCs w:val="20"/>
        </w:rPr>
      </w:pPr>
      <w:r w:rsidRPr="00164A04">
        <w:rPr>
          <w:rFonts w:ascii="Segoe UI" w:hAnsi="Segoe UI" w:cs="Segoe UI"/>
          <w:b/>
          <w:sz w:val="20"/>
          <w:szCs w:val="20"/>
        </w:rPr>
        <w:t>Bagi Puskesmas Babelan 1</w:t>
      </w:r>
    </w:p>
    <w:p w:rsidR="001A1E95" w:rsidRPr="00164A04" w:rsidRDefault="001A1E95" w:rsidP="00164A04">
      <w:pPr>
        <w:pStyle w:val="ListParagraph"/>
        <w:spacing w:line="240" w:lineRule="auto"/>
        <w:ind w:left="360"/>
        <w:jc w:val="both"/>
        <w:rPr>
          <w:rFonts w:ascii="Segoe UI" w:hAnsi="Segoe UI" w:cs="Segoe UI"/>
          <w:b/>
          <w:sz w:val="20"/>
          <w:szCs w:val="20"/>
        </w:rPr>
      </w:pPr>
      <w:proofErr w:type="gramStart"/>
      <w:r w:rsidRPr="00164A04">
        <w:rPr>
          <w:rFonts w:ascii="Segoe UI" w:hAnsi="Segoe UI" w:cs="Segoe UI"/>
          <w:sz w:val="20"/>
          <w:szCs w:val="20"/>
        </w:rPr>
        <w:t>Hasil penelitian ini dapat menggambarkan bagaimana pengetahuan dan perilaku dewasa muda terhadap manajemen prehipertensi.</w:t>
      </w:r>
      <w:proofErr w:type="gramEnd"/>
      <w:r w:rsidRPr="00164A04">
        <w:rPr>
          <w:rFonts w:ascii="Segoe UI" w:hAnsi="Segoe UI" w:cs="Segoe UI"/>
          <w:sz w:val="20"/>
          <w:szCs w:val="20"/>
        </w:rPr>
        <w:t xml:space="preserve"> </w:t>
      </w:r>
      <w:proofErr w:type="gramStart"/>
      <w:r w:rsidRPr="00164A04">
        <w:rPr>
          <w:rFonts w:ascii="Segoe UI" w:hAnsi="Segoe UI" w:cs="Segoe UI"/>
          <w:sz w:val="20"/>
          <w:szCs w:val="20"/>
        </w:rPr>
        <w:t>Penelitian ini juga dapat digunakan sebagai acuan untuk melakukan upaya dalam meningkatkan pengetahuan dewasa agar menerapkan perilaku sehat sehingga dapat menurunkan prevalensi penyakit hipertensi yang merupakan penyakit dengan urutan pertama di awal tahun 2022.</w:t>
      </w:r>
      <w:proofErr w:type="gramEnd"/>
      <w:r w:rsidRPr="00164A04">
        <w:rPr>
          <w:rFonts w:ascii="Segoe UI" w:hAnsi="Segoe UI" w:cs="Segoe UI"/>
          <w:sz w:val="20"/>
          <w:szCs w:val="20"/>
        </w:rPr>
        <w:t xml:space="preserve"> </w:t>
      </w:r>
      <w:proofErr w:type="gramStart"/>
      <w:r w:rsidRPr="00164A04">
        <w:rPr>
          <w:rFonts w:ascii="Segoe UI" w:hAnsi="Segoe UI" w:cs="Segoe UI"/>
          <w:sz w:val="20"/>
          <w:szCs w:val="20"/>
        </w:rPr>
        <w:t>Selain itu, penelitian ini dapat menjadi masukan untuk tatalaksana upaya promotif preventif pada dewasa prehipertensi di wilayah kerja Puskesmas Babelan 1.</w:t>
      </w:r>
      <w:proofErr w:type="gramEnd"/>
    </w:p>
    <w:p w:rsidR="005F5384" w:rsidRPr="00164A04" w:rsidRDefault="001A1E95" w:rsidP="00164A04">
      <w:pPr>
        <w:pStyle w:val="ListParagraph"/>
        <w:numPr>
          <w:ilvl w:val="0"/>
          <w:numId w:val="9"/>
        </w:numPr>
        <w:spacing w:line="240" w:lineRule="auto"/>
        <w:ind w:left="360"/>
        <w:jc w:val="both"/>
        <w:rPr>
          <w:rFonts w:ascii="Segoe UI" w:hAnsi="Segoe UI" w:cs="Segoe UI"/>
          <w:b/>
          <w:sz w:val="20"/>
          <w:szCs w:val="20"/>
        </w:rPr>
      </w:pPr>
      <w:r w:rsidRPr="00164A04">
        <w:rPr>
          <w:rFonts w:ascii="Segoe UI" w:hAnsi="Segoe UI" w:cs="Segoe UI"/>
          <w:b/>
          <w:sz w:val="20"/>
          <w:szCs w:val="20"/>
        </w:rPr>
        <w:lastRenderedPageBreak/>
        <w:t>Bagi Profesi Keperawatan</w:t>
      </w:r>
    </w:p>
    <w:p w:rsidR="001A1E95" w:rsidRPr="005F5384" w:rsidRDefault="001A1E95" w:rsidP="00164A04">
      <w:pPr>
        <w:pStyle w:val="ListParagraph"/>
        <w:spacing w:line="240" w:lineRule="auto"/>
        <w:ind w:left="360"/>
        <w:jc w:val="both"/>
        <w:rPr>
          <w:rFonts w:ascii="Times New Roman" w:hAnsi="Times New Roman" w:cs="Times New Roman"/>
          <w:b/>
          <w:sz w:val="24"/>
          <w:szCs w:val="24"/>
        </w:rPr>
      </w:pPr>
      <w:proofErr w:type="gramStart"/>
      <w:r w:rsidRPr="00164A04">
        <w:rPr>
          <w:rFonts w:ascii="Segoe UI" w:hAnsi="Segoe UI" w:cs="Segoe UI"/>
          <w:sz w:val="20"/>
          <w:szCs w:val="20"/>
        </w:rPr>
        <w:t>Hasil penelitian ini dapat menjadi acuan dalam mengkaji perilaku dewasa muda.</w:t>
      </w:r>
      <w:proofErr w:type="gramEnd"/>
      <w:r w:rsidRPr="00164A04">
        <w:rPr>
          <w:rFonts w:ascii="Segoe UI" w:hAnsi="Segoe UI" w:cs="Segoe UI"/>
          <w:sz w:val="20"/>
          <w:szCs w:val="20"/>
        </w:rPr>
        <w:t xml:space="preserve"> </w:t>
      </w:r>
      <w:proofErr w:type="gramStart"/>
      <w:r w:rsidRPr="00164A04">
        <w:rPr>
          <w:rFonts w:ascii="Segoe UI" w:hAnsi="Segoe UI" w:cs="Segoe UI"/>
          <w:sz w:val="20"/>
          <w:szCs w:val="20"/>
        </w:rPr>
        <w:t>Hasil dari penelitian ini juga dapat digunakan sebagai acuan untuk melaksanakan asuhan keperawatan pada dewasa muda dengan prehipertensi yang bertujuan untuk meningkatkan serta mempertahankan perilaku hidup sehat pada dewasa muda sehingga dapat mengurangi kasus hipertensi dan dapat memberikan asuhan keperawatan secara menyeluruh.</w:t>
      </w:r>
      <w:proofErr w:type="gramEnd"/>
    </w:p>
    <w:p w:rsidR="005F5384" w:rsidRDefault="005F5384" w:rsidP="001A1E95">
      <w:pPr>
        <w:spacing w:before="120" w:after="0"/>
        <w:ind w:firstLine="360"/>
        <w:jc w:val="both"/>
        <w:rPr>
          <w:rFonts w:ascii="Times New Roman" w:hAnsi="Times New Roman" w:cs="Times New Roman"/>
          <w:b/>
          <w:sz w:val="24"/>
          <w:szCs w:val="24"/>
        </w:rPr>
      </w:pPr>
    </w:p>
    <w:p w:rsidR="005F5384" w:rsidRPr="00164A04" w:rsidRDefault="005F5384" w:rsidP="00164A04">
      <w:pPr>
        <w:spacing w:before="120" w:after="0" w:line="240" w:lineRule="auto"/>
        <w:jc w:val="both"/>
        <w:rPr>
          <w:rFonts w:ascii="Segoe UI" w:hAnsi="Segoe UI" w:cs="Segoe UI"/>
          <w:b/>
          <w:sz w:val="16"/>
          <w:szCs w:val="16"/>
        </w:rPr>
      </w:pPr>
      <w:r w:rsidRPr="00164A04">
        <w:rPr>
          <w:rFonts w:ascii="Segoe UI" w:hAnsi="Segoe UI" w:cs="Segoe UI"/>
          <w:b/>
          <w:sz w:val="16"/>
          <w:szCs w:val="16"/>
        </w:rPr>
        <w:t>DAFTAR PUSTAKA</w:t>
      </w:r>
    </w:p>
    <w:p w:rsidR="005F5384" w:rsidRPr="00164A04" w:rsidRDefault="005F5384" w:rsidP="00164A04">
      <w:pPr>
        <w:widowControl w:val="0"/>
        <w:autoSpaceDE w:val="0"/>
        <w:autoSpaceDN w:val="0"/>
        <w:adjustRightInd w:val="0"/>
        <w:spacing w:after="0" w:line="240" w:lineRule="auto"/>
        <w:ind w:left="480" w:hanging="480"/>
        <w:jc w:val="both"/>
        <w:rPr>
          <w:rFonts w:ascii="Segoe UI" w:hAnsi="Segoe UI" w:cs="Segoe UI"/>
          <w:noProof/>
          <w:sz w:val="16"/>
          <w:szCs w:val="16"/>
        </w:rPr>
      </w:pPr>
      <w:r w:rsidRPr="00164A04">
        <w:rPr>
          <w:rFonts w:ascii="Segoe UI" w:hAnsi="Segoe UI" w:cs="Segoe UI"/>
          <w:sz w:val="16"/>
          <w:szCs w:val="16"/>
        </w:rPr>
        <w:fldChar w:fldCharType="begin" w:fldLock="1"/>
      </w:r>
      <w:r w:rsidRPr="00164A04">
        <w:rPr>
          <w:rFonts w:ascii="Segoe UI" w:hAnsi="Segoe UI" w:cs="Segoe UI"/>
          <w:sz w:val="16"/>
          <w:szCs w:val="16"/>
        </w:rPr>
        <w:instrText xml:space="preserve">ADDIN Mendeley Bibliography CSL_BIBLIOGRAPHY </w:instrText>
      </w:r>
      <w:r w:rsidRPr="00164A04">
        <w:rPr>
          <w:rFonts w:ascii="Segoe UI" w:hAnsi="Segoe UI" w:cs="Segoe UI"/>
          <w:sz w:val="16"/>
          <w:szCs w:val="16"/>
        </w:rPr>
        <w:fldChar w:fldCharType="separate"/>
      </w:r>
      <w:r w:rsidRPr="00164A04">
        <w:rPr>
          <w:rFonts w:ascii="Segoe UI" w:hAnsi="Segoe UI" w:cs="Segoe UI"/>
          <w:noProof/>
          <w:sz w:val="16"/>
          <w:szCs w:val="16"/>
        </w:rPr>
        <w:t xml:space="preserve">Al-zahrani, J., Shubair, M. M., Aldossari, K. K., Al-ghamdi, S., Alroba, R., Khaled, A., Angawi, K., &amp; El-metwally, A. (2021). </w:t>
      </w:r>
      <w:r w:rsidRPr="00164A04">
        <w:rPr>
          <w:rFonts w:ascii="Segoe UI" w:hAnsi="Segoe UI" w:cs="Segoe UI"/>
          <w:i/>
          <w:iCs/>
          <w:noProof/>
          <w:sz w:val="16"/>
          <w:szCs w:val="16"/>
        </w:rPr>
        <w:t>Saudi Journal of Biological Sciences Association between prehypertension and psychological distress among adults in Saudi Arabia : A population-based survey</w:t>
      </w:r>
      <w:r w:rsidRPr="00164A04">
        <w:rPr>
          <w:rFonts w:ascii="Segoe UI" w:hAnsi="Segoe UI" w:cs="Segoe UI"/>
          <w:noProof/>
          <w:sz w:val="16"/>
          <w:szCs w:val="16"/>
        </w:rPr>
        <w:t xml:space="preserve">. </w:t>
      </w:r>
      <w:r w:rsidRPr="00164A04">
        <w:rPr>
          <w:rFonts w:ascii="Segoe UI" w:hAnsi="Segoe UI" w:cs="Segoe UI"/>
          <w:i/>
          <w:iCs/>
          <w:noProof/>
          <w:sz w:val="16"/>
          <w:szCs w:val="16"/>
        </w:rPr>
        <w:t>28</w:t>
      </w:r>
      <w:r w:rsidRPr="00164A04">
        <w:rPr>
          <w:rFonts w:ascii="Segoe UI" w:hAnsi="Segoe UI" w:cs="Segoe UI"/>
          <w:noProof/>
          <w:sz w:val="16"/>
          <w:szCs w:val="16"/>
        </w:rPr>
        <w:t>, 5657–5661.</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Alatas, H. (2020). Studi Epidemiologi Perkembangan Prehipertensi Menjadi Normotensi , Tetap Prehipertensi , prehipertensi setelah 10 tahun pada populasi daerah ( normotensi ), tetap prehipertensi , menjadi. </w:t>
      </w:r>
      <w:r w:rsidRPr="00164A04">
        <w:rPr>
          <w:rFonts w:ascii="Segoe UI" w:hAnsi="Segoe UI" w:cs="Segoe UI"/>
          <w:i/>
          <w:iCs/>
          <w:noProof/>
          <w:sz w:val="16"/>
          <w:szCs w:val="16"/>
        </w:rPr>
        <w:t>Herb-Medicine Journal</w:t>
      </w:r>
      <w:r w:rsidRPr="00164A04">
        <w:rPr>
          <w:rFonts w:ascii="Segoe UI" w:hAnsi="Segoe UI" w:cs="Segoe UI"/>
          <w:noProof/>
          <w:sz w:val="16"/>
          <w:szCs w:val="16"/>
        </w:rPr>
        <w:t xml:space="preserve">, </w:t>
      </w:r>
      <w:r w:rsidRPr="00164A04">
        <w:rPr>
          <w:rFonts w:ascii="Segoe UI" w:hAnsi="Segoe UI" w:cs="Segoe UI"/>
          <w:i/>
          <w:iCs/>
          <w:noProof/>
          <w:sz w:val="16"/>
          <w:szCs w:val="16"/>
        </w:rPr>
        <w:t>3</w:t>
      </w:r>
      <w:r w:rsidRPr="00164A04">
        <w:rPr>
          <w:rFonts w:ascii="Segoe UI" w:hAnsi="Segoe UI" w:cs="Segoe UI"/>
          <w:noProof/>
          <w:sz w:val="16"/>
          <w:szCs w:val="16"/>
        </w:rPr>
        <w:t>, 1–6.</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Arundhana,  andi imam, &amp; Masnar, A. (2021). </w:t>
      </w:r>
      <w:r w:rsidRPr="00164A04">
        <w:rPr>
          <w:rFonts w:ascii="Segoe UI" w:hAnsi="Segoe UI" w:cs="Segoe UI"/>
          <w:i/>
          <w:iCs/>
          <w:noProof/>
          <w:sz w:val="16"/>
          <w:szCs w:val="16"/>
        </w:rPr>
        <w:t>Obesitas Anak dan Remaja (Faktor Risiko, Pencegahan, dan Isu Terkini)</w:t>
      </w:r>
      <w:r w:rsidRPr="00164A04">
        <w:rPr>
          <w:rFonts w:ascii="Segoe UI" w:hAnsi="Segoe UI" w:cs="Segoe UI"/>
          <w:noProof/>
          <w:sz w:val="16"/>
          <w:szCs w:val="16"/>
        </w:rPr>
        <w:t>. CV. Edugizi Pratama Indonesia.</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Bahar, H., Lestari, H., Ratu, A., DS,  ayu septiana, Rezkillah,  albrina roza, Astian, S., &amp; Wijaya, N. (2020). </w:t>
      </w:r>
      <w:r w:rsidRPr="00164A04">
        <w:rPr>
          <w:rFonts w:ascii="Segoe UI" w:hAnsi="Segoe UI" w:cs="Segoe UI"/>
          <w:i/>
          <w:iCs/>
          <w:noProof/>
          <w:sz w:val="16"/>
          <w:szCs w:val="16"/>
        </w:rPr>
        <w:t>Penyuluhan Kesehatan Dengan Pendekatan Epidemiologi Perilaku</w:t>
      </w:r>
      <w:r w:rsidRPr="00164A04">
        <w:rPr>
          <w:rFonts w:ascii="Segoe UI" w:hAnsi="Segoe UI" w:cs="Segoe UI"/>
          <w:noProof/>
          <w:sz w:val="16"/>
          <w:szCs w:val="16"/>
        </w:rPr>
        <w:t>. Guepedia.</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Darmareja, R., Sihombng,  riama marlyn, Mukhoirotin, Haro, M., Sari,  tesha hestyana, Rantung, J., Wulandari,  imanuel sri mei, Suwarto, T., &amp; Hutapea,  adventina delima. (2021). </w:t>
      </w:r>
      <w:r w:rsidRPr="00164A04">
        <w:rPr>
          <w:rFonts w:ascii="Segoe UI" w:hAnsi="Segoe UI" w:cs="Segoe UI"/>
          <w:i/>
          <w:iCs/>
          <w:noProof/>
          <w:sz w:val="16"/>
          <w:szCs w:val="16"/>
        </w:rPr>
        <w:t>Dasar-Dasar Keperawatan : Konsep Untuk Mahasiswa Keperawatan.</w:t>
      </w:r>
      <w:r w:rsidRPr="00164A04">
        <w:rPr>
          <w:rFonts w:ascii="Segoe UI" w:hAnsi="Segoe UI" w:cs="Segoe UI"/>
          <w:noProof/>
          <w:sz w:val="16"/>
          <w:szCs w:val="16"/>
        </w:rPr>
        <w:t xml:space="preserve"> (R. Watrianthos (ed.)). yayasan kita menulis.</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Dinar, N. (2013). </w:t>
      </w:r>
      <w:r w:rsidRPr="00164A04">
        <w:rPr>
          <w:rFonts w:ascii="Segoe UI" w:hAnsi="Segoe UI" w:cs="Segoe UI"/>
          <w:i/>
          <w:iCs/>
          <w:noProof/>
          <w:sz w:val="16"/>
          <w:szCs w:val="16"/>
        </w:rPr>
        <w:t>Korea A to Z</w:t>
      </w:r>
      <w:r w:rsidRPr="00164A04">
        <w:rPr>
          <w:rFonts w:ascii="Segoe UI" w:hAnsi="Segoe UI" w:cs="Segoe UI"/>
          <w:noProof/>
          <w:sz w:val="16"/>
          <w:szCs w:val="16"/>
        </w:rPr>
        <w:t xml:space="preserve"> (D. Widjajanto (ed.)). PT Gramedia Pustaka Utama.</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Green,  lawrence w, Gielen,  andrea carlson, Ottoson,  judith m, Darleen v petterson, &amp; Kreuter,  marshall w. (2022). </w:t>
      </w:r>
      <w:r w:rsidRPr="00164A04">
        <w:rPr>
          <w:rFonts w:ascii="Segoe UI" w:hAnsi="Segoe UI" w:cs="Segoe UI"/>
          <w:i/>
          <w:iCs/>
          <w:noProof/>
          <w:sz w:val="16"/>
          <w:szCs w:val="16"/>
        </w:rPr>
        <w:t>Health Proram Planning, Implementation, and Evaluation. Baltimore</w:t>
      </w:r>
      <w:r w:rsidRPr="00164A04">
        <w:rPr>
          <w:rFonts w:ascii="Segoe UI" w:hAnsi="Segoe UI" w:cs="Segoe UI"/>
          <w:noProof/>
          <w:sz w:val="16"/>
          <w:szCs w:val="16"/>
        </w:rPr>
        <w:t>. Johns Hopkins University Press.</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Jang, I. (2021). </w:t>
      </w:r>
      <w:r w:rsidRPr="00164A04">
        <w:rPr>
          <w:rFonts w:ascii="Segoe UI" w:hAnsi="Segoe UI" w:cs="Segoe UI"/>
          <w:i/>
          <w:iCs/>
          <w:noProof/>
          <w:sz w:val="16"/>
          <w:szCs w:val="16"/>
        </w:rPr>
        <w:t>Pre-Hypertension and Its Determinants in Healthy Young Adults : Analysis of Data from the Korean National Health and Nutrition Examination Survey VII</w:t>
      </w:r>
      <w:r w:rsidRPr="00164A04">
        <w:rPr>
          <w:rFonts w:ascii="Segoe UI" w:hAnsi="Segoe UI" w:cs="Segoe UI"/>
          <w:noProof/>
          <w:sz w:val="16"/>
          <w:szCs w:val="16"/>
        </w:rPr>
        <w:t xml:space="preserve">. </w:t>
      </w:r>
      <w:r w:rsidRPr="00164A04">
        <w:rPr>
          <w:rFonts w:ascii="Segoe UI" w:hAnsi="Segoe UI" w:cs="Segoe UI"/>
          <w:i/>
          <w:iCs/>
          <w:noProof/>
          <w:sz w:val="16"/>
          <w:szCs w:val="16"/>
        </w:rPr>
        <w:t>August 2019</w:t>
      </w:r>
      <w:r w:rsidRPr="00164A04">
        <w:rPr>
          <w:rFonts w:ascii="Segoe UI" w:hAnsi="Segoe UI" w:cs="Segoe UI"/>
          <w:noProof/>
          <w:sz w:val="16"/>
          <w:szCs w:val="16"/>
        </w:rPr>
        <w:t>. https://doi.org/10.3390/%0Aijerph18179144</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Jenita. (2021). </w:t>
      </w:r>
      <w:r w:rsidRPr="00164A04">
        <w:rPr>
          <w:rFonts w:ascii="Segoe UI" w:hAnsi="Segoe UI" w:cs="Segoe UI"/>
          <w:i/>
          <w:iCs/>
          <w:noProof/>
          <w:sz w:val="16"/>
          <w:szCs w:val="16"/>
        </w:rPr>
        <w:t>Motivasi, Kemampuan, dan Pelaksanaan Kinerja</w:t>
      </w:r>
      <w:r w:rsidRPr="00164A04">
        <w:rPr>
          <w:rFonts w:ascii="Segoe UI" w:hAnsi="Segoe UI" w:cs="Segoe UI"/>
          <w:noProof/>
          <w:sz w:val="16"/>
          <w:szCs w:val="16"/>
        </w:rPr>
        <w:t xml:space="preserve"> (M. Suardi (ed.)). Insan Cendikia Mandiri.</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Kemenkes RI. (2013). </w:t>
      </w:r>
      <w:r w:rsidRPr="00164A04">
        <w:rPr>
          <w:rFonts w:ascii="Segoe UI" w:hAnsi="Segoe UI" w:cs="Segoe UI"/>
          <w:i/>
          <w:iCs/>
          <w:noProof/>
          <w:sz w:val="16"/>
          <w:szCs w:val="16"/>
        </w:rPr>
        <w:t>Pedoman Teknis Penemuan dan Tatalaksana Hipertensi</w:t>
      </w:r>
      <w:r w:rsidRPr="00164A04">
        <w:rPr>
          <w:rFonts w:ascii="Segoe UI" w:hAnsi="Segoe UI" w:cs="Segoe UI"/>
          <w:noProof/>
          <w:sz w:val="16"/>
          <w:szCs w:val="16"/>
        </w:rPr>
        <w:t>.</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Kementrian Kesehatan RI. (2019). </w:t>
      </w:r>
      <w:r w:rsidRPr="00164A04">
        <w:rPr>
          <w:rFonts w:ascii="Segoe UI" w:hAnsi="Segoe UI" w:cs="Segoe UI"/>
          <w:i/>
          <w:iCs/>
          <w:noProof/>
          <w:sz w:val="16"/>
          <w:szCs w:val="16"/>
        </w:rPr>
        <w:t xml:space="preserve">Laporan Nasional, </w:t>
      </w:r>
      <w:r w:rsidRPr="00164A04">
        <w:rPr>
          <w:rFonts w:ascii="Segoe UI" w:hAnsi="Segoe UI" w:cs="Segoe UI"/>
          <w:i/>
          <w:iCs/>
          <w:noProof/>
          <w:sz w:val="16"/>
          <w:szCs w:val="16"/>
        </w:rPr>
        <w:lastRenderedPageBreak/>
        <w:t>Riskesdas 2018</w:t>
      </w:r>
      <w:r w:rsidRPr="00164A04">
        <w:rPr>
          <w:rFonts w:ascii="Segoe UI" w:hAnsi="Segoe UI" w:cs="Segoe UI"/>
          <w:noProof/>
          <w:sz w:val="16"/>
          <w:szCs w:val="16"/>
        </w:rPr>
        <w:t>.</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Komalasari, V., Shalahuddin, I., &amp; Harun, H. (2020). Gambaran pengetahuan, sikap dan perilaku tentang manajemen diet pada pasien hipertensi di Garut, Indonesia. </w:t>
      </w:r>
      <w:r w:rsidRPr="00164A04">
        <w:rPr>
          <w:rFonts w:ascii="Segoe UI" w:hAnsi="Segoe UI" w:cs="Segoe UI"/>
          <w:i/>
          <w:iCs/>
          <w:noProof/>
          <w:sz w:val="16"/>
          <w:szCs w:val="16"/>
        </w:rPr>
        <w:t>Holistik Jurnal Kesehatan</w:t>
      </w:r>
      <w:r w:rsidRPr="00164A04">
        <w:rPr>
          <w:rFonts w:ascii="Segoe UI" w:hAnsi="Segoe UI" w:cs="Segoe UI"/>
          <w:noProof/>
          <w:sz w:val="16"/>
          <w:szCs w:val="16"/>
        </w:rPr>
        <w:t xml:space="preserve">, </w:t>
      </w:r>
      <w:r w:rsidRPr="00164A04">
        <w:rPr>
          <w:rFonts w:ascii="Segoe UI" w:hAnsi="Segoe UI" w:cs="Segoe UI"/>
          <w:i/>
          <w:iCs/>
          <w:noProof/>
          <w:sz w:val="16"/>
          <w:szCs w:val="16"/>
        </w:rPr>
        <w:t>14</w:t>
      </w:r>
      <w:r w:rsidRPr="00164A04">
        <w:rPr>
          <w:rFonts w:ascii="Segoe UI" w:hAnsi="Segoe UI" w:cs="Segoe UI"/>
          <w:noProof/>
          <w:sz w:val="16"/>
          <w:szCs w:val="16"/>
        </w:rPr>
        <w:t>(4), 494–502. https://doi.org/10.33024/hjk.v14i4.2989</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Lingga, L. (2012). </w:t>
      </w:r>
      <w:r w:rsidRPr="00164A04">
        <w:rPr>
          <w:rFonts w:ascii="Segoe UI" w:hAnsi="Segoe UI" w:cs="Segoe UI"/>
          <w:i/>
          <w:iCs/>
          <w:noProof/>
          <w:sz w:val="16"/>
          <w:szCs w:val="16"/>
        </w:rPr>
        <w:t>Bebas Hipertensi Tanpa Obat</w:t>
      </w:r>
      <w:r w:rsidRPr="00164A04">
        <w:rPr>
          <w:rFonts w:ascii="Segoe UI" w:hAnsi="Segoe UI" w:cs="Segoe UI"/>
          <w:noProof/>
          <w:sz w:val="16"/>
          <w:szCs w:val="16"/>
        </w:rPr>
        <w:t>. Agro Media Pustaka.</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Lydia, A., Setiati, S., Soejono, C. H., Istanti, R., Marsigit, J., &amp; Azwar, M. K. (2021). Prevalence of prehypertension and its risk factors in midlife and late life : Indonesian family life survey 2014 – 2015. </w:t>
      </w:r>
      <w:r w:rsidRPr="00164A04">
        <w:rPr>
          <w:rFonts w:ascii="Segoe UI" w:hAnsi="Segoe UI" w:cs="Segoe UI"/>
          <w:i/>
          <w:iCs/>
          <w:noProof/>
          <w:sz w:val="16"/>
          <w:szCs w:val="16"/>
        </w:rPr>
        <w:t>BMC Public Health</w:t>
      </w:r>
      <w:r w:rsidRPr="00164A04">
        <w:rPr>
          <w:rFonts w:ascii="Segoe UI" w:hAnsi="Segoe UI" w:cs="Segoe UI"/>
          <w:noProof/>
          <w:sz w:val="16"/>
          <w:szCs w:val="16"/>
        </w:rPr>
        <w:t>, 1–11. https://doi.org/10.1186/s12889-021-10544-y</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Mecha, J. O., Kubo, E. N., Odhiambo, C. O., Kinoti, F. G., Njau, K., Yonga, G., &amp; Ogola, E. N. (2020). Burden of prehypertension among adults in Kenya : a retrospective analysis of findings from the Healthy Heart Africa ( HHA ) Programme. </w:t>
      </w:r>
      <w:r w:rsidRPr="00164A04">
        <w:rPr>
          <w:rFonts w:ascii="Segoe UI" w:hAnsi="Segoe UI" w:cs="Segoe UI"/>
          <w:i/>
          <w:iCs/>
          <w:noProof/>
          <w:sz w:val="16"/>
          <w:szCs w:val="16"/>
        </w:rPr>
        <w:t>BMC Public Health</w:t>
      </w:r>
      <w:r w:rsidRPr="00164A04">
        <w:rPr>
          <w:rFonts w:ascii="Segoe UI" w:hAnsi="Segoe UI" w:cs="Segoe UI"/>
          <w:noProof/>
          <w:sz w:val="16"/>
          <w:szCs w:val="16"/>
        </w:rPr>
        <w:t>, 1–7.</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Nursiam, Y., Mayetti, &amp; Deswita. (2022). </w:t>
      </w:r>
      <w:r w:rsidRPr="00164A04">
        <w:rPr>
          <w:rFonts w:ascii="Segoe UI" w:hAnsi="Segoe UI" w:cs="Segoe UI"/>
          <w:i/>
          <w:iCs/>
          <w:noProof/>
          <w:sz w:val="16"/>
          <w:szCs w:val="16"/>
        </w:rPr>
        <w:t>Karakteristik Responden Selama Pengambilan Darah Vena Terhadap Tekanan Darah Pada Anak</w:t>
      </w:r>
      <w:r w:rsidRPr="00164A04">
        <w:rPr>
          <w:rFonts w:ascii="Segoe UI" w:hAnsi="Segoe UI" w:cs="Segoe UI"/>
          <w:noProof/>
          <w:sz w:val="16"/>
          <w:szCs w:val="16"/>
        </w:rPr>
        <w:t xml:space="preserve">. </w:t>
      </w:r>
      <w:r w:rsidRPr="00164A04">
        <w:rPr>
          <w:rFonts w:ascii="Segoe UI" w:hAnsi="Segoe UI" w:cs="Segoe UI"/>
          <w:i/>
          <w:iCs/>
          <w:noProof/>
          <w:sz w:val="16"/>
          <w:szCs w:val="16"/>
        </w:rPr>
        <w:t>5</w:t>
      </w:r>
      <w:r w:rsidRPr="00164A04">
        <w:rPr>
          <w:rFonts w:ascii="Segoe UI" w:hAnsi="Segoe UI" w:cs="Segoe UI"/>
          <w:noProof/>
          <w:sz w:val="16"/>
          <w:szCs w:val="16"/>
        </w:rPr>
        <w:t>, 887–892. https://doi.org/https://doi.org/10.31539/jks.v5i2.3560</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Owiredu, E. W., Dontoh, E., Essuman, S. E. S., &amp; Bazanfara, B. B. (2019). Demographic and Lifestyle Predictors of Prehypertension: A Cross-Sectional Study among Apparently Healthy Adults in Kumasi, Ghana. </w:t>
      </w:r>
      <w:r w:rsidRPr="00164A04">
        <w:rPr>
          <w:rFonts w:ascii="Segoe UI" w:hAnsi="Segoe UI" w:cs="Segoe UI"/>
          <w:i/>
          <w:iCs/>
          <w:noProof/>
          <w:sz w:val="16"/>
          <w:szCs w:val="16"/>
        </w:rPr>
        <w:t>BioMed Research International</w:t>
      </w:r>
      <w:r w:rsidRPr="00164A04">
        <w:rPr>
          <w:rFonts w:ascii="Segoe UI" w:hAnsi="Segoe UI" w:cs="Segoe UI"/>
          <w:noProof/>
          <w:sz w:val="16"/>
          <w:szCs w:val="16"/>
        </w:rPr>
        <w:t xml:space="preserve">, </w:t>
      </w:r>
      <w:r w:rsidRPr="00164A04">
        <w:rPr>
          <w:rFonts w:ascii="Segoe UI" w:hAnsi="Segoe UI" w:cs="Segoe UI"/>
          <w:i/>
          <w:iCs/>
          <w:noProof/>
          <w:sz w:val="16"/>
          <w:szCs w:val="16"/>
        </w:rPr>
        <w:t>2019</w:t>
      </w:r>
      <w:r w:rsidRPr="00164A04">
        <w:rPr>
          <w:rFonts w:ascii="Segoe UI" w:hAnsi="Segoe UI" w:cs="Segoe UI"/>
          <w:noProof/>
          <w:sz w:val="16"/>
          <w:szCs w:val="16"/>
        </w:rPr>
        <w:t>. https://doi.org/10.1155/2019/1764079</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Priska, N., Mira, M., Dadang, R., &amp; Siti, F. B. (2019). </w:t>
      </w:r>
      <w:r w:rsidRPr="00164A04">
        <w:rPr>
          <w:rFonts w:ascii="Segoe UI" w:hAnsi="Segoe UI" w:cs="Segoe UI"/>
          <w:i/>
          <w:iCs/>
          <w:noProof/>
          <w:sz w:val="16"/>
          <w:szCs w:val="16"/>
        </w:rPr>
        <w:t>Peranan Konseling Diet Daph Termodifikasi Dan Cincau Hijau Terhadap Penurunan Tekanan Darah Prehipertensi Dewasa</w:t>
      </w:r>
      <w:r w:rsidRPr="00164A04">
        <w:rPr>
          <w:rFonts w:ascii="Segoe UI" w:hAnsi="Segoe UI" w:cs="Segoe UI"/>
          <w:noProof/>
          <w:sz w:val="16"/>
          <w:szCs w:val="16"/>
        </w:rPr>
        <w:t xml:space="preserve">. </w:t>
      </w:r>
      <w:r w:rsidRPr="00164A04">
        <w:rPr>
          <w:rFonts w:ascii="Segoe UI" w:hAnsi="Segoe UI" w:cs="Segoe UI"/>
          <w:i/>
          <w:iCs/>
          <w:noProof/>
          <w:sz w:val="16"/>
          <w:szCs w:val="16"/>
        </w:rPr>
        <w:t>11</w:t>
      </w:r>
      <w:r w:rsidRPr="00164A04">
        <w:rPr>
          <w:rFonts w:ascii="Segoe UI" w:hAnsi="Segoe UI" w:cs="Segoe UI"/>
          <w:noProof/>
          <w:sz w:val="16"/>
          <w:szCs w:val="16"/>
        </w:rPr>
        <w:t>, 113–123.</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Rafan, S. N., Zakaria, R., Ismail, S. B., &amp; Muhamad, R. (2018). </w:t>
      </w:r>
      <w:r w:rsidRPr="00164A04">
        <w:rPr>
          <w:rFonts w:ascii="Segoe UI" w:hAnsi="Segoe UI" w:cs="Segoe UI"/>
          <w:i/>
          <w:iCs/>
          <w:noProof/>
          <w:sz w:val="16"/>
          <w:szCs w:val="16"/>
        </w:rPr>
        <w:t>Prevalence of prehypertension and its associated factors among adults visiting outpatient clinic in Northeast Malaysia</w:t>
      </w:r>
      <w:r w:rsidRPr="00164A04">
        <w:rPr>
          <w:rFonts w:ascii="Segoe UI" w:hAnsi="Segoe UI" w:cs="Segoe UI"/>
          <w:noProof/>
          <w:sz w:val="16"/>
          <w:szCs w:val="16"/>
        </w:rPr>
        <w:t xml:space="preserve">. </w:t>
      </w:r>
      <w:r w:rsidRPr="00164A04">
        <w:rPr>
          <w:rFonts w:ascii="Segoe UI" w:hAnsi="Segoe UI" w:cs="Segoe UI"/>
          <w:i/>
          <w:iCs/>
          <w:noProof/>
          <w:sz w:val="16"/>
          <w:szCs w:val="16"/>
        </w:rPr>
        <w:t>13</w:t>
      </w:r>
      <w:r w:rsidRPr="00164A04">
        <w:rPr>
          <w:rFonts w:ascii="Segoe UI" w:hAnsi="Segoe UI" w:cs="Segoe UI"/>
          <w:noProof/>
          <w:sz w:val="16"/>
          <w:szCs w:val="16"/>
        </w:rPr>
        <w:t>.</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Rahman, A., Parvez, M., Ratul, H., Narayan, U., &amp; Kanti, S. (2021). </w:t>
      </w:r>
      <w:r w:rsidRPr="00164A04">
        <w:rPr>
          <w:rFonts w:ascii="Segoe UI" w:hAnsi="Segoe UI" w:cs="Segoe UI"/>
          <w:i/>
          <w:iCs/>
          <w:noProof/>
          <w:sz w:val="16"/>
          <w:szCs w:val="16"/>
        </w:rPr>
        <w:t>Prevalence of and factors associated with prehypertension and hypertension among Bangladeshi young adults : An analysis of the Bangladesh Demographic and Health Survey 2017 – 18</w:t>
      </w:r>
      <w:r w:rsidRPr="00164A04">
        <w:rPr>
          <w:rFonts w:ascii="Segoe UI" w:hAnsi="Segoe UI" w:cs="Segoe UI"/>
          <w:noProof/>
          <w:sz w:val="16"/>
          <w:szCs w:val="16"/>
        </w:rPr>
        <w:t xml:space="preserve">. </w:t>
      </w:r>
      <w:r w:rsidRPr="00164A04">
        <w:rPr>
          <w:rFonts w:ascii="Segoe UI" w:hAnsi="Segoe UI" w:cs="Segoe UI"/>
          <w:i/>
          <w:iCs/>
          <w:noProof/>
          <w:sz w:val="16"/>
          <w:szCs w:val="16"/>
        </w:rPr>
        <w:t>12</w:t>
      </w:r>
      <w:r w:rsidRPr="00164A04">
        <w:rPr>
          <w:rFonts w:ascii="Segoe UI" w:hAnsi="Segoe UI" w:cs="Segoe UI"/>
          <w:noProof/>
          <w:sz w:val="16"/>
          <w:szCs w:val="16"/>
        </w:rPr>
        <w:t>(July).</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lastRenderedPageBreak/>
        <w:t xml:space="preserve">Rahmawati. (2022). </w:t>
      </w:r>
      <w:r w:rsidRPr="00164A04">
        <w:rPr>
          <w:rFonts w:ascii="Segoe UI" w:hAnsi="Segoe UI" w:cs="Segoe UI"/>
          <w:i/>
          <w:iCs/>
          <w:noProof/>
          <w:sz w:val="16"/>
          <w:szCs w:val="16"/>
        </w:rPr>
        <w:t>Pencegahan Primer Stroke Penderita Hipertensi Melalui Health Literacy Apps</w:t>
      </w:r>
      <w:r w:rsidRPr="00164A04">
        <w:rPr>
          <w:rFonts w:ascii="Segoe UI" w:hAnsi="Segoe UI" w:cs="Segoe UI"/>
          <w:noProof/>
          <w:sz w:val="16"/>
          <w:szCs w:val="16"/>
        </w:rPr>
        <w:t xml:space="preserve"> ( rintho r Rerung (ed.)). Media Sains Indonesia.</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Rakasiwi, L. S. (2021). Pengaruh Faktor Demografi dan Sosial Ekonomi terhadap Status Kesehatan Individu di Indonesia. </w:t>
      </w:r>
      <w:r w:rsidRPr="00164A04">
        <w:rPr>
          <w:rFonts w:ascii="Segoe UI" w:hAnsi="Segoe UI" w:cs="Segoe UI"/>
          <w:i/>
          <w:iCs/>
          <w:noProof/>
          <w:sz w:val="16"/>
          <w:szCs w:val="16"/>
        </w:rPr>
        <w:t>Kajian Ekonomi Dan Keuangan</w:t>
      </w:r>
      <w:r w:rsidRPr="00164A04">
        <w:rPr>
          <w:rFonts w:ascii="Segoe UI" w:hAnsi="Segoe UI" w:cs="Segoe UI"/>
          <w:noProof/>
          <w:sz w:val="16"/>
          <w:szCs w:val="16"/>
        </w:rPr>
        <w:t xml:space="preserve">, </w:t>
      </w:r>
      <w:r w:rsidRPr="00164A04">
        <w:rPr>
          <w:rFonts w:ascii="Segoe UI" w:hAnsi="Segoe UI" w:cs="Segoe UI"/>
          <w:i/>
          <w:iCs/>
          <w:noProof/>
          <w:sz w:val="16"/>
          <w:szCs w:val="16"/>
        </w:rPr>
        <w:t>5</w:t>
      </w:r>
      <w:r w:rsidRPr="00164A04">
        <w:rPr>
          <w:rFonts w:ascii="Segoe UI" w:hAnsi="Segoe UI" w:cs="Segoe UI"/>
          <w:noProof/>
          <w:sz w:val="16"/>
          <w:szCs w:val="16"/>
        </w:rPr>
        <w:t>(2), 146–157. https://doi.org/10.31685/kek.v5i2.1008</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Ramadhan, A., &amp; Djajakusumah, T. S. (2021). Hubungan antara Indeks Massa Tubuh dan Grade Hipertensi pada Pasien Hipertensi Rawat Jalan Lansia di Poliklinik Jantung RSUD Al-Ihsan Kabupaten Bandung Tahun 2019. </w:t>
      </w:r>
      <w:r w:rsidRPr="00164A04">
        <w:rPr>
          <w:rFonts w:ascii="Segoe UI" w:hAnsi="Segoe UI" w:cs="Segoe UI"/>
          <w:i/>
          <w:iCs/>
          <w:noProof/>
          <w:sz w:val="16"/>
          <w:szCs w:val="16"/>
        </w:rPr>
        <w:t>Prosiding Kedokteran</w:t>
      </w:r>
      <w:r w:rsidRPr="00164A04">
        <w:rPr>
          <w:rFonts w:ascii="Segoe UI" w:hAnsi="Segoe UI" w:cs="Segoe UI"/>
          <w:noProof/>
          <w:sz w:val="16"/>
          <w:szCs w:val="16"/>
        </w:rPr>
        <w:t xml:space="preserve">, </w:t>
      </w:r>
      <w:r w:rsidRPr="00164A04">
        <w:rPr>
          <w:rFonts w:ascii="Segoe UI" w:hAnsi="Segoe UI" w:cs="Segoe UI"/>
          <w:i/>
          <w:iCs/>
          <w:noProof/>
          <w:sz w:val="16"/>
          <w:szCs w:val="16"/>
        </w:rPr>
        <w:t>7</w:t>
      </w:r>
      <w:r w:rsidRPr="00164A04">
        <w:rPr>
          <w:rFonts w:ascii="Segoe UI" w:hAnsi="Segoe UI" w:cs="Segoe UI"/>
          <w:noProof/>
          <w:sz w:val="16"/>
          <w:szCs w:val="16"/>
        </w:rPr>
        <w:t>, 284–287.</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Ridwan, M. (2017). </w:t>
      </w:r>
      <w:r w:rsidRPr="00164A04">
        <w:rPr>
          <w:rFonts w:ascii="Segoe UI" w:hAnsi="Segoe UI" w:cs="Segoe UI"/>
          <w:i/>
          <w:iCs/>
          <w:noProof/>
          <w:sz w:val="16"/>
          <w:szCs w:val="16"/>
        </w:rPr>
        <w:t>Mengenal, Mencegah, Dan Mengatasi Silent Killer Hipertensi</w:t>
      </w:r>
      <w:r w:rsidRPr="00164A04">
        <w:rPr>
          <w:rFonts w:ascii="Segoe UI" w:hAnsi="Segoe UI" w:cs="Segoe UI"/>
          <w:noProof/>
          <w:sz w:val="16"/>
          <w:szCs w:val="16"/>
        </w:rPr>
        <w:t>. Romawi Press.</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Rosdiana. (2021). </w:t>
      </w:r>
      <w:r w:rsidRPr="00164A04">
        <w:rPr>
          <w:rFonts w:ascii="Segoe UI" w:hAnsi="Segoe UI" w:cs="Segoe UI"/>
          <w:i/>
          <w:iCs/>
          <w:noProof/>
          <w:sz w:val="16"/>
          <w:szCs w:val="16"/>
        </w:rPr>
        <w:t>Pencegahan Obesitas dengan Exercise</w:t>
      </w:r>
      <w:r w:rsidRPr="00164A04">
        <w:rPr>
          <w:rFonts w:ascii="Segoe UI" w:hAnsi="Segoe UI" w:cs="Segoe UI"/>
          <w:noProof/>
          <w:sz w:val="16"/>
          <w:szCs w:val="16"/>
        </w:rPr>
        <w:t>. Penerbit NEM.</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Selvaraj,  sitanshu sekahr kar kalaiselvi, Ramaswamy, G., &amp; Kalidoss, K. C. premarajan ganesh kumar saya vinodhkumar. (2020). High Prevalence of Prehypertension and its Association with Modifiable Risk Factors : Findings of Household STEPS Survey from Urban Puducherry, South India. </w:t>
      </w:r>
      <w:r w:rsidRPr="00164A04">
        <w:rPr>
          <w:rFonts w:ascii="Segoe UI" w:hAnsi="Segoe UI" w:cs="Segoe UI"/>
          <w:i/>
          <w:iCs/>
          <w:noProof/>
          <w:sz w:val="16"/>
          <w:szCs w:val="16"/>
        </w:rPr>
        <w:t>International Journal of Preventive Medicine</w:t>
      </w:r>
      <w:r w:rsidRPr="00164A04">
        <w:rPr>
          <w:rFonts w:ascii="Segoe UI" w:hAnsi="Segoe UI" w:cs="Segoe UI"/>
          <w:noProof/>
          <w:sz w:val="16"/>
          <w:szCs w:val="16"/>
        </w:rPr>
        <w:t>. https://doi.org/10.4103/ijpvm.IJPVM</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Song, J., Chen, X., Zhao, Y., Mi, J., &amp; Wu, X. (2018). </w:t>
      </w:r>
      <w:r w:rsidRPr="00164A04">
        <w:rPr>
          <w:rFonts w:ascii="Segoe UI" w:hAnsi="Segoe UI" w:cs="Segoe UI"/>
          <w:i/>
          <w:iCs/>
          <w:noProof/>
          <w:sz w:val="16"/>
          <w:szCs w:val="16"/>
        </w:rPr>
        <w:t>Risk factors for prehypertension and their interactive effect : a cross- sectional survey in China</w:t>
      </w:r>
      <w:r w:rsidRPr="00164A04">
        <w:rPr>
          <w:rFonts w:ascii="Segoe UI" w:hAnsi="Segoe UI" w:cs="Segoe UI"/>
          <w:noProof/>
          <w:sz w:val="16"/>
          <w:szCs w:val="16"/>
        </w:rPr>
        <w:t>. 1–11.</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Suhadi, R., Hendra, P., Wijoyo, Y., Virginia,  dita maria, &amp; Setiawan, C. (2016). </w:t>
      </w:r>
      <w:r w:rsidRPr="00164A04">
        <w:rPr>
          <w:rFonts w:ascii="Segoe UI" w:hAnsi="Segoe UI" w:cs="Segoe UI"/>
          <w:i/>
          <w:iCs/>
          <w:noProof/>
          <w:sz w:val="16"/>
          <w:szCs w:val="16"/>
        </w:rPr>
        <w:t>Seluk Beluk Hipertensi : Peningkatan Kompetensi Klinis Untuk Pelayanan Kefarmasian</w:t>
      </w:r>
      <w:r w:rsidRPr="00164A04">
        <w:rPr>
          <w:rFonts w:ascii="Segoe UI" w:hAnsi="Segoe UI" w:cs="Segoe UI"/>
          <w:noProof/>
          <w:sz w:val="16"/>
          <w:szCs w:val="16"/>
        </w:rPr>
        <w:t>. Sanata Dharma University Press.</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Svetkey, L. P. (2005). Management of prehypertension. </w:t>
      </w:r>
      <w:r w:rsidRPr="00164A04">
        <w:rPr>
          <w:rFonts w:ascii="Segoe UI" w:hAnsi="Segoe UI" w:cs="Segoe UI"/>
          <w:i/>
          <w:iCs/>
          <w:noProof/>
          <w:sz w:val="16"/>
          <w:szCs w:val="16"/>
        </w:rPr>
        <w:t>Hypertension</w:t>
      </w:r>
      <w:r w:rsidRPr="00164A04">
        <w:rPr>
          <w:rFonts w:ascii="Segoe UI" w:hAnsi="Segoe UI" w:cs="Segoe UI"/>
          <w:noProof/>
          <w:sz w:val="16"/>
          <w:szCs w:val="16"/>
        </w:rPr>
        <w:t xml:space="preserve">, </w:t>
      </w:r>
      <w:r w:rsidRPr="00164A04">
        <w:rPr>
          <w:rFonts w:ascii="Segoe UI" w:hAnsi="Segoe UI" w:cs="Segoe UI"/>
          <w:i/>
          <w:iCs/>
          <w:noProof/>
          <w:sz w:val="16"/>
          <w:szCs w:val="16"/>
        </w:rPr>
        <w:t>45</w:t>
      </w:r>
      <w:r w:rsidRPr="00164A04">
        <w:rPr>
          <w:rFonts w:ascii="Segoe UI" w:hAnsi="Segoe UI" w:cs="Segoe UI"/>
          <w:noProof/>
          <w:sz w:val="16"/>
          <w:szCs w:val="16"/>
        </w:rPr>
        <w:t>(6), 1056–1061. https://doi.org/10.1161/01.HYP.0000167152.98618.4b</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Tryastuti, D. (2018). </w:t>
      </w:r>
      <w:r w:rsidRPr="00164A04">
        <w:rPr>
          <w:rFonts w:ascii="Segoe UI" w:hAnsi="Segoe UI" w:cs="Segoe UI"/>
          <w:i/>
          <w:iCs/>
          <w:noProof/>
          <w:sz w:val="16"/>
          <w:szCs w:val="16"/>
        </w:rPr>
        <w:t>Hubungan Karakteristik Individu Dan Praktik Kesehatan Keluarga Dengan Kejadian Pre-Hipertensi Di Kelurahan Srengseng Sawah Kecamatan Jagakarsa Jakarta Selatan</w:t>
      </w:r>
      <w:r w:rsidRPr="00164A04">
        <w:rPr>
          <w:rFonts w:ascii="Segoe UI" w:hAnsi="Segoe UI" w:cs="Segoe UI"/>
          <w:noProof/>
          <w:sz w:val="16"/>
          <w:szCs w:val="16"/>
        </w:rPr>
        <w:t xml:space="preserve">. </w:t>
      </w:r>
      <w:r w:rsidRPr="00164A04">
        <w:rPr>
          <w:rFonts w:ascii="Segoe UI" w:hAnsi="Segoe UI" w:cs="Segoe UI"/>
          <w:i/>
          <w:iCs/>
          <w:noProof/>
          <w:sz w:val="16"/>
          <w:szCs w:val="16"/>
        </w:rPr>
        <w:t>10</w:t>
      </w:r>
      <w:r w:rsidRPr="00164A04">
        <w:rPr>
          <w:rFonts w:ascii="Segoe UI" w:hAnsi="Segoe UI" w:cs="Segoe UI"/>
          <w:noProof/>
          <w:sz w:val="16"/>
          <w:szCs w:val="16"/>
        </w:rPr>
        <w:t>(1), 55–63.</w:t>
      </w:r>
    </w:p>
    <w:p w:rsidR="005F5384" w:rsidRPr="00164A04" w:rsidRDefault="005F5384" w:rsidP="00164A04">
      <w:pPr>
        <w:widowControl w:val="0"/>
        <w:autoSpaceDE w:val="0"/>
        <w:autoSpaceDN w:val="0"/>
        <w:adjustRightInd w:val="0"/>
        <w:spacing w:before="120" w:after="0" w:line="240" w:lineRule="auto"/>
        <w:ind w:left="480" w:hanging="480"/>
        <w:jc w:val="both"/>
        <w:rPr>
          <w:rFonts w:ascii="Segoe UI" w:hAnsi="Segoe UI" w:cs="Segoe UI"/>
          <w:noProof/>
          <w:sz w:val="16"/>
          <w:szCs w:val="16"/>
        </w:rPr>
      </w:pPr>
      <w:r w:rsidRPr="00164A04">
        <w:rPr>
          <w:rFonts w:ascii="Segoe UI" w:hAnsi="Segoe UI" w:cs="Segoe UI"/>
          <w:noProof/>
          <w:sz w:val="16"/>
          <w:szCs w:val="16"/>
        </w:rPr>
        <w:t xml:space="preserve">Tryastuti, D. (2019). </w:t>
      </w:r>
      <w:r w:rsidRPr="00164A04">
        <w:rPr>
          <w:rFonts w:ascii="Segoe UI" w:hAnsi="Segoe UI" w:cs="Segoe UI"/>
          <w:i/>
          <w:iCs/>
          <w:noProof/>
          <w:sz w:val="16"/>
          <w:szCs w:val="16"/>
        </w:rPr>
        <w:t>DETERMINAN PRE-HIPERTENSI DI KELURAHAN CURUG KECAMATAN CIMANGGIS KOTA DEPOK</w:t>
      </w:r>
      <w:r w:rsidRPr="00164A04">
        <w:rPr>
          <w:rFonts w:ascii="Segoe UI" w:hAnsi="Segoe UI" w:cs="Segoe UI"/>
          <w:noProof/>
          <w:sz w:val="16"/>
          <w:szCs w:val="16"/>
        </w:rPr>
        <w:t xml:space="preserve">. </w:t>
      </w:r>
      <w:r w:rsidRPr="00164A04">
        <w:rPr>
          <w:rFonts w:ascii="Segoe UI" w:hAnsi="Segoe UI" w:cs="Segoe UI"/>
          <w:i/>
          <w:iCs/>
          <w:noProof/>
          <w:sz w:val="16"/>
          <w:szCs w:val="16"/>
        </w:rPr>
        <w:t>11</w:t>
      </w:r>
      <w:r w:rsidRPr="00164A04">
        <w:rPr>
          <w:rFonts w:ascii="Segoe UI" w:hAnsi="Segoe UI" w:cs="Segoe UI"/>
          <w:noProof/>
          <w:sz w:val="16"/>
          <w:szCs w:val="16"/>
        </w:rPr>
        <w:t>(1), 71–77.</w:t>
      </w:r>
    </w:p>
    <w:p w:rsidR="005F5384" w:rsidRDefault="005F5384" w:rsidP="00164A04">
      <w:pPr>
        <w:spacing w:before="120" w:after="0" w:line="240" w:lineRule="auto"/>
        <w:ind w:firstLine="360"/>
        <w:jc w:val="both"/>
        <w:rPr>
          <w:rFonts w:ascii="Times New Roman" w:hAnsi="Times New Roman" w:cs="Times New Roman"/>
          <w:sz w:val="24"/>
          <w:szCs w:val="24"/>
        </w:rPr>
        <w:sectPr w:rsidR="005F5384" w:rsidSect="005F5384">
          <w:type w:val="continuous"/>
          <w:pgSz w:w="11907" w:h="16839" w:code="9"/>
          <w:pgMar w:top="1134" w:right="1134" w:bottom="1134" w:left="1701" w:header="720" w:footer="720" w:gutter="0"/>
          <w:cols w:num="2" w:space="720"/>
          <w:docGrid w:linePitch="360"/>
        </w:sectPr>
      </w:pPr>
      <w:r w:rsidRPr="00164A04">
        <w:rPr>
          <w:rFonts w:ascii="Segoe UI" w:hAnsi="Segoe UI" w:cs="Segoe UI"/>
          <w:sz w:val="16"/>
          <w:szCs w:val="16"/>
        </w:rPr>
        <w:fldChar w:fldCharType="end"/>
      </w:r>
    </w:p>
    <w:p w:rsidR="005F5384" w:rsidRPr="005F5384" w:rsidRDefault="005F5384" w:rsidP="001A1E95">
      <w:pPr>
        <w:spacing w:before="120" w:after="0"/>
        <w:ind w:firstLine="360"/>
        <w:jc w:val="both"/>
        <w:rPr>
          <w:rFonts w:ascii="Times New Roman" w:hAnsi="Times New Roman" w:cs="Times New Roman"/>
          <w:sz w:val="24"/>
          <w:szCs w:val="24"/>
        </w:rPr>
      </w:pPr>
    </w:p>
    <w:p w:rsidR="005D5EC0" w:rsidRPr="005F5384" w:rsidRDefault="005D5EC0" w:rsidP="005D5EC0">
      <w:pPr>
        <w:spacing w:before="240" w:after="0"/>
        <w:jc w:val="center"/>
        <w:rPr>
          <w:rFonts w:ascii="Times New Roman" w:hAnsi="Times New Roman" w:cs="Times New Roman"/>
          <w:b/>
          <w:sz w:val="24"/>
          <w:szCs w:val="24"/>
        </w:rPr>
      </w:pPr>
    </w:p>
    <w:sectPr w:rsidR="005D5EC0" w:rsidRPr="005F5384" w:rsidSect="005F5384">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E0"/>
    <w:multiLevelType w:val="hybridMultilevel"/>
    <w:tmpl w:val="C14885F2"/>
    <w:lvl w:ilvl="0" w:tplc="B454A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0455B"/>
    <w:multiLevelType w:val="hybridMultilevel"/>
    <w:tmpl w:val="F8D24A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961B41"/>
    <w:multiLevelType w:val="hybridMultilevel"/>
    <w:tmpl w:val="71263678"/>
    <w:lvl w:ilvl="0" w:tplc="CF4E60F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D7BED"/>
    <w:multiLevelType w:val="hybridMultilevel"/>
    <w:tmpl w:val="0DD88126"/>
    <w:lvl w:ilvl="0" w:tplc="7782428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84EC3"/>
    <w:multiLevelType w:val="hybridMultilevel"/>
    <w:tmpl w:val="621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91790"/>
    <w:multiLevelType w:val="hybridMultilevel"/>
    <w:tmpl w:val="343EABE6"/>
    <w:lvl w:ilvl="0" w:tplc="FD2A01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367B33"/>
    <w:multiLevelType w:val="hybridMultilevel"/>
    <w:tmpl w:val="0CFA59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34235A"/>
    <w:multiLevelType w:val="hybridMultilevel"/>
    <w:tmpl w:val="FC247E46"/>
    <w:lvl w:ilvl="0" w:tplc="548AC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A447B8"/>
    <w:multiLevelType w:val="hybridMultilevel"/>
    <w:tmpl w:val="29FE61D8"/>
    <w:lvl w:ilvl="0" w:tplc="294EE3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5"/>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80"/>
    <w:rsid w:val="00024FF5"/>
    <w:rsid w:val="000360D5"/>
    <w:rsid w:val="0005021E"/>
    <w:rsid w:val="00090709"/>
    <w:rsid w:val="000A50E4"/>
    <w:rsid w:val="0014117A"/>
    <w:rsid w:val="001411C8"/>
    <w:rsid w:val="00161F2E"/>
    <w:rsid w:val="00164A04"/>
    <w:rsid w:val="00165A0F"/>
    <w:rsid w:val="00197900"/>
    <w:rsid w:val="001A1E95"/>
    <w:rsid w:val="001A4F92"/>
    <w:rsid w:val="001B31AD"/>
    <w:rsid w:val="001B6F13"/>
    <w:rsid w:val="001D1B7D"/>
    <w:rsid w:val="001F35A0"/>
    <w:rsid w:val="001F50AF"/>
    <w:rsid w:val="001F5AFD"/>
    <w:rsid w:val="00207771"/>
    <w:rsid w:val="002226E8"/>
    <w:rsid w:val="00224A84"/>
    <w:rsid w:val="00241CE4"/>
    <w:rsid w:val="00296E6F"/>
    <w:rsid w:val="00303645"/>
    <w:rsid w:val="00310B8E"/>
    <w:rsid w:val="00311590"/>
    <w:rsid w:val="0032547D"/>
    <w:rsid w:val="00330C0B"/>
    <w:rsid w:val="00334088"/>
    <w:rsid w:val="00354A0D"/>
    <w:rsid w:val="00355D7E"/>
    <w:rsid w:val="00385EE1"/>
    <w:rsid w:val="00387A19"/>
    <w:rsid w:val="003A5510"/>
    <w:rsid w:val="003B7433"/>
    <w:rsid w:val="003D64C1"/>
    <w:rsid w:val="003F7532"/>
    <w:rsid w:val="004005A3"/>
    <w:rsid w:val="00424BAB"/>
    <w:rsid w:val="00451E2A"/>
    <w:rsid w:val="00481B16"/>
    <w:rsid w:val="004935CB"/>
    <w:rsid w:val="0049478B"/>
    <w:rsid w:val="00495938"/>
    <w:rsid w:val="004A4315"/>
    <w:rsid w:val="004C34E6"/>
    <w:rsid w:val="004C647A"/>
    <w:rsid w:val="004E136F"/>
    <w:rsid w:val="005038A2"/>
    <w:rsid w:val="005126CB"/>
    <w:rsid w:val="00532A24"/>
    <w:rsid w:val="00532C6B"/>
    <w:rsid w:val="00543633"/>
    <w:rsid w:val="00551573"/>
    <w:rsid w:val="00564090"/>
    <w:rsid w:val="005959A1"/>
    <w:rsid w:val="00596F27"/>
    <w:rsid w:val="005A2716"/>
    <w:rsid w:val="005A50E8"/>
    <w:rsid w:val="005A54DF"/>
    <w:rsid w:val="005D5EC0"/>
    <w:rsid w:val="005F5384"/>
    <w:rsid w:val="00605202"/>
    <w:rsid w:val="00606E0D"/>
    <w:rsid w:val="00612964"/>
    <w:rsid w:val="00621FE3"/>
    <w:rsid w:val="00625200"/>
    <w:rsid w:val="00627741"/>
    <w:rsid w:val="006328AE"/>
    <w:rsid w:val="00637F7D"/>
    <w:rsid w:val="0064344A"/>
    <w:rsid w:val="00646EB3"/>
    <w:rsid w:val="00651EE1"/>
    <w:rsid w:val="00661B3C"/>
    <w:rsid w:val="00662749"/>
    <w:rsid w:val="006755E9"/>
    <w:rsid w:val="00684F97"/>
    <w:rsid w:val="00697C45"/>
    <w:rsid w:val="006A6F9E"/>
    <w:rsid w:val="006B3F32"/>
    <w:rsid w:val="006D0421"/>
    <w:rsid w:val="006D3841"/>
    <w:rsid w:val="006F376F"/>
    <w:rsid w:val="007169BE"/>
    <w:rsid w:val="00726355"/>
    <w:rsid w:val="00727B64"/>
    <w:rsid w:val="00730E84"/>
    <w:rsid w:val="00736F28"/>
    <w:rsid w:val="00741C3D"/>
    <w:rsid w:val="00747514"/>
    <w:rsid w:val="007476AB"/>
    <w:rsid w:val="00776A45"/>
    <w:rsid w:val="00786B4B"/>
    <w:rsid w:val="0079564E"/>
    <w:rsid w:val="007A148E"/>
    <w:rsid w:val="007B4028"/>
    <w:rsid w:val="007B5018"/>
    <w:rsid w:val="007B6862"/>
    <w:rsid w:val="007C4338"/>
    <w:rsid w:val="007C673B"/>
    <w:rsid w:val="007C684C"/>
    <w:rsid w:val="007E3227"/>
    <w:rsid w:val="007F71F9"/>
    <w:rsid w:val="00803B2F"/>
    <w:rsid w:val="00806B67"/>
    <w:rsid w:val="008250AC"/>
    <w:rsid w:val="00830577"/>
    <w:rsid w:val="00836AA0"/>
    <w:rsid w:val="00866470"/>
    <w:rsid w:val="00881667"/>
    <w:rsid w:val="00895C18"/>
    <w:rsid w:val="008A62E8"/>
    <w:rsid w:val="008C7D2D"/>
    <w:rsid w:val="008D6D4D"/>
    <w:rsid w:val="008E3798"/>
    <w:rsid w:val="008E6F84"/>
    <w:rsid w:val="008F489F"/>
    <w:rsid w:val="00902BCE"/>
    <w:rsid w:val="00904A3F"/>
    <w:rsid w:val="00927008"/>
    <w:rsid w:val="00943043"/>
    <w:rsid w:val="0094539F"/>
    <w:rsid w:val="009701B1"/>
    <w:rsid w:val="0097518D"/>
    <w:rsid w:val="00984698"/>
    <w:rsid w:val="00997614"/>
    <w:rsid w:val="009A1D68"/>
    <w:rsid w:val="009B132A"/>
    <w:rsid w:val="009B1CF4"/>
    <w:rsid w:val="009B1EA1"/>
    <w:rsid w:val="009D3E46"/>
    <w:rsid w:val="00A01A56"/>
    <w:rsid w:val="00A071AD"/>
    <w:rsid w:val="00A107C8"/>
    <w:rsid w:val="00A15EDF"/>
    <w:rsid w:val="00A34B5D"/>
    <w:rsid w:val="00A40B79"/>
    <w:rsid w:val="00A61EEE"/>
    <w:rsid w:val="00A84109"/>
    <w:rsid w:val="00A87F29"/>
    <w:rsid w:val="00A94F23"/>
    <w:rsid w:val="00AA00D9"/>
    <w:rsid w:val="00AA36E8"/>
    <w:rsid w:val="00B27ABE"/>
    <w:rsid w:val="00B66AB6"/>
    <w:rsid w:val="00B71BF3"/>
    <w:rsid w:val="00B72AB0"/>
    <w:rsid w:val="00B751E7"/>
    <w:rsid w:val="00B86480"/>
    <w:rsid w:val="00B97F57"/>
    <w:rsid w:val="00BA45FF"/>
    <w:rsid w:val="00BB30A2"/>
    <w:rsid w:val="00BB5F76"/>
    <w:rsid w:val="00BC0C60"/>
    <w:rsid w:val="00BD4618"/>
    <w:rsid w:val="00BD5DD4"/>
    <w:rsid w:val="00BF224A"/>
    <w:rsid w:val="00BF7FA0"/>
    <w:rsid w:val="00C05660"/>
    <w:rsid w:val="00C05945"/>
    <w:rsid w:val="00C16CEF"/>
    <w:rsid w:val="00C6203D"/>
    <w:rsid w:val="00C724EB"/>
    <w:rsid w:val="00C73758"/>
    <w:rsid w:val="00C80F0F"/>
    <w:rsid w:val="00C810B1"/>
    <w:rsid w:val="00CA06C2"/>
    <w:rsid w:val="00CB0F86"/>
    <w:rsid w:val="00CC491D"/>
    <w:rsid w:val="00CE293B"/>
    <w:rsid w:val="00CE4556"/>
    <w:rsid w:val="00CE48E1"/>
    <w:rsid w:val="00CE6705"/>
    <w:rsid w:val="00CF3ECA"/>
    <w:rsid w:val="00CF7A7D"/>
    <w:rsid w:val="00D030F6"/>
    <w:rsid w:val="00D206A1"/>
    <w:rsid w:val="00D21BBB"/>
    <w:rsid w:val="00D21F0C"/>
    <w:rsid w:val="00D22058"/>
    <w:rsid w:val="00D24263"/>
    <w:rsid w:val="00D316B7"/>
    <w:rsid w:val="00D415F6"/>
    <w:rsid w:val="00D42581"/>
    <w:rsid w:val="00D52102"/>
    <w:rsid w:val="00D54337"/>
    <w:rsid w:val="00D86E4C"/>
    <w:rsid w:val="00D9354F"/>
    <w:rsid w:val="00DA3208"/>
    <w:rsid w:val="00DA6950"/>
    <w:rsid w:val="00DE50C5"/>
    <w:rsid w:val="00DF0631"/>
    <w:rsid w:val="00DF0920"/>
    <w:rsid w:val="00E00D22"/>
    <w:rsid w:val="00E01213"/>
    <w:rsid w:val="00E13E0E"/>
    <w:rsid w:val="00E14960"/>
    <w:rsid w:val="00E22184"/>
    <w:rsid w:val="00E35D51"/>
    <w:rsid w:val="00E40A0B"/>
    <w:rsid w:val="00E468CE"/>
    <w:rsid w:val="00E674D4"/>
    <w:rsid w:val="00E84AC6"/>
    <w:rsid w:val="00E924CF"/>
    <w:rsid w:val="00E970B4"/>
    <w:rsid w:val="00EA6C7B"/>
    <w:rsid w:val="00EB5AF7"/>
    <w:rsid w:val="00EB7141"/>
    <w:rsid w:val="00ED041D"/>
    <w:rsid w:val="00ED1A2E"/>
    <w:rsid w:val="00ED5A1D"/>
    <w:rsid w:val="00ED74EC"/>
    <w:rsid w:val="00EE7D58"/>
    <w:rsid w:val="00F0319B"/>
    <w:rsid w:val="00F16B5A"/>
    <w:rsid w:val="00F21B9E"/>
    <w:rsid w:val="00F249C2"/>
    <w:rsid w:val="00F5064E"/>
    <w:rsid w:val="00F52A58"/>
    <w:rsid w:val="00F60425"/>
    <w:rsid w:val="00F81029"/>
    <w:rsid w:val="00F82837"/>
    <w:rsid w:val="00F8670D"/>
    <w:rsid w:val="00F93988"/>
    <w:rsid w:val="00F95DFF"/>
    <w:rsid w:val="00FA24D5"/>
    <w:rsid w:val="00FC77EA"/>
    <w:rsid w:val="00FF2B5A"/>
    <w:rsid w:val="00FF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EC0"/>
    <w:rPr>
      <w:color w:val="0000FF" w:themeColor="hyperlink"/>
      <w:u w:val="single"/>
    </w:rPr>
  </w:style>
  <w:style w:type="paragraph" w:styleId="ListParagraph">
    <w:name w:val="List Paragraph"/>
    <w:aliases w:val="Body of text,skripsi,Body Text Char1,Char Char2,List Paragraph2,List Paragraph1,spasi 2 taiiii"/>
    <w:basedOn w:val="Normal"/>
    <w:link w:val="ListParagraphChar"/>
    <w:uiPriority w:val="34"/>
    <w:qFormat/>
    <w:rsid w:val="00DA3208"/>
    <w:pPr>
      <w:ind w:left="720"/>
      <w:contextualSpacing/>
    </w:pPr>
  </w:style>
  <w:style w:type="character" w:customStyle="1" w:styleId="ListParagraphChar">
    <w:name w:val="List Paragraph Char"/>
    <w:aliases w:val="Body of text Char,skripsi Char,Body Text Char1 Char,Char Char2 Char,List Paragraph2 Char,List Paragraph1 Char,spasi 2 taiiii Char"/>
    <w:link w:val="ListParagraph"/>
    <w:uiPriority w:val="34"/>
    <w:locked/>
    <w:rsid w:val="00DA3208"/>
  </w:style>
  <w:style w:type="paragraph" w:styleId="Caption">
    <w:name w:val="caption"/>
    <w:basedOn w:val="Normal"/>
    <w:next w:val="Normal"/>
    <w:uiPriority w:val="35"/>
    <w:unhideWhenUsed/>
    <w:qFormat/>
    <w:rsid w:val="001A1E95"/>
    <w:pPr>
      <w:spacing w:line="240" w:lineRule="auto"/>
    </w:pPr>
    <w:rPr>
      <w:b/>
      <w:bCs/>
      <w:color w:val="4F81BD" w:themeColor="accent1"/>
      <w:sz w:val="18"/>
      <w:szCs w:val="18"/>
    </w:rPr>
  </w:style>
  <w:style w:type="table" w:styleId="TableGrid">
    <w:name w:val="Table Grid"/>
    <w:basedOn w:val="TableNormal"/>
    <w:uiPriority w:val="59"/>
    <w:rsid w:val="001A1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EC0"/>
    <w:rPr>
      <w:color w:val="0000FF" w:themeColor="hyperlink"/>
      <w:u w:val="single"/>
    </w:rPr>
  </w:style>
  <w:style w:type="paragraph" w:styleId="ListParagraph">
    <w:name w:val="List Paragraph"/>
    <w:aliases w:val="Body of text,skripsi,Body Text Char1,Char Char2,List Paragraph2,List Paragraph1,spasi 2 taiiii"/>
    <w:basedOn w:val="Normal"/>
    <w:link w:val="ListParagraphChar"/>
    <w:uiPriority w:val="34"/>
    <w:qFormat/>
    <w:rsid w:val="00DA3208"/>
    <w:pPr>
      <w:ind w:left="720"/>
      <w:contextualSpacing/>
    </w:pPr>
  </w:style>
  <w:style w:type="character" w:customStyle="1" w:styleId="ListParagraphChar">
    <w:name w:val="List Paragraph Char"/>
    <w:aliases w:val="Body of text Char,skripsi Char,Body Text Char1 Char,Char Char2 Char,List Paragraph2 Char,List Paragraph1 Char,spasi 2 taiiii Char"/>
    <w:link w:val="ListParagraph"/>
    <w:uiPriority w:val="34"/>
    <w:locked/>
    <w:rsid w:val="00DA3208"/>
  </w:style>
  <w:style w:type="paragraph" w:styleId="Caption">
    <w:name w:val="caption"/>
    <w:basedOn w:val="Normal"/>
    <w:next w:val="Normal"/>
    <w:uiPriority w:val="35"/>
    <w:unhideWhenUsed/>
    <w:qFormat/>
    <w:rsid w:val="001A1E95"/>
    <w:pPr>
      <w:spacing w:line="240" w:lineRule="auto"/>
    </w:pPr>
    <w:rPr>
      <w:b/>
      <w:bCs/>
      <w:color w:val="4F81BD" w:themeColor="accent1"/>
      <w:sz w:val="18"/>
      <w:szCs w:val="18"/>
    </w:rPr>
  </w:style>
  <w:style w:type="table" w:styleId="TableGrid">
    <w:name w:val="Table Grid"/>
    <w:basedOn w:val="TableNormal"/>
    <w:uiPriority w:val="59"/>
    <w:rsid w:val="001A1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tryastuti@uinjkt.ac.id" TargetMode="External"/><Relationship Id="rId3" Type="http://schemas.openxmlformats.org/officeDocument/2006/relationships/styles" Target="styles.xml"/><Relationship Id="rId7" Type="http://schemas.openxmlformats.org/officeDocument/2006/relationships/hyperlink" Target="mailto:sukatmi.wati18@mhs.uinjkt.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4392-D9C3-4BD3-AC9B-7D517F60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15321</Words>
  <Characters>87336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2022-08-16T08:41:00Z</cp:lastPrinted>
  <dcterms:created xsi:type="dcterms:W3CDTF">2022-09-20T03:46:00Z</dcterms:created>
  <dcterms:modified xsi:type="dcterms:W3CDTF">2022-09-20T03:49:00Z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163498f4-632d-3b96-a20e-afcfe8e298e7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