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7C00" w14:textId="737FFF7D" w:rsidR="004E0225" w:rsidRPr="00200F21" w:rsidRDefault="00DF1F63" w:rsidP="00960DF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 xml:space="preserve">POTENSI </w:t>
      </w:r>
      <w:r w:rsidR="004E0225" w:rsidRPr="00200F21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RESISTENSI ANTIBIOTIK </w:t>
      </w:r>
      <w:r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>PADA</w:t>
      </w:r>
      <w:r w:rsidR="004E0225" w:rsidRPr="00200F21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 w:rsidR="007B019F" w:rsidRPr="00A31E06">
        <w:rPr>
          <w:rFonts w:ascii="Times New Roman" w:hAnsi="Times New Roman" w:cs="Times New Roman"/>
          <w:b/>
          <w:i/>
          <w:iCs/>
          <w:color w:val="0D0D0D"/>
          <w:sz w:val="28"/>
          <w:szCs w:val="28"/>
        </w:rPr>
        <w:t>Bifidobacterium</w:t>
      </w:r>
      <w:r w:rsidR="004E0225" w:rsidRPr="00200F21">
        <w:rPr>
          <w:rFonts w:ascii="Times New Roman" w:hAnsi="Times New Roman" w:cs="Times New Roman"/>
          <w:b/>
          <w:color w:val="0D0D0D"/>
          <w:sz w:val="28"/>
          <w:szCs w:val="28"/>
        </w:rPr>
        <w:t>:</w:t>
      </w:r>
      <w:r w:rsidR="00F323F2"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 xml:space="preserve"> EVALUASI</w:t>
      </w:r>
      <w:r w:rsidR="004E0225" w:rsidRPr="00200F21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 w:rsidR="004E0225" w:rsidRPr="00200F21">
        <w:rPr>
          <w:rFonts w:ascii="Times New Roman" w:hAnsi="Times New Roman" w:cs="Times New Roman"/>
          <w:b/>
          <w:i/>
          <w:iCs/>
          <w:color w:val="0D0D0D"/>
          <w:sz w:val="28"/>
          <w:szCs w:val="28"/>
        </w:rPr>
        <w:t>IN-SILICO</w:t>
      </w:r>
      <w:r w:rsidR="004E0225" w:rsidRPr="00200F21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DARI SAMPEL LINGKUNGAN, HEWAN, DAN MANUSIA</w:t>
      </w:r>
    </w:p>
    <w:p w14:paraId="7FC33F55" w14:textId="77777777" w:rsidR="004E0225" w:rsidRDefault="004E0225" w:rsidP="00960DF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484F58A9" w14:textId="0BD100B5" w:rsidR="004D141B" w:rsidRDefault="005F33E9" w:rsidP="00960DF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411C7D">
        <w:rPr>
          <w:rFonts w:ascii="Times New Roman" w:hAnsi="Times New Roman" w:cs="Times New Roman"/>
          <w:b/>
          <w:color w:val="0D0D0D"/>
          <w:sz w:val="24"/>
          <w:szCs w:val="24"/>
        </w:rPr>
        <w:t>ANTI</w:t>
      </w:r>
      <w:r>
        <w:rPr>
          <w:rFonts w:ascii="Times New Roman" w:hAnsi="Times New Roman" w:cs="Times New Roman"/>
          <w:b/>
          <w:color w:val="0D0D0D"/>
          <w:sz w:val="24"/>
          <w:szCs w:val="24"/>
          <w:lang w:val="en-US"/>
        </w:rPr>
        <w:t xml:space="preserve">BIOTIC </w:t>
      </w:r>
      <w:r w:rsidRPr="00411C7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RESISTANCE </w:t>
      </w:r>
      <w:r w:rsidRPr="0099394B">
        <w:rPr>
          <w:rFonts w:ascii="Times New Roman" w:hAnsi="Times New Roman" w:cs="Times New Roman"/>
          <w:b/>
          <w:color w:val="0D0D0D"/>
          <w:sz w:val="24"/>
          <w:szCs w:val="24"/>
        </w:rPr>
        <w:t>OF</w:t>
      </w:r>
      <w:r w:rsidRPr="00411C7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="007B019F" w:rsidRPr="00A31E06">
        <w:rPr>
          <w:rFonts w:ascii="Times New Roman" w:hAnsi="Times New Roman" w:cs="Times New Roman"/>
          <w:b/>
          <w:i/>
          <w:iCs/>
          <w:color w:val="0D0D0D"/>
          <w:sz w:val="24"/>
          <w:szCs w:val="24"/>
        </w:rPr>
        <w:t>Bifidobacterium</w:t>
      </w:r>
      <w:r w:rsidRPr="00411C7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: </w:t>
      </w:r>
      <w:r w:rsidRPr="00411C7D">
        <w:rPr>
          <w:rFonts w:ascii="Times New Roman" w:hAnsi="Times New Roman" w:cs="Times New Roman"/>
          <w:b/>
          <w:color w:val="0D0D0D"/>
          <w:sz w:val="24"/>
          <w:szCs w:val="24"/>
          <w:lang w:val="en-US"/>
        </w:rPr>
        <w:t xml:space="preserve">IN-SILICO </w:t>
      </w:r>
      <w:r w:rsidR="00F323F2">
        <w:rPr>
          <w:rFonts w:ascii="Times New Roman" w:hAnsi="Times New Roman" w:cs="Times New Roman"/>
          <w:b/>
          <w:color w:val="0D0D0D"/>
          <w:sz w:val="24"/>
          <w:szCs w:val="24"/>
          <w:lang w:val="en-US"/>
        </w:rPr>
        <w:t>EVALUATION</w:t>
      </w:r>
      <w:r w:rsidRPr="00411C7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FROM ENVIRONMENTAL, ANIMAL, AND HUMAN SAMPLES</w:t>
      </w:r>
    </w:p>
    <w:p w14:paraId="0B364DA3" w14:textId="77777777" w:rsidR="002F1DBB" w:rsidRPr="00411C7D" w:rsidRDefault="002F1DBB" w:rsidP="00960DF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27092696" w14:textId="61D55F84" w:rsidR="004D141B" w:rsidRDefault="004D141B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Anwar Rovik</w:t>
      </w: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1*</w:t>
      </w: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Ahmad Reza Maulana</w:t>
      </w: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381C74" w:rsidRPr="00AB08A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and </w:t>
      </w: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Silmi Qurrotu Aini</w:t>
      </w: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and Dyah Fitri Kushayarti</w:t>
      </w:r>
      <w:r w:rsidRPr="00AB08A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</w:p>
    <w:p w14:paraId="1F15ABF3" w14:textId="77777777" w:rsidR="002F1DBB" w:rsidRPr="002F1DBB" w:rsidRDefault="002F1DBB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9FE25" w14:textId="5DB41E09" w:rsidR="004D141B" w:rsidRPr="00AB08A2" w:rsidRDefault="004D141B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B08A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371B16" w:rsidRPr="00AB08A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Master </w:t>
      </w:r>
      <w:r w:rsidRPr="00AB08A2">
        <w:rPr>
          <w:rFonts w:ascii="Times New Roman" w:hAnsi="Times New Roman" w:cs="Times New Roman"/>
          <w:color w:val="000000"/>
          <w:sz w:val="20"/>
          <w:szCs w:val="20"/>
        </w:rPr>
        <w:t xml:space="preserve">Program of Biotechnology, </w:t>
      </w:r>
      <w:r w:rsidR="00371B16" w:rsidRPr="00AB08A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The Graduate School of </w:t>
      </w:r>
      <w:r w:rsidRPr="00AB08A2">
        <w:rPr>
          <w:rFonts w:ascii="Times New Roman" w:hAnsi="Times New Roman" w:cs="Times New Roman"/>
          <w:color w:val="000000"/>
          <w:sz w:val="20"/>
          <w:szCs w:val="20"/>
        </w:rPr>
        <w:t xml:space="preserve">Universitas Gadjah Mada, Jl. Teknika Utara, </w:t>
      </w:r>
      <w:proofErr w:type="spellStart"/>
      <w:r w:rsidR="00D21BC4" w:rsidRPr="00AB08A2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="00161B1C" w:rsidRPr="00AB08A2">
        <w:rPr>
          <w:rFonts w:ascii="Times New Roman" w:hAnsi="Times New Roman" w:cs="Times New Roman"/>
          <w:color w:val="000000"/>
          <w:sz w:val="20"/>
          <w:szCs w:val="20"/>
          <w:lang w:val="en-US"/>
        </w:rPr>
        <w:t>atur</w:t>
      </w:r>
      <w:r w:rsidR="00AE1294">
        <w:rPr>
          <w:rFonts w:ascii="Times New Roman" w:hAnsi="Times New Roman" w:cs="Times New Roman"/>
          <w:color w:val="000000"/>
          <w:sz w:val="20"/>
          <w:szCs w:val="20"/>
          <w:lang w:val="en-US"/>
        </w:rPr>
        <w:t>tunggal</w:t>
      </w:r>
      <w:proofErr w:type="spellEnd"/>
      <w:r w:rsidRPr="00AB08A2">
        <w:rPr>
          <w:rFonts w:ascii="Times New Roman" w:hAnsi="Times New Roman" w:cs="Times New Roman"/>
          <w:color w:val="000000"/>
          <w:sz w:val="20"/>
          <w:szCs w:val="20"/>
        </w:rPr>
        <w:t>, Sleman 55281, Yogyakarta, Indonesia</w:t>
      </w:r>
    </w:p>
    <w:p w14:paraId="71378703" w14:textId="15FB474A" w:rsidR="004D141B" w:rsidRPr="00AB08A2" w:rsidRDefault="004D141B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B08A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="00D21BC4" w:rsidRPr="00AB08A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Master </w:t>
      </w:r>
      <w:r w:rsidRPr="00AB08A2">
        <w:rPr>
          <w:rFonts w:ascii="Times New Roman" w:hAnsi="Times New Roman" w:cs="Times New Roman"/>
          <w:color w:val="000000"/>
          <w:sz w:val="20"/>
          <w:szCs w:val="20"/>
        </w:rPr>
        <w:t>Program of Chemistry, Faculty of Mathematical and Natural Science, Universitas Gadjah Mada, Jl. Sains, Bulaksumur, Sleman 55281, Yogyakarta, Indonesia</w:t>
      </w:r>
    </w:p>
    <w:p w14:paraId="7A43796B" w14:textId="77777777" w:rsidR="004D141B" w:rsidRPr="00AB08A2" w:rsidRDefault="004D141B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B08A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AB08A2">
        <w:rPr>
          <w:rFonts w:ascii="Times New Roman" w:hAnsi="Times New Roman" w:cs="Times New Roman"/>
          <w:color w:val="000000"/>
          <w:sz w:val="20"/>
          <w:szCs w:val="20"/>
        </w:rPr>
        <w:t>School of Life Sciences and Technology, Institute Technology of Bandung, Jl. Ganeca No.10, Coblong, Bandung 40132, Jawa Barat, Indonesia</w:t>
      </w:r>
    </w:p>
    <w:p w14:paraId="0995FD7A" w14:textId="77777777" w:rsidR="004D141B" w:rsidRPr="00AB08A2" w:rsidRDefault="004D141B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B08A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AB08A2">
        <w:rPr>
          <w:rFonts w:ascii="Times New Roman" w:hAnsi="Times New Roman" w:cs="Times New Roman"/>
          <w:color w:val="000000"/>
          <w:sz w:val="20"/>
          <w:szCs w:val="20"/>
        </w:rPr>
        <w:t>Department of Microbiology, Faculty of Biology, Universitas Jenderal Soedirman, Jl. Dr. Suparno No. 63, Purwokerto, Banyumas 53122, Jawa Tengah, Indonesia</w:t>
      </w:r>
    </w:p>
    <w:p w14:paraId="5626F23D" w14:textId="11571B3E" w:rsidR="004D141B" w:rsidRPr="00AB08A2" w:rsidRDefault="004D141B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AB08A2">
        <w:rPr>
          <w:rFonts w:ascii="Times New Roman" w:hAnsi="Times New Roman" w:cs="Times New Roman"/>
          <w:color w:val="000000"/>
          <w:sz w:val="20"/>
          <w:szCs w:val="20"/>
        </w:rPr>
        <w:t>*Corresponding author:</w:t>
      </w:r>
      <w:r w:rsidRPr="00AB08A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5">
        <w:r w:rsidRPr="00AB08A2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 xml:space="preserve">rovic.anwar@gmail.com </w:t>
        </w:r>
      </w:hyperlink>
    </w:p>
    <w:p w14:paraId="409CF370" w14:textId="77777777" w:rsidR="000F22F0" w:rsidRPr="00411C7D" w:rsidRDefault="000F22F0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1DFBD7" w14:textId="77777777" w:rsidR="00AE1294" w:rsidRDefault="000F22F0" w:rsidP="00960DF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B1C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732DD4AC" w14:textId="77777777" w:rsidR="00960DF1" w:rsidRDefault="00960DF1" w:rsidP="00960DF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02831" w14:textId="256F97C4" w:rsidR="000F22F0" w:rsidRPr="00AE1294" w:rsidRDefault="000F22F0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AE1294">
        <w:rPr>
          <w:rFonts w:ascii="Times New Roman" w:eastAsia="Times New Roman" w:hAnsi="Times New Roman" w:cs="Times New Roman"/>
          <w:bCs/>
        </w:rPr>
        <w:t>Bifidobacteria have beneficial health effects for their hosts. However, they may acquire antibiotic-resistance genes. They may transfer antibiotic-resistance genes to pathogenic microbes found in the human intestine</w:t>
      </w:r>
      <w:r w:rsidR="009577F0" w:rsidRPr="00AE1294">
        <w:rPr>
          <w:rFonts w:ascii="Times New Roman" w:eastAsia="Times New Roman" w:hAnsi="Times New Roman" w:cs="Times New Roman"/>
          <w:bCs/>
          <w:lang w:val="en-US"/>
        </w:rPr>
        <w:t xml:space="preserve"> resulting in the emergence of antibiotic-resistant pathogens</w:t>
      </w:r>
      <w:r w:rsidRPr="00AE1294">
        <w:rPr>
          <w:rFonts w:ascii="Times New Roman" w:eastAsia="Times New Roman" w:hAnsi="Times New Roman" w:cs="Times New Roman"/>
          <w:bCs/>
        </w:rPr>
        <w:t xml:space="preserve">. This study aimed to predict their resistance to antibiotics </w:t>
      </w:r>
      <w:r w:rsidR="00B45521" w:rsidRPr="00AE1294">
        <w:rPr>
          <w:rFonts w:ascii="Times New Roman" w:eastAsia="Times New Roman" w:hAnsi="Times New Roman" w:cs="Times New Roman"/>
          <w:bCs/>
          <w:lang w:val="en-US"/>
        </w:rPr>
        <w:t xml:space="preserve">by analyzing </w:t>
      </w:r>
      <w:r w:rsidRPr="00AE1294">
        <w:rPr>
          <w:rFonts w:ascii="Times New Roman" w:eastAsia="Times New Roman" w:hAnsi="Times New Roman" w:cs="Times New Roman"/>
          <w:bCs/>
        </w:rPr>
        <w:t>the whole genome</w:t>
      </w:r>
      <w:r w:rsidR="009577F0" w:rsidRPr="00AE1294">
        <w:rPr>
          <w:rFonts w:ascii="Times New Roman" w:eastAsia="Times New Roman" w:hAnsi="Times New Roman" w:cs="Times New Roman"/>
          <w:bCs/>
          <w:lang w:val="en-US"/>
        </w:rPr>
        <w:t xml:space="preserve"> sequence</w:t>
      </w:r>
      <w:r w:rsidRPr="00AE1294">
        <w:rPr>
          <w:rFonts w:ascii="Times New Roman" w:eastAsia="Times New Roman" w:hAnsi="Times New Roman" w:cs="Times New Roman"/>
          <w:bCs/>
        </w:rPr>
        <w:t xml:space="preserve">. The entire genome data of </w:t>
      </w:r>
      <w:r w:rsidRPr="00AE1294">
        <w:rPr>
          <w:rFonts w:ascii="Times New Roman" w:eastAsia="Times New Roman" w:hAnsi="Times New Roman" w:cs="Times New Roman"/>
          <w:bCs/>
          <w:i/>
          <w:iCs/>
        </w:rPr>
        <w:t xml:space="preserve">Bifidobacterium </w:t>
      </w:r>
      <w:r w:rsidRPr="00AE1294">
        <w:rPr>
          <w:rFonts w:ascii="Times New Roman" w:eastAsia="Times New Roman" w:hAnsi="Times New Roman" w:cs="Times New Roman"/>
          <w:bCs/>
        </w:rPr>
        <w:t xml:space="preserve">spp. </w:t>
      </w:r>
      <w:r w:rsidR="00977DA6" w:rsidRPr="00AE1294">
        <w:rPr>
          <w:rFonts w:ascii="Times New Roman" w:eastAsia="Times New Roman" w:hAnsi="Times New Roman" w:cs="Times New Roman"/>
          <w:bCs/>
          <w:lang w:val="en-US"/>
        </w:rPr>
        <w:t>were</w:t>
      </w:r>
      <w:r w:rsidR="00977DA6" w:rsidRPr="00AE1294">
        <w:rPr>
          <w:rFonts w:ascii="Times New Roman" w:eastAsia="Times New Roman" w:hAnsi="Times New Roman" w:cs="Times New Roman"/>
          <w:bCs/>
        </w:rPr>
        <w:t xml:space="preserve"> </w:t>
      </w:r>
      <w:r w:rsidRPr="00AE1294">
        <w:rPr>
          <w:rFonts w:ascii="Times New Roman" w:eastAsia="Times New Roman" w:hAnsi="Times New Roman" w:cs="Times New Roman"/>
          <w:bCs/>
        </w:rPr>
        <w:t xml:space="preserve">obtained from the National Center for Biotechnology Information (NCBI). This study included five </w:t>
      </w:r>
      <w:r w:rsidRPr="00AE1294">
        <w:rPr>
          <w:rFonts w:ascii="Times New Roman" w:eastAsia="Times New Roman" w:hAnsi="Times New Roman" w:cs="Times New Roman"/>
          <w:bCs/>
          <w:i/>
          <w:iCs/>
        </w:rPr>
        <w:t>Bifidobacterium</w:t>
      </w:r>
      <w:r w:rsidRPr="00AE1294">
        <w:rPr>
          <w:rFonts w:ascii="Times New Roman" w:eastAsia="Times New Roman" w:hAnsi="Times New Roman" w:cs="Times New Roman"/>
          <w:bCs/>
        </w:rPr>
        <w:t xml:space="preserve"> strains of human origin, five strains of animal origin, and three strains isolated from the environment. The genomic sequence</w:t>
      </w:r>
      <w:r w:rsidR="00977DA6" w:rsidRPr="00AE1294">
        <w:rPr>
          <w:rFonts w:ascii="Times New Roman" w:eastAsia="Times New Roman" w:hAnsi="Times New Roman" w:cs="Times New Roman"/>
          <w:bCs/>
          <w:lang w:val="en-US"/>
        </w:rPr>
        <w:t>s</w:t>
      </w:r>
      <w:r w:rsidRPr="00AE1294">
        <w:rPr>
          <w:rFonts w:ascii="Times New Roman" w:eastAsia="Times New Roman" w:hAnsi="Times New Roman" w:cs="Times New Roman"/>
          <w:bCs/>
        </w:rPr>
        <w:t xml:space="preserve"> </w:t>
      </w:r>
      <w:r w:rsidR="00977DA6" w:rsidRPr="00AE1294">
        <w:rPr>
          <w:rFonts w:ascii="Times New Roman" w:eastAsia="Times New Roman" w:hAnsi="Times New Roman" w:cs="Times New Roman"/>
          <w:bCs/>
          <w:lang w:val="en-US"/>
        </w:rPr>
        <w:t>were</w:t>
      </w:r>
      <w:r w:rsidR="00977DA6" w:rsidRPr="00AE1294">
        <w:rPr>
          <w:rFonts w:ascii="Times New Roman" w:eastAsia="Times New Roman" w:hAnsi="Times New Roman" w:cs="Times New Roman"/>
          <w:bCs/>
        </w:rPr>
        <w:t xml:space="preserve"> </w:t>
      </w:r>
      <w:r w:rsidRPr="00AE1294">
        <w:rPr>
          <w:rFonts w:ascii="Times New Roman" w:eastAsia="Times New Roman" w:hAnsi="Times New Roman" w:cs="Times New Roman"/>
          <w:bCs/>
        </w:rPr>
        <w:t>analyzed using ResFinder</w:t>
      </w:r>
      <w:r w:rsidR="0052026E" w:rsidRPr="00AE1294">
        <w:rPr>
          <w:rFonts w:ascii="Times New Roman" w:eastAsia="Times New Roman" w:hAnsi="Times New Roman" w:cs="Times New Roman"/>
          <w:bCs/>
          <w:lang w:val="en-US"/>
        </w:rPr>
        <w:t xml:space="preserve"> and</w:t>
      </w:r>
      <w:r w:rsidRPr="00AE1294">
        <w:rPr>
          <w:rFonts w:ascii="Times New Roman" w:eastAsia="Times New Roman" w:hAnsi="Times New Roman" w:cs="Times New Roman"/>
          <w:bCs/>
        </w:rPr>
        <w:t xml:space="preserve"> CARD</w:t>
      </w:r>
      <w:r w:rsidR="0052026E" w:rsidRPr="00AE129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0B5E96" w:rsidRPr="00AE1294">
        <w:rPr>
          <w:rFonts w:ascii="Times New Roman" w:eastAsia="Times New Roman" w:hAnsi="Times New Roman" w:cs="Times New Roman"/>
          <w:bCs/>
          <w:lang w:val="en-US"/>
        </w:rPr>
        <w:t>web service</w:t>
      </w:r>
      <w:r w:rsidRPr="00AE1294">
        <w:rPr>
          <w:rFonts w:ascii="Times New Roman" w:eastAsia="Times New Roman" w:hAnsi="Times New Roman" w:cs="Times New Roman"/>
          <w:bCs/>
        </w:rPr>
        <w:t xml:space="preserve">. Antibiotic-resistance genes were detected in </w:t>
      </w:r>
      <w:r w:rsidRPr="00AE1294">
        <w:rPr>
          <w:rFonts w:ascii="Times New Roman" w:eastAsia="Times New Roman" w:hAnsi="Times New Roman" w:cs="Times New Roman"/>
          <w:bCs/>
          <w:i/>
          <w:iCs/>
        </w:rPr>
        <w:t>Bifidobacterium</w:t>
      </w:r>
      <w:r w:rsidRPr="00AE1294">
        <w:rPr>
          <w:rFonts w:ascii="Times New Roman" w:eastAsia="Times New Roman" w:hAnsi="Times New Roman" w:cs="Times New Roman"/>
          <w:bCs/>
        </w:rPr>
        <w:t xml:space="preserve"> spp. from all sample sources. Bifidobacteria </w:t>
      </w:r>
      <w:r w:rsidR="009577F0" w:rsidRPr="00AE1294">
        <w:rPr>
          <w:rFonts w:ascii="Times New Roman" w:eastAsia="Times New Roman" w:hAnsi="Times New Roman" w:cs="Times New Roman"/>
          <w:bCs/>
          <w:lang w:val="en-US"/>
        </w:rPr>
        <w:t>were</w:t>
      </w:r>
      <w:r w:rsidR="009577F0" w:rsidRPr="00AE1294">
        <w:rPr>
          <w:rFonts w:ascii="Times New Roman" w:eastAsia="Times New Roman" w:hAnsi="Times New Roman" w:cs="Times New Roman"/>
          <w:bCs/>
        </w:rPr>
        <w:t xml:space="preserve"> </w:t>
      </w:r>
      <w:r w:rsidRPr="00AE1294">
        <w:rPr>
          <w:rFonts w:ascii="Times New Roman" w:eastAsia="Times New Roman" w:hAnsi="Times New Roman" w:cs="Times New Roman"/>
          <w:bCs/>
        </w:rPr>
        <w:t xml:space="preserve">potentially resistant to various antibiotics, such as tetracycline, rifamycin, chloramphenicol, macrolide, lincosamide, streptogramin, and mupirocin-like antibiotics. This study suggests the safety aspect </w:t>
      </w:r>
      <w:r w:rsidR="00A3534C" w:rsidRPr="00AE1294">
        <w:rPr>
          <w:rFonts w:ascii="Times New Roman" w:eastAsia="Times New Roman" w:hAnsi="Times New Roman" w:cs="Times New Roman"/>
          <w:bCs/>
          <w:lang w:val="en-US"/>
        </w:rPr>
        <w:t xml:space="preserve">consideration </w:t>
      </w:r>
      <w:r w:rsidRPr="00AE1294">
        <w:rPr>
          <w:rFonts w:ascii="Times New Roman" w:eastAsia="Times New Roman" w:hAnsi="Times New Roman" w:cs="Times New Roman"/>
          <w:bCs/>
        </w:rPr>
        <w:t xml:space="preserve">of applying </w:t>
      </w:r>
      <w:r w:rsidRPr="00AE1294">
        <w:rPr>
          <w:rFonts w:ascii="Times New Roman" w:eastAsia="Times New Roman" w:hAnsi="Times New Roman" w:cs="Times New Roman"/>
          <w:bCs/>
          <w:i/>
          <w:iCs/>
        </w:rPr>
        <w:t>Bifidobacterium</w:t>
      </w:r>
      <w:r w:rsidRPr="00AE1294">
        <w:rPr>
          <w:rFonts w:ascii="Times New Roman" w:eastAsia="Times New Roman" w:hAnsi="Times New Roman" w:cs="Times New Roman"/>
          <w:bCs/>
        </w:rPr>
        <w:t xml:space="preserve"> spp. as a potential probiotic.</w:t>
      </w:r>
    </w:p>
    <w:p w14:paraId="29F8E65E" w14:textId="77777777" w:rsidR="00F44ECF" w:rsidRPr="00AE1294" w:rsidRDefault="00F44ECF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415406B0" w14:textId="04CD9DCB" w:rsidR="004656C9" w:rsidRPr="00AE1294" w:rsidRDefault="000F22F0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AE1294">
        <w:rPr>
          <w:rFonts w:ascii="Times New Roman" w:eastAsia="Times New Roman" w:hAnsi="Times New Roman" w:cs="Times New Roman"/>
          <w:b/>
        </w:rPr>
        <w:t>Keywords:</w:t>
      </w:r>
      <w:r w:rsidRPr="00AE1294">
        <w:rPr>
          <w:rFonts w:ascii="Times New Roman" w:eastAsia="Times New Roman" w:hAnsi="Times New Roman" w:cs="Times New Roman"/>
          <w:bCs/>
        </w:rPr>
        <w:t xml:space="preserve"> antibiotic</w:t>
      </w:r>
      <w:r w:rsidR="00E152AA" w:rsidRPr="00AE129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AE1294">
        <w:rPr>
          <w:rFonts w:ascii="Times New Roman" w:eastAsia="Times New Roman" w:hAnsi="Times New Roman" w:cs="Times New Roman"/>
          <w:bCs/>
        </w:rPr>
        <w:t xml:space="preserve">resistance; </w:t>
      </w:r>
      <w:r w:rsidRPr="00AE1294">
        <w:rPr>
          <w:rFonts w:ascii="Times New Roman" w:eastAsia="Times New Roman" w:hAnsi="Times New Roman" w:cs="Times New Roman"/>
          <w:bCs/>
          <w:i/>
          <w:iCs/>
        </w:rPr>
        <w:t>Bifidobacterium</w:t>
      </w:r>
      <w:r w:rsidRPr="00AE1294">
        <w:rPr>
          <w:rFonts w:ascii="Times New Roman" w:eastAsia="Times New Roman" w:hAnsi="Times New Roman" w:cs="Times New Roman"/>
          <w:bCs/>
        </w:rPr>
        <w:t>; broad</w:t>
      </w:r>
      <w:r w:rsidR="0026240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AE1294">
        <w:rPr>
          <w:rFonts w:ascii="Times New Roman" w:eastAsia="Times New Roman" w:hAnsi="Times New Roman" w:cs="Times New Roman"/>
          <w:bCs/>
        </w:rPr>
        <w:t>spectrum; whole genome.</w:t>
      </w:r>
    </w:p>
    <w:p w14:paraId="77502F5F" w14:textId="77777777" w:rsidR="000F22F0" w:rsidRPr="00411C7D" w:rsidRDefault="000F22F0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406B1" w14:textId="03E1FC1B" w:rsidR="004656C9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269590AB" w14:textId="77777777" w:rsidR="00376D9F" w:rsidRDefault="000F22F0" w:rsidP="00960DF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sz w:val="24"/>
          <w:szCs w:val="24"/>
        </w:rPr>
        <w:t>Lactic acid bacteria (LAB) are known as safe bacteria that have beneficial health effects for their hosts</w:t>
      </w:r>
      <w:r w:rsidR="00590454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including </w:t>
      </w:r>
      <w:r w:rsidR="00590454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Bifidobacterium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. Various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</w:rPr>
        <w:t>Bifidobacterium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 species reside in the gastrointestinal tract, mouth, non-human animal intestines, and dairy products 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80D99" w:rsidRPr="00411C7D">
        <w:rPr>
          <w:rFonts w:ascii="Times New Roman" w:eastAsia="Times New Roman" w:hAnsi="Times New Roman" w:cs="Times New Roman"/>
          <w:sz w:val="24"/>
          <w:szCs w:val="24"/>
        </w:rPr>
        <w:t>Hendrati et al., 2017;</w:t>
      </w:r>
      <w:r w:rsidR="00C80D99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</w:rPr>
        <w:t>Kusharyati et al., 2020; Sakanaka et al., 2020</w:t>
      </w:r>
      <w:r w:rsidR="00C80D99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C80D99" w:rsidRPr="00411C7D">
        <w:rPr>
          <w:rFonts w:ascii="Times New Roman" w:eastAsia="Times New Roman" w:hAnsi="Times New Roman" w:cs="Times New Roman"/>
          <w:sz w:val="24"/>
          <w:szCs w:val="24"/>
        </w:rPr>
        <w:t>Sirillun et al., 2015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90454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90454" w:rsidRPr="00411C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Bifidobacterium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one of the most commonly used probiotics</w:t>
      </w:r>
      <w:r w:rsidR="002907B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EF16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because they 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produce various metabolites, such as lactic acid, H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</w:rPr>
        <w:t>2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vertAlign w:val="subscript"/>
        </w:rPr>
        <w:t>2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short-chain fatty acids, and bacteriocin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C80D99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80D99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Consuming probiotics regularly as part of a healthy diet can help promote a healthy microbiome.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 healthy microbiome is important for many aspects of health, including digestion, immune function, cardiovascular health, and even mental health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7709E" w:rsidRPr="00411C7D">
        <w:rPr>
          <w:rFonts w:ascii="Times New Roman" w:eastAsia="Times New Roman" w:hAnsi="Times New Roman" w:cs="Times New Roman"/>
          <w:sz w:val="24"/>
          <w:szCs w:val="24"/>
        </w:rPr>
        <w:t xml:space="preserve">Liu et al., 2016; 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</w:rPr>
        <w:t>Shreiner et al., 2015; Valdes et al., 2018</w:t>
      </w:r>
      <w:r w:rsidR="00A7709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</w:rPr>
        <w:t>Yan et al., 2017; World Health Organization, 20</w:t>
      </w:r>
      <w:r w:rsidR="005A47E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02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C48D0E5" w14:textId="77777777" w:rsidR="00D57139" w:rsidRDefault="000F22F0" w:rsidP="00960DF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Some LAB strains, however, may acquire antibiotic-resistance genes, either through natural evolution or exposure to antibiotics in the environment and food production chain. LAB can potentially develop and spread antibiotic-resistance </w:t>
      </w:r>
      <w:r w:rsidRPr="00411C7D">
        <w:rPr>
          <w:rFonts w:ascii="Times New Roman" w:hAnsi="Times New Roman" w:cs="Times New Roman"/>
          <w:sz w:val="24"/>
          <w:szCs w:val="24"/>
          <w:highlight w:val="white"/>
        </w:rPr>
        <w:t>genes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EC451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EC451E" w:rsidRPr="00411C7D">
        <w:rPr>
          <w:rFonts w:ascii="Times New Roman" w:eastAsia="Times New Roman" w:hAnsi="Times New Roman" w:cs="Times New Roman"/>
          <w:sz w:val="24"/>
          <w:szCs w:val="24"/>
        </w:rPr>
        <w:t>Duranti et al., 2017; Gueimonde et al., 2013; Zarzecka et al., 2022)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Fermented foods can be a significant conduit for the spread of antibiotic-resistance </w:t>
      </w:r>
      <w:r w:rsidRPr="00411C7D">
        <w:rPr>
          <w:rFonts w:ascii="Times New Roman" w:hAnsi="Times New Roman" w:cs="Times New Roman"/>
          <w:sz w:val="24"/>
          <w:szCs w:val="24"/>
          <w:highlight w:val="white"/>
        </w:rPr>
        <w:t>genes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from non-pathogenic microorganisms to humans. </w:t>
      </w:r>
      <w:r w:rsidR="00C80D99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It </w:t>
      </w:r>
      <w:r w:rsidR="00C80D99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resulting in the emergence of antibiotic-resistant pathogens. </w:t>
      </w:r>
      <w:r w:rsidR="00F06D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Therefore, EFSA suggested that o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nly strains lacking acquired antibiotic-resistance genes (ARGs) can be used as starter cultures, probiotics, and feed additives </w:t>
      </w:r>
      <w:r w:rsidR="0083014E" w:rsidRPr="00411C7D">
        <w:rPr>
          <w:rFonts w:ascii="Times New Roman" w:eastAsia="Times New Roman" w:hAnsi="Times New Roman" w:cs="Times New Roman"/>
          <w:sz w:val="24"/>
          <w:szCs w:val="24"/>
        </w:rPr>
        <w:t>(EFSA-FEEDAP, 2018).</w:t>
      </w:r>
    </w:p>
    <w:p w14:paraId="4ECFAD4F" w14:textId="77777777" w:rsidR="00355220" w:rsidRDefault="00C80D99" w:rsidP="00FC71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Bifidobacteria are intrinsically resistant to many antibiotics. 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Nunziata et al. (2022)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reviewed that Bifidobacteria are typically </w:t>
      </w:r>
      <w:r w:rsidRPr="00411C7D">
        <w:rPr>
          <w:rFonts w:ascii="Times New Roman" w:hAnsi="Times New Roman" w:cs="Times New Roman"/>
          <w:sz w:val="24"/>
          <w:szCs w:val="24"/>
          <w:highlight w:val="white"/>
        </w:rPr>
        <w:t>regarded as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susceptible to β-lactams, Gram-positive spectrum antibiotics, and broad-spectrum antibiotics at low doses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However, some </w:t>
      </w:r>
      <w:r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 xml:space="preserve">Bifidobacterium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were reported to be resistant to both narrow and broad-spectrum antibiotics 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>(Erginkaya et al., 2018; Rozman et al., 2020; Yasmin et al., 2020).</w:t>
      </w:r>
      <w:r w:rsidR="00590454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This </w:t>
      </w:r>
      <w:r w:rsidR="00355220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present 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study concerned the safety aspect of applying </w:t>
      </w:r>
      <w:r w:rsidR="00590454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as a potential probiotic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415406B6" w14:textId="37303FA9" w:rsidR="004656C9" w:rsidRPr="00B17574" w:rsidRDefault="00590454" w:rsidP="00FC71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Genotypic methods have been explored as an alternative to phenotypic antimicrobial susceptibility testing (AST). </w:t>
      </w:r>
      <w:r w:rsidR="00AF269C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However, p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henotypic AST using disc diffusion and broth microdilution has many limitations. Some errors may arise during the culturing stage, inoculum preparations, and result interpretation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Florensa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al., 2020; 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>Pedersen et al., 2018; Su et al., 2019).</w:t>
      </w:r>
      <w:r w:rsidR="008062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>he findings between these two methods are not always equivalent</w:t>
      </w:r>
      <w:r w:rsidR="008062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>which may eventually impede the repeatability of the results</w:t>
      </w:r>
      <w:r w:rsidR="008062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6272" w:rsidRPr="00411C7D">
        <w:rPr>
          <w:rFonts w:ascii="Times New Roman" w:eastAsia="Times New Roman" w:hAnsi="Times New Roman" w:cs="Times New Roman"/>
          <w:sz w:val="24"/>
          <w:szCs w:val="24"/>
        </w:rPr>
        <w:t>(Bortolaila et al., 2020; Rozman et al., 2020)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062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Molecular-based 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resistance testing to antibiotics is usually done through PCR</w:t>
      </w:r>
      <w:r w:rsidR="00E12B35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="000F22F0" w:rsidRPr="00411C7D">
        <w:rPr>
          <w:rFonts w:ascii="Times New Roman" w:hAnsi="Times New Roman" w:cs="Times New Roman"/>
          <w:sz w:val="24"/>
          <w:szCs w:val="24"/>
          <w:highlight w:val="white"/>
        </w:rPr>
        <w:t>detection,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but with a limited number of genes.</w:t>
      </w:r>
      <w:r w:rsidR="00B1757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="00B254E3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W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hole genome sequences (WGS) -based screening enhances the likelihood of discovering genes involved in antibiotic resistance. </w:t>
      </w:r>
      <w:r w:rsidR="008A113F" w:rsidRPr="00411C7D">
        <w:rPr>
          <w:rFonts w:ascii="Times New Roman" w:eastAsia="Times New Roman" w:hAnsi="Times New Roman" w:cs="Times New Roman"/>
          <w:sz w:val="24"/>
          <w:szCs w:val="24"/>
        </w:rPr>
        <w:t xml:space="preserve">Understanding the </w:t>
      </w:r>
      <w:r w:rsidR="005629AF">
        <w:rPr>
          <w:rFonts w:ascii="Times New Roman" w:eastAsia="Times New Roman" w:hAnsi="Times New Roman" w:cs="Times New Roman"/>
          <w:sz w:val="24"/>
          <w:szCs w:val="24"/>
          <w:lang w:val="en-US"/>
        </w:rPr>
        <w:t>resistance</w:t>
      </w:r>
      <w:r w:rsidR="008A113F" w:rsidRPr="00411C7D">
        <w:rPr>
          <w:rFonts w:ascii="Times New Roman" w:eastAsia="Times New Roman" w:hAnsi="Times New Roman" w:cs="Times New Roman"/>
          <w:sz w:val="24"/>
          <w:szCs w:val="24"/>
        </w:rPr>
        <w:t xml:space="preserve"> gene profiles of </w:t>
      </w:r>
      <w:r w:rsidR="008A113F" w:rsidRPr="005629AF">
        <w:rPr>
          <w:rFonts w:ascii="Times New Roman" w:eastAsia="Times New Roman" w:hAnsi="Times New Roman" w:cs="Times New Roman"/>
          <w:i/>
          <w:iCs/>
          <w:sz w:val="24"/>
          <w:szCs w:val="24"/>
        </w:rPr>
        <w:t>Bifidobacterium</w:t>
      </w:r>
      <w:r w:rsidR="008A113F" w:rsidRPr="00411C7D">
        <w:rPr>
          <w:rFonts w:ascii="Times New Roman" w:eastAsia="Times New Roman" w:hAnsi="Times New Roman" w:cs="Times New Roman"/>
          <w:sz w:val="24"/>
          <w:szCs w:val="24"/>
        </w:rPr>
        <w:t xml:space="preserve"> strains used in probiotics is crucial to ensure their safety. 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This study aimed to evaluate the genes associated with the probiotic properties of </w:t>
      </w:r>
      <w:r w:rsidR="000F22F0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</w:t>
      </w:r>
      <w:r w:rsidR="00B175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15406B7" w14:textId="77777777" w:rsidR="004656C9" w:rsidRPr="00411C7D" w:rsidRDefault="004656C9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406B8" w14:textId="28BF39F9" w:rsidR="004656C9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 xml:space="preserve">MATERIALS </w:t>
      </w:r>
      <w:r w:rsidRPr="00411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ND METHODS</w:t>
      </w:r>
    </w:p>
    <w:p w14:paraId="073D4138" w14:textId="77777777" w:rsidR="003B7668" w:rsidRDefault="00D33DD4" w:rsidP="00FC71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importance of studying </w:t>
      </w:r>
      <w:r w:rsidR="00280A72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antibiotic-</w:t>
      </w:r>
      <w:r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resistance genes within </w:t>
      </w:r>
      <w:r w:rsidRPr="00280A7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Bifidobacterium</w:t>
      </w:r>
      <w:r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strains from environmental, animal, and human samples cannot be understated.</w:t>
      </w:r>
      <w:r w:rsidR="00212C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5126B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One of the critical reasons to study </w:t>
      </w:r>
      <w:r w:rsidR="00855E06">
        <w:rPr>
          <w:rFonts w:ascii="Times New Roman" w:hAnsi="Times New Roman" w:cs="Times New Roman"/>
          <w:color w:val="000000"/>
          <w:sz w:val="24"/>
          <w:szCs w:val="24"/>
          <w:lang w:val="en-US"/>
        </w:rPr>
        <w:t>ARGs</w:t>
      </w:r>
      <w:r w:rsidR="0055126B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55126B" w:rsidRPr="00855E0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Bifidobacterium</w:t>
      </w:r>
      <w:r w:rsidR="0055126B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across diverse samples is to track the transfer of resistance. </w:t>
      </w:r>
      <w:r w:rsidR="0055126B" w:rsidRPr="00B94F4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Bifidobacterium</w:t>
      </w:r>
      <w:r w:rsidR="0055126B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known to engage in horizontal gene transfer, allowing resistance genes to move between different strains and species. </w:t>
      </w:r>
      <w:r w:rsidR="00CF3E0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The whole genome data of </w:t>
      </w:r>
      <w:r w:rsidR="00CF3E06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CF3E0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was collected from The National Center for Biotechnology Information (NCBI, https://www.ncbi.nlm.nih.gov/). There are 107 available genomic data sets for </w:t>
      </w:r>
      <w:r w:rsidR="00CF3E06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CF3E0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Only view data reported the source of </w:t>
      </w:r>
      <w:r w:rsidR="00CF3E06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CF3E0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isolates. </w:t>
      </w:r>
      <w:r w:rsidR="003B7095" w:rsidRPr="003B7095">
        <w:rPr>
          <w:rFonts w:ascii="Times New Roman" w:hAnsi="Times New Roman" w:cs="Times New Roman"/>
          <w:color w:val="000000"/>
          <w:sz w:val="24"/>
          <w:szCs w:val="24"/>
        </w:rPr>
        <w:t xml:space="preserve">Genome sequences are randomly selected from </w:t>
      </w:r>
      <w:r w:rsidR="003B7095" w:rsidRPr="003B76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Bifidobact</w:t>
      </w:r>
      <w:r w:rsidR="003B7668" w:rsidRPr="003B766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er</w:t>
      </w:r>
      <w:r w:rsidR="003B7095" w:rsidRPr="003B76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ium</w:t>
      </w:r>
      <w:r w:rsidR="003B7095" w:rsidRPr="003B7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76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strains </w:t>
      </w:r>
      <w:r w:rsidR="003B7095" w:rsidRPr="003B7095">
        <w:rPr>
          <w:rFonts w:ascii="Times New Roman" w:hAnsi="Times New Roman" w:cs="Times New Roman"/>
          <w:color w:val="000000"/>
          <w:sz w:val="24"/>
          <w:szCs w:val="24"/>
        </w:rPr>
        <w:t>that have complete data and represent the source of the sample</w:t>
      </w:r>
      <w:r w:rsidR="003B76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(Table 1)</w:t>
      </w:r>
      <w:r w:rsidR="003B7095" w:rsidRPr="003B7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08A8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The data is downloaded </w:t>
      </w:r>
      <w:r w:rsidR="00CF3E0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in fasta format (.fna).</w:t>
      </w:r>
    </w:p>
    <w:p w14:paraId="73EA73BC" w14:textId="77777777" w:rsidR="00447935" w:rsidRPr="00411C7D" w:rsidRDefault="00447935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Table 1.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 Retrieved data for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</w:rPr>
        <w:t>Bifidobacterium</w:t>
      </w:r>
      <w:r w:rsidRPr="00411C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>genome</w:t>
      </w:r>
    </w:p>
    <w:tbl>
      <w:tblPr>
        <w:tblStyle w:val="a"/>
        <w:tblW w:w="0" w:type="auto"/>
        <w:tblLook w:val="0600" w:firstRow="0" w:lastRow="0" w:firstColumn="0" w:lastColumn="0" w:noHBand="1" w:noVBand="1"/>
      </w:tblPr>
      <w:tblGrid>
        <w:gridCol w:w="495"/>
        <w:gridCol w:w="4269"/>
        <w:gridCol w:w="1245"/>
      </w:tblGrid>
      <w:tr w:rsidR="00447935" w:rsidRPr="00210EE0" w14:paraId="58F6D54C" w14:textId="77777777" w:rsidTr="00210EE0">
        <w:trPr>
          <w:trHeight w:val="11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ECE9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52A0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Isolates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B5DF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0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Host</w:t>
            </w:r>
            <w:r w:rsidRPr="0021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/Source</w:t>
            </w:r>
          </w:p>
        </w:tc>
      </w:tr>
      <w:tr w:rsidR="00447935" w:rsidRPr="00210EE0" w14:paraId="7679A490" w14:textId="77777777" w:rsidTr="00210EE0">
        <w:trPr>
          <w:trHeight w:val="11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A1AC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40DE4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longum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A577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Human</w:t>
            </w:r>
          </w:p>
        </w:tc>
      </w:tr>
      <w:tr w:rsidR="00447935" w:rsidRPr="00210EE0" w14:paraId="6E868950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1C74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F5699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breve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F7DC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Human</w:t>
            </w:r>
          </w:p>
        </w:tc>
      </w:tr>
      <w:tr w:rsidR="00447935" w:rsidRPr="00210EE0" w14:paraId="0FC8FC14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AC76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B0201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bifidum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EA15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Human</w:t>
            </w:r>
          </w:p>
        </w:tc>
      </w:tr>
      <w:tr w:rsidR="00447935" w:rsidRPr="00210EE0" w14:paraId="30C9371A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3394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683F8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dentium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17459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Human</w:t>
            </w:r>
          </w:p>
        </w:tc>
      </w:tr>
      <w:tr w:rsidR="00447935" w:rsidRPr="00210EE0" w14:paraId="25494F74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9FD6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7A1D8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adolescentis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B1CA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Human</w:t>
            </w:r>
          </w:p>
        </w:tc>
      </w:tr>
      <w:tr w:rsidR="00447935" w:rsidRPr="00210EE0" w14:paraId="262D8A8A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CA0B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8C49D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asteroides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92DA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Animal</w:t>
            </w:r>
          </w:p>
        </w:tc>
      </w:tr>
      <w:tr w:rsidR="00447935" w:rsidRPr="00210EE0" w14:paraId="500039E8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A5B4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9AE7F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Bifidobacterium thermacidophilum </w:t>
            </w: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subsp. </w:t>
            </w: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porcinum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429C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Animal</w:t>
            </w:r>
          </w:p>
        </w:tc>
      </w:tr>
      <w:tr w:rsidR="00447935" w:rsidRPr="00210EE0" w14:paraId="7CBC7536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4DF4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4D46DC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pullorum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28C1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Animal</w:t>
            </w:r>
          </w:p>
        </w:tc>
      </w:tr>
      <w:tr w:rsidR="00447935" w:rsidRPr="00210EE0" w14:paraId="3FB2C830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978B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7A44F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ruminantium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4B5B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Animal</w:t>
            </w:r>
          </w:p>
        </w:tc>
      </w:tr>
      <w:tr w:rsidR="00447935" w:rsidRPr="00210EE0" w14:paraId="49A337FC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A304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8B888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choerinum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F858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Animal</w:t>
            </w:r>
          </w:p>
        </w:tc>
      </w:tr>
      <w:tr w:rsidR="00447935" w:rsidRPr="00210EE0" w14:paraId="17C2871F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ADAB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E3AE8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tibiigranuli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C28E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</w:t>
            </w:r>
          </w:p>
        </w:tc>
      </w:tr>
      <w:tr w:rsidR="00447935" w:rsidRPr="00210EE0" w14:paraId="2A9A10B1" w14:textId="77777777" w:rsidTr="00210EE0">
        <w:trPr>
          <w:trHeight w:val="11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67952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8F617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indicum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85C8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</w:t>
            </w:r>
          </w:p>
        </w:tc>
      </w:tr>
      <w:tr w:rsidR="00447935" w:rsidRPr="00210EE0" w14:paraId="0425F895" w14:textId="77777777" w:rsidTr="00210EE0">
        <w:trPr>
          <w:trHeight w:val="11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1144" w14:textId="77777777" w:rsidR="00447935" w:rsidRPr="00210EE0" w:rsidRDefault="00447935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65C08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aquikefiri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8257" w14:textId="77777777" w:rsidR="00447935" w:rsidRPr="00210EE0" w:rsidRDefault="00447935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EE0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</w:t>
            </w:r>
          </w:p>
        </w:tc>
      </w:tr>
    </w:tbl>
    <w:p w14:paraId="3FBE2FB7" w14:textId="77777777" w:rsidR="00447935" w:rsidRPr="00411C7D" w:rsidRDefault="00447935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2096D9DB" w14:textId="02CEF004" w:rsidR="00D81376" w:rsidRPr="00411C7D" w:rsidRDefault="00CF3E06" w:rsidP="00FC71E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This present study used five </w:t>
      </w:r>
      <w:r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strains of human origin, five strains of animal origin, and three strains isolated from the environmen</w:t>
      </w:r>
      <w:r w:rsidR="00D813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t. </w:t>
      </w:r>
      <w:r w:rsidR="00D8137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Thirteen whole genome sequences were analyzed for their resistance genes using ResFinder 4.1</w:t>
      </w:r>
      <w:r w:rsidR="009B7E12">
        <w:rPr>
          <w:rFonts w:ascii="Times New Roman" w:eastAsia="Times New Roman" w:hAnsi="Times New Roman" w:cs="Times New Roman"/>
          <w:sz w:val="24"/>
          <w:szCs w:val="24"/>
          <w:lang w:val="en-US"/>
        </w:rPr>
        <w:t>. It</w:t>
      </w:r>
      <w:r w:rsidR="009B7E12" w:rsidRPr="0083014E">
        <w:rPr>
          <w:rFonts w:ascii="Times New Roman" w:eastAsia="Times New Roman" w:hAnsi="Times New Roman" w:cs="Times New Roman"/>
          <w:sz w:val="24"/>
          <w:szCs w:val="24"/>
        </w:rPr>
        <w:t xml:space="preserve"> is available for free at the Center for Genomic Epidemiology's online platform</w:t>
      </w:r>
      <w:r w:rsidR="009B7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B7E12" w:rsidRPr="00411C7D">
        <w:rPr>
          <w:rFonts w:ascii="Times New Roman" w:eastAsia="Times New Roman" w:hAnsi="Times New Roman" w:cs="Times New Roman"/>
          <w:sz w:val="24"/>
          <w:szCs w:val="24"/>
        </w:rPr>
        <w:t>(Babatunde et al., 2022</w:t>
      </w:r>
      <w:r w:rsidR="009B7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9B7E12" w:rsidRPr="00411C7D">
        <w:rPr>
          <w:rFonts w:ascii="Times New Roman" w:eastAsia="Times New Roman" w:hAnsi="Times New Roman" w:cs="Times New Roman"/>
          <w:sz w:val="24"/>
          <w:szCs w:val="24"/>
        </w:rPr>
        <w:t>McArthur et al., 2013)</w:t>
      </w:r>
      <w:r w:rsidR="009B7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22C39">
        <w:rPr>
          <w:rFonts w:ascii="Times New Roman" w:eastAsia="Times New Roman" w:hAnsi="Times New Roman" w:cs="Times New Roman"/>
          <w:sz w:val="24"/>
          <w:szCs w:val="24"/>
          <w:lang w:val="en-US"/>
        </w:rPr>
        <w:t>The second analysis was using</w:t>
      </w:r>
      <w:r w:rsidR="00D8137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81376" w:rsidRPr="00411C7D">
        <w:rPr>
          <w:rFonts w:ascii="Times New Roman" w:eastAsia="Times New Roman" w:hAnsi="Times New Roman" w:cs="Times New Roman"/>
          <w:sz w:val="24"/>
          <w:szCs w:val="24"/>
        </w:rPr>
        <w:t xml:space="preserve">Comprehensive Antibiotic Resistance Database (CARD) </w:t>
      </w:r>
      <w:r w:rsidR="00D8137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web service</w:t>
      </w:r>
      <w:r w:rsidR="00C22C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It </w:t>
      </w:r>
      <w:r w:rsidR="00C22C39" w:rsidRPr="0083014E">
        <w:rPr>
          <w:rFonts w:ascii="Times New Roman" w:eastAsia="Times New Roman" w:hAnsi="Times New Roman" w:cs="Times New Roman"/>
          <w:sz w:val="24"/>
          <w:szCs w:val="24"/>
        </w:rPr>
        <w:t xml:space="preserve">is a primary bacterial </w:t>
      </w:r>
      <w:r w:rsidR="00251A18">
        <w:rPr>
          <w:rFonts w:ascii="Times New Roman" w:eastAsia="Times New Roman" w:hAnsi="Times New Roman" w:cs="Times New Roman"/>
          <w:sz w:val="24"/>
          <w:szCs w:val="24"/>
          <w:lang w:val="en-US"/>
        </w:rPr>
        <w:t>antimicrobial resistance</w:t>
      </w:r>
      <w:r w:rsidR="00C22C39" w:rsidRPr="0083014E">
        <w:rPr>
          <w:rFonts w:ascii="Times New Roman" w:eastAsia="Times New Roman" w:hAnsi="Times New Roman" w:cs="Times New Roman"/>
          <w:sz w:val="24"/>
          <w:szCs w:val="24"/>
        </w:rPr>
        <w:t xml:space="preserve"> knowledge resource and database that provides genotype analysis and phenotype prediction from curated publications and sequences</w:t>
      </w:r>
      <w:r w:rsidR="00D81376" w:rsidRPr="00411C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>
        <w:r w:rsidR="00D81376" w:rsidRPr="00411C7D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Alcock et al., </w:t>
        </w:r>
      </w:hyperlink>
      <w:r w:rsidR="00D81376" w:rsidRPr="00411C7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8137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A51C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A51C38" w:rsidRPr="00411C7D">
        <w:rPr>
          <w:rFonts w:ascii="Times New Roman" w:eastAsia="Times New Roman" w:hAnsi="Times New Roman" w:cs="Times New Roman"/>
          <w:sz w:val="24"/>
          <w:szCs w:val="24"/>
        </w:rPr>
        <w:t>Zankari et al., 2017</w:t>
      </w:r>
      <w:r w:rsidR="00D81376" w:rsidRPr="00411C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1540704" w14:textId="77777777" w:rsidR="004656C9" w:rsidRPr="00411C7D" w:rsidRDefault="004656C9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40705" w14:textId="61C123F0" w:rsidR="004656C9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411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ESULTS AND DISCUSSION</w:t>
      </w:r>
    </w:p>
    <w:p w14:paraId="53F76B74" w14:textId="77777777" w:rsidR="00AC6478" w:rsidRDefault="0010098A" w:rsidP="00FC71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Scientists have made significant advancements in utilizing whole genome sequencing to screen probiotic properties. </w:t>
      </w:r>
      <w:r w:rsidR="00251A18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By analyzing the WGS, </w:t>
      </w:r>
      <w:r w:rsidR="0044430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t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h</w:t>
      </w:r>
      <w:r w:rsidR="00251A18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is present study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4430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reported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that </w:t>
      </w:r>
      <w:r w:rsidR="000F22F0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0F22F0" w:rsidRPr="00411C7D">
        <w:rPr>
          <w:rFonts w:ascii="Times New Roman" w:eastAsia="Gungsuh" w:hAnsi="Times New Roman" w:cs="Times New Roman"/>
          <w:color w:val="000000"/>
          <w:sz w:val="24"/>
          <w:szCs w:val="24"/>
          <w:highlight w:val="white"/>
        </w:rPr>
        <w:t xml:space="preserve"> spp. contains antibiotic-resistant genes (86.97% ≤ ID ≤ 100%). For example, those against the classes of tetracycline, rifamycin, macrolide, lincosamide, streptogramin A, streptogramin B, and mupirocin-like antibiotics (Table 2). The CARD analysis showed that antibiotic-resistant genes were found in </w:t>
      </w:r>
      <w:r w:rsidR="000F22F0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from all sample sources, i.e., humans, animals, and the environment.</w:t>
      </w:r>
    </w:p>
    <w:p w14:paraId="7EBBD4B9" w14:textId="77777777" w:rsidR="00A31E06" w:rsidRDefault="00A31E06" w:rsidP="00FC71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7A85FBDD" w14:textId="77777777" w:rsidR="001C0670" w:rsidRPr="001C7DBF" w:rsidRDefault="001C0670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Table 2.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 Analysis of antimicrobial resistance of </w:t>
      </w:r>
      <w:r w:rsidRPr="00411C7D">
        <w:rPr>
          <w:rFonts w:ascii="Times New Roman" w:eastAsia="Times New Roman" w:hAnsi="Times New Roman" w:cs="Times New Roman"/>
          <w:i/>
          <w:sz w:val="24"/>
          <w:szCs w:val="24"/>
        </w:rPr>
        <w:t xml:space="preserve">Bifidobacterium 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>spp. using CARD</w:t>
      </w:r>
    </w:p>
    <w:tbl>
      <w:tblPr>
        <w:tblStyle w:val="a0"/>
        <w:tblW w:w="0" w:type="auto"/>
        <w:tblInd w:w="-615" w:type="dxa"/>
        <w:tblLook w:val="0600" w:firstRow="0" w:lastRow="0" w:firstColumn="0" w:lastColumn="0" w:noHBand="1" w:noVBand="1"/>
      </w:tblPr>
      <w:tblGrid>
        <w:gridCol w:w="1783"/>
        <w:gridCol w:w="1931"/>
        <w:gridCol w:w="1921"/>
        <w:gridCol w:w="1875"/>
        <w:gridCol w:w="1479"/>
        <w:gridCol w:w="1153"/>
      </w:tblGrid>
      <w:tr w:rsidR="001C0670" w:rsidRPr="001C7DBF" w14:paraId="3C8BD9CF" w14:textId="77777777" w:rsidTr="001C7DBF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4B52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Isolates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29FC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ARO term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16DEE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AMR gene family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3068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Drug class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E3AA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Resistance mechanism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E173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identity of matching region</w:t>
            </w:r>
          </w:p>
        </w:tc>
      </w:tr>
      <w:tr w:rsidR="001C0670" w:rsidRPr="001C7DBF" w14:paraId="288E78E1" w14:textId="77777777" w:rsidTr="001C7DBF">
        <w:tc>
          <w:tcPr>
            <w:tcW w:w="0" w:type="auto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FBCA7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longum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466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DC26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971D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1060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E860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92.65</w:t>
            </w:r>
          </w:p>
        </w:tc>
      </w:tr>
      <w:tr w:rsidR="001C0670" w:rsidRPr="001C7DBF" w14:paraId="0955F738" w14:textId="77777777" w:rsidTr="001C7DBF">
        <w:trPr>
          <w:trHeight w:val="709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00695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breve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80D5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4B36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3CB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34F6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CFCF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91.55</w:t>
            </w:r>
          </w:p>
        </w:tc>
      </w:tr>
      <w:tr w:rsidR="001C0670" w:rsidRPr="001C7DBF" w14:paraId="42EB55A5" w14:textId="77777777" w:rsidTr="001C7DBF">
        <w:trPr>
          <w:trHeight w:val="709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9C99B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03DF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bifidum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ileS conferring resistance to mupirocin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3D34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antibiotic-resistant isoleucyl-tRNA synthetase (ileS)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E0C3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mupirocin-like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6FD5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13CC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99.46</w:t>
            </w:r>
          </w:p>
        </w:tc>
      </w:tr>
      <w:tr w:rsidR="001C0670" w:rsidRPr="001C7DBF" w14:paraId="6891094F" w14:textId="77777777" w:rsidTr="001C7DBF">
        <w:trPr>
          <w:trHeight w:val="320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1814B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bifidum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F8BB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ErmX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F9A6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Erm 23S ribosomal RNA methyltransferase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155D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macrolide, lincosamide, streptogramin, streptogramin A, and streptogramin B antibiotics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9C99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97AF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88.03</w:t>
            </w:r>
          </w:p>
        </w:tc>
      </w:tr>
      <w:tr w:rsidR="001C0670" w:rsidRPr="001C7DBF" w14:paraId="0F8B71CF" w14:textId="77777777" w:rsidTr="001C7DBF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F1BE7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3E98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0040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3F1D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074A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6DDD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92.48</w:t>
            </w:r>
          </w:p>
        </w:tc>
      </w:tr>
      <w:tr w:rsidR="001C0670" w:rsidRPr="001C7DBF" w14:paraId="5C80C2BE" w14:textId="77777777" w:rsidTr="001C7DBF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9C05A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dentium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38B3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1C8B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E187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DA80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2DE6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90.56</w:t>
            </w:r>
          </w:p>
        </w:tc>
      </w:tr>
      <w:tr w:rsidR="001C0670" w:rsidRPr="001C7DBF" w14:paraId="4F79DAB3" w14:textId="77777777" w:rsidTr="001C7DBF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BEC55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adolescentis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55A5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497A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7914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D11A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AE50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C0670" w:rsidRPr="001C7DBF" w14:paraId="5B0A2F4D" w14:textId="77777777" w:rsidTr="001C7DBF">
        <w:trPr>
          <w:trHeight w:val="320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7E23E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asteroides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2D81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848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1B7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9DCB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599A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93.17</w:t>
            </w:r>
          </w:p>
        </w:tc>
      </w:tr>
      <w:tr w:rsidR="001C0670" w:rsidRPr="001C7DBF" w14:paraId="55FDCEA1" w14:textId="77777777" w:rsidTr="001C7DBF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58C51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D61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ErmX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1CC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Erm 23S ribosomal RNA methyltransferase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F7DB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macrolide, lincosamide, streptogramin, streptogramin A, and streptogramin B antibiotics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716A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B5DE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90.14</w:t>
            </w:r>
          </w:p>
        </w:tc>
      </w:tr>
      <w:tr w:rsidR="001C0670" w:rsidRPr="001C7DBF" w14:paraId="0A7419F7" w14:textId="77777777" w:rsidTr="001C7DBF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CCD2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Bifidobacterium thermacidophilum 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subsp. </w:t>
            </w: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porcinum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3D9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C36C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C4BA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D9C7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88B3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89.19</w:t>
            </w:r>
          </w:p>
        </w:tc>
      </w:tr>
      <w:tr w:rsidR="001C0670" w:rsidRPr="001C7DBF" w14:paraId="75161420" w14:textId="77777777" w:rsidTr="001C7DBF">
        <w:trPr>
          <w:trHeight w:val="320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4D187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pullorum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F5BE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61BA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DF07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142B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7C93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93.5</w:t>
            </w:r>
          </w:p>
        </w:tc>
      </w:tr>
      <w:tr w:rsidR="001C0670" w:rsidRPr="001C7DBF" w14:paraId="37EAF32B" w14:textId="77777777" w:rsidTr="001C7DBF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F1239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05A0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tet(W)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9AC6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tetracycline-resistant ribosomal protection protein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7AF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2CAE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protection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D0D9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97.03</w:t>
            </w:r>
          </w:p>
        </w:tc>
      </w:tr>
      <w:tr w:rsidR="001C0670" w:rsidRPr="001C7DBF" w14:paraId="69895CE6" w14:textId="77777777" w:rsidTr="001C7DBF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F8665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ruminantium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BF5C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1121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D743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E8A1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204F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91.98</w:t>
            </w:r>
          </w:p>
        </w:tc>
      </w:tr>
      <w:tr w:rsidR="001C0670" w:rsidRPr="001C7DBF" w14:paraId="2575233E" w14:textId="77777777" w:rsidTr="001C7DBF">
        <w:trPr>
          <w:trHeight w:val="320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BDDA77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choerinum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EB2F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4FC1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6553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DC32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491A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98.57</w:t>
            </w:r>
          </w:p>
        </w:tc>
      </w:tr>
      <w:tr w:rsidR="001C0670" w:rsidRPr="001C7DBF" w14:paraId="24234B2E" w14:textId="77777777" w:rsidTr="001C7DBF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5CF3A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A569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tet(W)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6F9B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tetracycline-resistant ribosomal protection protein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6B91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86D8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protection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FFF56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98.44</w:t>
            </w:r>
          </w:p>
        </w:tc>
      </w:tr>
      <w:tr w:rsidR="001C0670" w:rsidRPr="001C7DBF" w14:paraId="6229C352" w14:textId="77777777" w:rsidTr="001C7DBF">
        <w:trPr>
          <w:trHeight w:val="3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7DB61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tibiigranuli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16DE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1B97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3AA3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3D54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AF9B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90.27</w:t>
            </w:r>
          </w:p>
        </w:tc>
      </w:tr>
      <w:tr w:rsidR="001C0670" w:rsidRPr="001C7DBF" w14:paraId="324C0781" w14:textId="77777777" w:rsidTr="001C7DBF">
        <w:trPr>
          <w:trHeight w:val="3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6FDEC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Bifidobacterium indicum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3E79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65A0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7168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8B28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5858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88.77</w:t>
            </w:r>
          </w:p>
        </w:tc>
      </w:tr>
      <w:tr w:rsidR="001C0670" w:rsidRPr="001C7DBF" w14:paraId="45E28A8B" w14:textId="77777777" w:rsidTr="001C7DBF">
        <w:trPr>
          <w:trHeight w:val="320"/>
        </w:trPr>
        <w:tc>
          <w:tcPr>
            <w:tcW w:w="0" w:type="auto"/>
            <w:tcBorders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C8AA0B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aquikefiri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3B18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Bifidobacterium adolescentis</w:t>
            </w: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rpoB mutants conferring resistance to rifampicin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CC0D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rifamycin-resistant beta-subunit of RNA polymerases (rpoB)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C01BD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rifamycin antibiotic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8289" w14:textId="77777777" w:rsidR="001C0670" w:rsidRPr="001C7DBF" w:rsidRDefault="001C0670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antibiotic target alteration, antibiotic target replacement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7133" w14:textId="77777777" w:rsidR="001C0670" w:rsidRPr="001C7DBF" w:rsidRDefault="001C0670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DBF">
              <w:rPr>
                <w:rFonts w:ascii="Times New Roman" w:eastAsia="Times New Roman" w:hAnsi="Times New Roman" w:cs="Times New Roman"/>
                <w:sz w:val="20"/>
                <w:szCs w:val="20"/>
              </w:rPr>
              <w:t>88.09</w:t>
            </w:r>
          </w:p>
        </w:tc>
      </w:tr>
    </w:tbl>
    <w:p w14:paraId="1EE9C83F" w14:textId="77777777" w:rsidR="001C0670" w:rsidRPr="007F1CB1" w:rsidRDefault="001C0670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1CB1">
        <w:rPr>
          <w:rFonts w:ascii="Times New Roman" w:eastAsia="Times New Roman" w:hAnsi="Times New Roman" w:cs="Times New Roman"/>
          <w:sz w:val="20"/>
          <w:szCs w:val="20"/>
          <w:lang w:val="en-US"/>
        </w:rPr>
        <w:t>Note: The Antibiotic Resistance Ontology (ARO) describes antibiotic resistance genes and mutations, their products, mechanisms, and associated phenotypes, as well as antibiotics and their molecular targets (Alcock et al., 2023).</w:t>
      </w:r>
    </w:p>
    <w:p w14:paraId="1B8FE662" w14:textId="77777777" w:rsidR="001C0670" w:rsidRDefault="001C0670" w:rsidP="00960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</w:pPr>
    </w:p>
    <w:p w14:paraId="5C485501" w14:textId="36ED9845" w:rsidR="00004A43" w:rsidRPr="00AC6478" w:rsidRDefault="00004A43" w:rsidP="00FC71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Table 2 shows that only one genetic background was detected in </w:t>
      </w:r>
      <w:r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isolated from humans and the environment, i.e., the resistant gene of erythromycin (ErmX). Four genetic backgrounds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associated with antibiotic-resistant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were detected in </w:t>
      </w:r>
      <w:r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from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animal origin. They were resistant genes for erythromycin (ermX), lincomycin (lnuC), chloramphenicol (cmX), and tetracycline (tetW). Surprisingly, four animal-derived </w:t>
      </w:r>
      <w:r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strains have </w:t>
      </w:r>
      <w:r w:rsidRPr="00411C7D">
        <w:rPr>
          <w:rFonts w:ascii="Times New Roman" w:hAnsi="Times New Roman" w:cs="Times New Roman"/>
          <w:sz w:val="24"/>
          <w:szCs w:val="24"/>
          <w:highlight w:val="white"/>
        </w:rPr>
        <w:t>developed a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resistance gene that expresses a tetracycline-resistant ribosome-protecting protein (tetW)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0AB40" w14:textId="2D26D3AA" w:rsidR="00346F8D" w:rsidRDefault="00205BF9" w:rsidP="00FC71E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highlight w:val="white"/>
          <w:lang w:val="en-US"/>
        </w:rPr>
        <w:t xml:space="preserve">Another analysis showed that </w:t>
      </w:r>
      <w:r w:rsidR="000F22F0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590454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also potentially resistant to various antibiotic classes (Table 3). For example, those strains </w:t>
      </w:r>
      <w:r w:rsidR="000F22F0" w:rsidRPr="00411C7D">
        <w:rPr>
          <w:rFonts w:ascii="Times New Roman" w:hAnsi="Times New Roman" w:cs="Times New Roman"/>
          <w:sz w:val="24"/>
          <w:szCs w:val="24"/>
          <w:highlight w:val="white"/>
        </w:rPr>
        <w:t>are resistant to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streptogramin B, lincosamide, macrolide, amphenicol, and tetracycline antibiotics. This present study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detected ARGs of the amphenicol (i.e., chloramphenicol) and tetracycline classes</w:t>
      </w:r>
      <w:r w:rsidR="00A53DAE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in the </w:t>
      </w:r>
      <w:r w:rsidR="000F22F0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strains of animals</w:t>
      </w:r>
      <w:r w:rsidR="008C015C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B606E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>origin,</w:t>
      </w:r>
      <w:r w:rsidR="008C015C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which were broad-spectrum antibiotics</w:t>
      </w:r>
      <w:r w:rsidR="000F22F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r w:rsidR="00541240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E26DE3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M</w:t>
      </w:r>
      <w:r w:rsidR="00E26DE3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ost </w:t>
      </w:r>
      <w:r w:rsidR="00E26DE3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E26DE3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strains </w:t>
      </w:r>
      <w:r w:rsidR="00E26DE3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used in this study </w:t>
      </w:r>
      <w:r w:rsidR="00E26DE3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were resistant to both broad (</w:t>
      </w:r>
      <w:r w:rsidR="00E26DE3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e.g., </w:t>
      </w:r>
      <w:r w:rsidR="00E26DE3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tetracycline) and narrow-spectrum </w:t>
      </w:r>
      <w:r w:rsidR="00E26DE3" w:rsidRPr="00411C7D">
        <w:rPr>
          <w:rFonts w:ascii="Times New Roman" w:hAnsi="Times New Roman" w:cs="Times New Roman"/>
          <w:sz w:val="24"/>
          <w:szCs w:val="24"/>
          <w:highlight w:val="white"/>
        </w:rPr>
        <w:t>(</w:t>
      </w:r>
      <w:r w:rsidR="00E26DE3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e.g., </w:t>
      </w:r>
      <w:r w:rsidR="00E26DE3" w:rsidRPr="00411C7D">
        <w:rPr>
          <w:rFonts w:ascii="Times New Roman" w:hAnsi="Times New Roman" w:cs="Times New Roman"/>
          <w:sz w:val="24"/>
          <w:szCs w:val="24"/>
          <w:highlight w:val="white"/>
        </w:rPr>
        <w:t>erythromycin) antibiotics</w:t>
      </w:r>
      <w:r w:rsidR="00E26DE3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r w:rsidR="00E26DE3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="00541240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T</w:t>
      </w:r>
      <w:r w:rsidR="0053065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he </w:t>
      </w:r>
      <w:r w:rsidR="00541240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T</w:t>
      </w:r>
      <w:r w:rsidR="0053065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et </w:t>
      </w:r>
      <w:r w:rsidR="008C015C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(tetracycline) </w:t>
      </w:r>
      <w:r w:rsidR="0053065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and Erm </w:t>
      </w:r>
      <w:r w:rsidR="008C015C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(rifamycin) </w:t>
      </w:r>
      <w:r w:rsidR="008C015C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gen</w:t>
      </w:r>
      <w:r w:rsidR="008C015C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etic background </w:t>
      </w:r>
      <w:r w:rsidR="00541240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were </w:t>
      </w:r>
      <w:r w:rsidR="00C96B3C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found in</w:t>
      </w:r>
      <w:r w:rsidR="0053065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530656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530656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from all sample sources, i.e., animals, humans, and the environment.</w:t>
      </w:r>
      <w:r w:rsidR="00346F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6F8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E</w:t>
      </w:r>
      <w:r w:rsidR="00346F8D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rythromycin and tetracycline -resistant genes were </w:t>
      </w:r>
      <w:r w:rsidR="009557EB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reported as </w:t>
      </w:r>
      <w:r w:rsidR="00346F8D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the most prevalent in various commercial </w:t>
      </w:r>
      <w:r w:rsidR="00346F8D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 xml:space="preserve">Bifidobacterium </w:t>
      </w:r>
      <w:r w:rsidR="00346F8D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strains </w:t>
      </w:r>
      <w:r w:rsidR="00346F8D" w:rsidRPr="00411C7D">
        <w:rPr>
          <w:rFonts w:ascii="Times New Roman" w:eastAsia="Times New Roman" w:hAnsi="Times New Roman" w:cs="Times New Roman"/>
          <w:sz w:val="24"/>
          <w:szCs w:val="24"/>
        </w:rPr>
        <w:t>(Cao et al., 2020; Rozman et al., 2020).</w:t>
      </w:r>
    </w:p>
    <w:p w14:paraId="5522FA95" w14:textId="77777777" w:rsidR="00E73D8F" w:rsidRPr="00346F8D" w:rsidRDefault="00E73D8F" w:rsidP="00FC71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4247316" w14:textId="77777777" w:rsidR="00B43831" w:rsidRPr="00411C7D" w:rsidRDefault="00B4383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Table 3.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 Analysis of antimicrobial resistance of </w:t>
      </w:r>
      <w:r w:rsidRPr="00411C7D">
        <w:rPr>
          <w:rFonts w:ascii="Times New Roman" w:eastAsia="Times New Roman" w:hAnsi="Times New Roman" w:cs="Times New Roman"/>
          <w:i/>
          <w:sz w:val="24"/>
          <w:szCs w:val="24"/>
        </w:rPr>
        <w:t xml:space="preserve">Bifidobacterium 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>spp. using ResFinder 4.1</w:t>
      </w:r>
    </w:p>
    <w:tbl>
      <w:tblPr>
        <w:tblStyle w:val="a1"/>
        <w:tblW w:w="0" w:type="auto"/>
        <w:tblInd w:w="-615" w:type="dxa"/>
        <w:tblLook w:val="0600" w:firstRow="0" w:lastRow="0" w:firstColumn="0" w:lastColumn="0" w:noHBand="1" w:noVBand="1"/>
      </w:tblPr>
      <w:tblGrid>
        <w:gridCol w:w="2888"/>
        <w:gridCol w:w="1544"/>
        <w:gridCol w:w="1385"/>
        <w:gridCol w:w="4325"/>
      </w:tblGrid>
      <w:tr w:rsidR="00B43831" w:rsidRPr="00A46A88" w14:paraId="669CE0B6" w14:textId="77777777" w:rsidTr="00A46A88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DA2D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Isolates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B942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Antimicrobial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C256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4146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Genetic background</w:t>
            </w:r>
          </w:p>
        </w:tc>
      </w:tr>
      <w:tr w:rsidR="00B43831" w:rsidRPr="00A46A88" w14:paraId="5BB36E2C" w14:textId="77777777" w:rsidTr="00A46A88">
        <w:tc>
          <w:tcPr>
            <w:tcW w:w="0" w:type="auto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58E7E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longum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5295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2407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3EACB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31" w:rsidRPr="00A46A88" w14:paraId="5BD5AA6D" w14:textId="77777777" w:rsidTr="00A46A88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674B7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breve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4514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FDBD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FD99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31" w:rsidRPr="00A46A88" w14:paraId="0532B07A" w14:textId="77777777" w:rsidTr="00A46A88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F7FB41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bifidum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B66A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FD7E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7D59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31" w:rsidRPr="00A46A88" w14:paraId="11D35AA5" w14:textId="77777777" w:rsidTr="00A46A88">
        <w:trPr>
          <w:trHeight w:val="320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8F671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dentium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F06A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virginiamycin 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0885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streptogramin 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B361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(erm(X)_X51472)</w:t>
            </w:r>
          </w:p>
        </w:tc>
      </w:tr>
      <w:tr w:rsidR="00B43831" w:rsidRPr="00A46A88" w14:paraId="79906CAE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492D93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651A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clindamycin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644D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lincosamide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86E3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(erm(X)_X51472)</w:t>
            </w:r>
          </w:p>
        </w:tc>
      </w:tr>
      <w:tr w:rsidR="00B43831" w:rsidRPr="00A46A88" w14:paraId="61AE9670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65496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BE41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quinupristin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AB38F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streptogramin 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36D0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(erm(X)_X51472)</w:t>
            </w:r>
          </w:p>
        </w:tc>
      </w:tr>
      <w:tr w:rsidR="00B43831" w:rsidRPr="00A46A88" w14:paraId="5203A7B0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E3CDB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3BD4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erythromycin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1C8B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macrolide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D9E2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(erm(X)_X51472)</w:t>
            </w:r>
          </w:p>
        </w:tc>
      </w:tr>
      <w:tr w:rsidR="00B43831" w:rsidRPr="00A46A88" w14:paraId="361F6D5F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4FD0D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CE0F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pristinamycin ia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1CD8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streptogramin </w:t>
            </w: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6CFF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erm(X) (erm(X)_X51472)</w:t>
            </w:r>
          </w:p>
        </w:tc>
      </w:tr>
      <w:tr w:rsidR="00B43831" w:rsidRPr="00A46A88" w14:paraId="7A997844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39D5E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0067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lincomycin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66EE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lincosamide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8784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(erm(X)_X51472)</w:t>
            </w:r>
          </w:p>
        </w:tc>
      </w:tr>
      <w:tr w:rsidR="00B43831" w:rsidRPr="00A46A88" w14:paraId="6710657C" w14:textId="77777777" w:rsidTr="00A46A88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7B413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adolescentis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21FA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755F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9999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31" w:rsidRPr="00A46A88" w14:paraId="1DAB489A" w14:textId="77777777" w:rsidTr="00A46A88">
        <w:trPr>
          <w:trHeight w:val="320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23D41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asteroides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E672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virginiamycin 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5264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streptogramin 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C242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(erm(X)_U21300), erm(X) (erm(X)_X51472)</w:t>
            </w:r>
          </w:p>
        </w:tc>
      </w:tr>
      <w:tr w:rsidR="00B43831" w:rsidRPr="00A46A88" w14:paraId="6C64A889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D01A1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547B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clindamycin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C81A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lincosamide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69FC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(erm(X)_U21300), erm(X) (erm(X)_X51472)</w:t>
            </w:r>
          </w:p>
        </w:tc>
      </w:tr>
      <w:tr w:rsidR="00B43831" w:rsidRPr="00A46A88" w14:paraId="57712E07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26E40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8F67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lincomycin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2987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lincosamide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E1FA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(erm(X)_U21300), lnu(C) (lnu(C)_AY928180), erm(X) (erm(X)_X51472)</w:t>
            </w:r>
          </w:p>
        </w:tc>
      </w:tr>
      <w:tr w:rsidR="00B43831" w:rsidRPr="00A46A88" w14:paraId="3C1D756A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FA646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9C35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erythromycin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4964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macrolide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3448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(erm(X)_U21300), erm(X) (erm(X)_X51472)</w:t>
            </w:r>
          </w:p>
        </w:tc>
      </w:tr>
      <w:tr w:rsidR="00B43831" w:rsidRPr="00A46A88" w14:paraId="3FD34F5B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E3361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0234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pristinamycin ia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694B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streptogramin 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4B60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(erm(X)_U21300), erm(X) (erm(X)_X51472)</w:t>
            </w:r>
          </w:p>
        </w:tc>
      </w:tr>
      <w:tr w:rsidR="00B43831" w:rsidRPr="00A46A88" w14:paraId="63E728CF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839B7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EB48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2623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amphenicol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E5A7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cmx (cmx_U85507)</w:t>
            </w:r>
          </w:p>
        </w:tc>
      </w:tr>
      <w:tr w:rsidR="00B43831" w:rsidRPr="00A46A88" w14:paraId="74FE78DD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1571D4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A9AE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quinupristin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65FB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streptogramin 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2C11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erm(X) (erm(X)_U21300), erm(X) (erm(X)_X51472)</w:t>
            </w:r>
          </w:p>
        </w:tc>
      </w:tr>
      <w:tr w:rsidR="00B43831" w:rsidRPr="00A46A88" w14:paraId="64B1A95F" w14:textId="77777777" w:rsidTr="00A46A88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FBDAE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Bifidobacterium thermacidophilum </w:t>
            </w: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subsp. </w:t>
            </w: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porcinum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9EBF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B365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F165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31" w:rsidRPr="00A46A88" w14:paraId="2AED3B26" w14:textId="77777777" w:rsidTr="00A46A88">
        <w:trPr>
          <w:trHeight w:val="320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BA11E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pullorum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BC30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doxycycline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516F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DA8D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tet(W) (tet(W)_FN396364)</w:t>
            </w:r>
          </w:p>
        </w:tc>
      </w:tr>
      <w:tr w:rsidR="00B43831" w:rsidRPr="00A46A88" w14:paraId="2AA06699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2F83E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61C1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ECED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0256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tet(W) (tet(W)_FN396364)</w:t>
            </w:r>
          </w:p>
        </w:tc>
      </w:tr>
      <w:tr w:rsidR="00B43831" w:rsidRPr="00A46A88" w14:paraId="38C22008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CCEC0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8D6B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minocycline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0A67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E4AA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tet(W) (tet(W)_FN396364)</w:t>
            </w:r>
          </w:p>
        </w:tc>
      </w:tr>
      <w:tr w:rsidR="00B43831" w:rsidRPr="00A46A88" w14:paraId="30D4941A" w14:textId="77777777" w:rsidTr="00A46A88"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39752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ruminantium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D20C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E51C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3958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31" w:rsidRPr="00A46A88" w14:paraId="5A71A5F8" w14:textId="77777777" w:rsidTr="00A46A88">
        <w:trPr>
          <w:trHeight w:val="320"/>
        </w:trPr>
        <w:tc>
          <w:tcPr>
            <w:tcW w:w="0" w:type="auto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26696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choerinum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6ABA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1A12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D65D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tet(W) (tet(W)_FN396364)</w:t>
            </w:r>
          </w:p>
        </w:tc>
      </w:tr>
      <w:tr w:rsidR="00B43831" w:rsidRPr="00A46A88" w14:paraId="509ABD1C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9026B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AF37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doxycycline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C3D8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A20D7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tet(W) (tet(W)_FN396364)</w:t>
            </w:r>
          </w:p>
        </w:tc>
      </w:tr>
      <w:tr w:rsidR="00B43831" w:rsidRPr="00A46A88" w14:paraId="1F41669B" w14:textId="77777777" w:rsidTr="00A46A88">
        <w:trPr>
          <w:trHeight w:val="320"/>
        </w:trPr>
        <w:tc>
          <w:tcPr>
            <w:tcW w:w="0" w:type="auto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5AF51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8F98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minocycline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738A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4D3F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tet(W) (tet(W)_FN396364)</w:t>
            </w:r>
          </w:p>
        </w:tc>
      </w:tr>
      <w:tr w:rsidR="00B43831" w:rsidRPr="00A46A88" w14:paraId="2CD42C34" w14:textId="77777777" w:rsidTr="00A46A88">
        <w:trPr>
          <w:trHeight w:val="3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A1C28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tibiigranuli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E7D3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85375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861E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31" w:rsidRPr="00A46A88" w14:paraId="126A8292" w14:textId="77777777" w:rsidTr="00A46A88">
        <w:trPr>
          <w:trHeight w:val="3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091BE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indicum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41179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1491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CEB2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31" w:rsidRPr="00A46A88" w14:paraId="57FDF045" w14:textId="77777777" w:rsidTr="00A46A88">
        <w:trPr>
          <w:trHeight w:val="320"/>
        </w:trPr>
        <w:tc>
          <w:tcPr>
            <w:tcW w:w="0" w:type="auto"/>
            <w:tcBorders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FD0EA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Bifidobacterium aquikefiri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6B7D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6305" w14:textId="77777777" w:rsidR="00B43831" w:rsidRPr="00A46A88" w:rsidRDefault="00B43831" w:rsidP="00960DF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A88">
              <w:rPr>
                <w:rFonts w:ascii="Times New Roman" w:eastAsia="Times New Roman" w:hAnsi="Times New Roman" w:cs="Times New Roman"/>
                <w:sz w:val="20"/>
                <w:szCs w:val="20"/>
              </w:rPr>
              <w:t>no resistance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6AAC" w14:textId="77777777" w:rsidR="00B43831" w:rsidRPr="00A46A88" w:rsidRDefault="00B43831" w:rsidP="00960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F77237" w14:textId="77777777" w:rsidR="00B43831" w:rsidRPr="00411C7D" w:rsidRDefault="00B4383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03135" w14:textId="6C97C43D" w:rsidR="006828B2" w:rsidRPr="00CE6665" w:rsidRDefault="00D917D8" w:rsidP="00FC71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Tetracycline is one of the </w:t>
      </w:r>
      <w:r w:rsidRPr="00CE6665">
        <w:rPr>
          <w:rFonts w:ascii="Times New Roman" w:hAnsi="Times New Roman" w:cs="Times New Roman"/>
          <w:color w:val="000000"/>
          <w:sz w:val="24"/>
          <w:szCs w:val="24"/>
        </w:rPr>
        <w:t>most extensively utilized antibiotics in veterinary and clinical settings</w:t>
      </w:r>
      <w:r w:rsidR="00922A00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22A00" w:rsidRPr="00CE666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922A00" w:rsidRPr="00CE6665">
        <w:rPr>
          <w:rFonts w:ascii="Times New Roman" w:eastAsia="Times New Roman" w:hAnsi="Times New Roman" w:cs="Times New Roman"/>
          <w:sz w:val="24"/>
          <w:szCs w:val="24"/>
          <w:lang w:val="en-US"/>
        </w:rPr>
        <w:t>Indrawati</w:t>
      </w:r>
      <w:proofErr w:type="spellEnd"/>
      <w:r w:rsidR="00922A00" w:rsidRPr="00CE6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al., 2021; </w:t>
      </w:r>
      <w:r w:rsidR="00922A00" w:rsidRPr="00CE6665">
        <w:rPr>
          <w:rFonts w:ascii="Times New Roman" w:eastAsia="Times New Roman" w:hAnsi="Times New Roman" w:cs="Times New Roman"/>
          <w:sz w:val="24"/>
          <w:szCs w:val="24"/>
        </w:rPr>
        <w:t>Peiris et al., 2017)</w:t>
      </w:r>
      <w:r w:rsidR="00327A0A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327A0A" w:rsidRPr="00CE6665">
        <w:rPr>
          <w:rFonts w:ascii="Times New Roman" w:hAnsi="Times New Roman" w:cs="Times New Roman"/>
          <w:color w:val="000000"/>
          <w:sz w:val="24"/>
          <w:szCs w:val="24"/>
        </w:rPr>
        <w:t>Tetracycline resistance genes can be transferred horizontally between different bacterial species through mechanisms</w:t>
      </w:r>
      <w:r w:rsidR="006828B2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327A0A" w:rsidRPr="00CE6665">
        <w:rPr>
          <w:rFonts w:ascii="Times New Roman" w:hAnsi="Times New Roman" w:cs="Times New Roman"/>
          <w:color w:val="000000"/>
          <w:sz w:val="24"/>
          <w:szCs w:val="24"/>
        </w:rPr>
        <w:t xml:space="preserve"> such as conjugation, transduction, and transformation</w:t>
      </w:r>
      <w:r w:rsidRPr="00CE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A00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(Ding et al., 2023)</w:t>
      </w:r>
      <w:r w:rsidRPr="00CE66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28B2" w:rsidRPr="00CE6665">
        <w:rPr>
          <w:rFonts w:ascii="Times New Roman" w:hAnsi="Times New Roman" w:cs="Times New Roman"/>
          <w:color w:val="000000"/>
          <w:sz w:val="24"/>
          <w:szCs w:val="24"/>
        </w:rPr>
        <w:t xml:space="preserve">Although conjugative plasmids are uncommon in </w:t>
      </w:r>
      <w:r w:rsidR="006828B2" w:rsidRPr="00CE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Bifidobacterium </w:t>
      </w:r>
      <w:r w:rsidR="006828B2" w:rsidRPr="00CE6665">
        <w:rPr>
          <w:rFonts w:ascii="Times New Roman" w:hAnsi="Times New Roman" w:cs="Times New Roman"/>
          <w:color w:val="000000"/>
          <w:sz w:val="24"/>
          <w:szCs w:val="24"/>
        </w:rPr>
        <w:t xml:space="preserve">spp., other mobile genetic elements (e.g., transposons) must be considered because the tet gene appears to be positioned on the chromosome. </w:t>
      </w:r>
      <w:r w:rsidR="0015508B" w:rsidRPr="00CE6665">
        <w:rPr>
          <w:rFonts w:ascii="Times New Roman" w:hAnsi="Times New Roman" w:cs="Times New Roman"/>
          <w:color w:val="000000"/>
          <w:sz w:val="24"/>
          <w:szCs w:val="24"/>
        </w:rPr>
        <w:t xml:space="preserve">Tetracycline resistance genes can </w:t>
      </w:r>
      <w:r w:rsidR="0015508B" w:rsidRPr="00CE6665">
        <w:rPr>
          <w:rFonts w:ascii="Times New Roman" w:hAnsi="Times New Roman" w:cs="Times New Roman"/>
          <w:color w:val="000000"/>
          <w:sz w:val="24"/>
          <w:szCs w:val="24"/>
        </w:rPr>
        <w:lastRenderedPageBreak/>
        <w:t>be co-located on the same mobile genetic elements (e.g., plasmids) as genes conferring resistance to other antibiotics or stressors</w:t>
      </w:r>
      <w:r w:rsidR="0015508B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508B" w:rsidRPr="00CE6665">
        <w:rPr>
          <w:rFonts w:ascii="Times New Roman" w:eastAsia="Times New Roman" w:hAnsi="Times New Roman" w:cs="Times New Roman"/>
          <w:sz w:val="24"/>
          <w:szCs w:val="24"/>
        </w:rPr>
        <w:t>(Gueimonde et al., 201</w:t>
      </w:r>
      <w:r w:rsidR="0015508B" w:rsidRPr="00CE6665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15508B" w:rsidRPr="00CE666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15508B" w:rsidRPr="00CE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28B2" w:rsidRPr="00CE6665">
        <w:rPr>
          <w:rFonts w:ascii="Times New Roman" w:hAnsi="Times New Roman" w:cs="Times New Roman"/>
          <w:sz w:val="24"/>
          <w:szCs w:val="24"/>
        </w:rPr>
        <w:t>It is</w:t>
      </w:r>
      <w:r w:rsidR="006828B2" w:rsidRPr="00CE6665">
        <w:rPr>
          <w:rFonts w:ascii="Times New Roman" w:hAnsi="Times New Roman" w:cs="Times New Roman"/>
          <w:color w:val="000000"/>
          <w:sz w:val="24"/>
          <w:szCs w:val="24"/>
        </w:rPr>
        <w:t xml:space="preserve"> surrounded by transposase-coding genes or transposase target sequences in some </w:t>
      </w:r>
      <w:r w:rsidR="006828B2" w:rsidRPr="00CE6665">
        <w:rPr>
          <w:rFonts w:ascii="Times New Roman" w:hAnsi="Times New Roman" w:cs="Times New Roman"/>
          <w:i/>
          <w:color w:val="000000"/>
          <w:sz w:val="24"/>
          <w:szCs w:val="24"/>
        </w:rPr>
        <w:t>Bifidobacterium</w:t>
      </w:r>
      <w:r w:rsidR="006828B2" w:rsidRPr="00CE6665">
        <w:rPr>
          <w:rFonts w:ascii="Times New Roman" w:hAnsi="Times New Roman" w:cs="Times New Roman"/>
          <w:color w:val="000000"/>
          <w:sz w:val="24"/>
          <w:szCs w:val="24"/>
        </w:rPr>
        <w:t xml:space="preserve"> strains</w:t>
      </w:r>
      <w:r w:rsidR="006828B2" w:rsidRPr="00CE6665">
        <w:rPr>
          <w:rFonts w:ascii="Times New Roman" w:eastAsia="Times New Roman" w:hAnsi="Times New Roman" w:cs="Times New Roman"/>
          <w:sz w:val="24"/>
          <w:szCs w:val="24"/>
        </w:rPr>
        <w:t xml:space="preserve"> (Duranti et al., 2017; Gueimonde et al., 2013).</w:t>
      </w:r>
      <w:r w:rsidR="006828B2" w:rsidRPr="00CE6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28B2" w:rsidRPr="00CE6665">
        <w:rPr>
          <w:rFonts w:ascii="Times New Roman" w:eastAsia="Times New Roman" w:hAnsi="Times New Roman" w:cs="Times New Roman"/>
          <w:sz w:val="24"/>
          <w:szCs w:val="24"/>
        </w:rPr>
        <w:t>Therefore, tetracycline resistance</w:t>
      </w:r>
      <w:r w:rsidR="006828B2" w:rsidRPr="00CE6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28B2" w:rsidRPr="00CE666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6828B2" w:rsidRPr="00CE6665">
        <w:rPr>
          <w:rFonts w:ascii="Times New Roman" w:eastAsia="Times New Roman" w:hAnsi="Times New Roman" w:cs="Times New Roman"/>
          <w:i/>
          <w:sz w:val="24"/>
          <w:szCs w:val="24"/>
        </w:rPr>
        <w:t>Bifidobacterium</w:t>
      </w:r>
      <w:r w:rsidR="006828B2" w:rsidRPr="00CE6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B2" w:rsidRPr="00CE6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spp. </w:t>
      </w:r>
      <w:r w:rsidR="006828B2" w:rsidRPr="00CE6665">
        <w:rPr>
          <w:rFonts w:ascii="Times New Roman" w:eastAsia="Times New Roman" w:hAnsi="Times New Roman" w:cs="Times New Roman"/>
          <w:sz w:val="24"/>
          <w:szCs w:val="24"/>
        </w:rPr>
        <w:t>warrants special consideration.</w:t>
      </w:r>
    </w:p>
    <w:p w14:paraId="07C53A69" w14:textId="77777777" w:rsidR="002E13AD" w:rsidRDefault="0015508B" w:rsidP="00FC71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E666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Bifidobacterium</w:t>
      </w:r>
      <w:r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not limited to the human gut but also inhabits various environmental niches, such as soil and water. </w:t>
      </w:r>
      <w:r w:rsidR="001B0EA3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Antibiotic-resistance</w:t>
      </w:r>
      <w:r w:rsidR="00A60142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environmental </w:t>
      </w:r>
      <w:r w:rsidR="00A60142" w:rsidRPr="00CE666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Bifidobacterium </w:t>
      </w:r>
      <w:r w:rsidR="00A60142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strains </w:t>
      </w:r>
      <w:r w:rsidR="00B21CF6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="00A60142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contribute to the overall environmental </w:t>
      </w:r>
      <w:proofErr w:type="spellStart"/>
      <w:r w:rsidR="00A60142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resistome</w:t>
      </w:r>
      <w:proofErr w:type="spellEnd"/>
      <w:r w:rsidR="004218E8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It </w:t>
      </w:r>
      <w:r w:rsidR="00A60142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potentially affecting the persistence and spread of tetracycline resistance genes in natural ecosystems</w:t>
      </w:r>
      <w:r w:rsidR="004218E8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bookmarkStart w:id="0" w:name="_Hlk146009188"/>
      <w:r w:rsidR="004218E8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Larsson and</w:t>
      </w:r>
      <w:r w:rsidR="00F3694B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Flach, 2022</w:t>
      </w:r>
      <w:bookmarkEnd w:id="0"/>
      <w:r w:rsidR="00F3694B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A60142" w:rsidRPr="00CE666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1B0EA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ARGs</w:t>
      </w:r>
      <w:r w:rsidR="001B0EA3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within </w:t>
      </w:r>
      <w:r w:rsidR="001B0EA3" w:rsidRPr="00C052F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Bifidobacterium</w:t>
      </w:r>
      <w:r w:rsidR="001B0EA3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strains from animals can have a direct impact on food safety and public health. In humans, </w:t>
      </w:r>
      <w:r w:rsidR="001B0EA3" w:rsidRPr="00AD260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Bifidobacterium</w:t>
      </w:r>
      <w:r w:rsidR="001B0EA3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species are essential members of the gut microbiome, contributing to overall health and well-being. The presence of </w:t>
      </w:r>
      <w:r w:rsidR="001B0EA3">
        <w:rPr>
          <w:rFonts w:ascii="Times New Roman" w:hAnsi="Times New Roman" w:cs="Times New Roman"/>
          <w:color w:val="000000"/>
          <w:sz w:val="24"/>
          <w:szCs w:val="24"/>
          <w:lang w:val="en-US"/>
        </w:rPr>
        <w:t>ARGs</w:t>
      </w:r>
      <w:r w:rsidR="001B0EA3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within human-associated </w:t>
      </w:r>
      <w:r w:rsidR="001B0EA3" w:rsidRPr="001B0EA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Bifidobacterium</w:t>
      </w:r>
      <w:r w:rsidR="001B0EA3" w:rsidRPr="00411C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strains raises concerns about the potential transfer of resistance to pathogenic bacteria.</w:t>
      </w:r>
    </w:p>
    <w:p w14:paraId="4343B950" w14:textId="03A89038" w:rsidR="00F66F63" w:rsidRDefault="00BD5489" w:rsidP="00FC71E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7B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resistance of </w:t>
      </w:r>
      <w:r w:rsidRPr="00C96B3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Bifidobacterium </w:t>
      </w:r>
      <w:r w:rsidRPr="00C37B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strains 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various </w:t>
      </w:r>
      <w:r w:rsidRPr="00C37B86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antibiotics complicates their potential use as probiotics.</w:t>
      </w:r>
      <w:r w:rsidR="002E13A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430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Industry </w:t>
      </w:r>
      <w:r w:rsidR="004430CD" w:rsidRPr="00411C7D">
        <w:rPr>
          <w:rFonts w:ascii="Times New Roman" w:eastAsia="Times New Roman" w:hAnsi="Times New Roman" w:cs="Times New Roman"/>
          <w:sz w:val="24"/>
          <w:szCs w:val="24"/>
        </w:rPr>
        <w:t>can select strains with low or no A</w:t>
      </w:r>
      <w:r w:rsidR="004430CD">
        <w:rPr>
          <w:rFonts w:ascii="Times New Roman" w:eastAsia="Times New Roman" w:hAnsi="Times New Roman" w:cs="Times New Roman"/>
          <w:sz w:val="24"/>
          <w:szCs w:val="24"/>
          <w:lang w:val="en-US"/>
        </w:rPr>
        <w:t>RG</w:t>
      </w:r>
      <w:r w:rsidR="004430CD" w:rsidRPr="00411C7D">
        <w:rPr>
          <w:rFonts w:ascii="Times New Roman" w:eastAsia="Times New Roman" w:hAnsi="Times New Roman" w:cs="Times New Roman"/>
          <w:sz w:val="24"/>
          <w:szCs w:val="24"/>
        </w:rPr>
        <w:t>s, minimizing the risk of transferring resistance to the host or other gut bacteria.</w:t>
      </w:r>
      <w:r w:rsidR="008F74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127B" w:rsidRPr="00B71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discovery </w:t>
      </w:r>
      <w:r w:rsidR="008F74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also </w:t>
      </w:r>
      <w:r w:rsidR="00B7127B" w:rsidRPr="00B71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emphasizes the need for prudent and responsible antibiotic use in both clinical settings and agriculture. The spread of antibiotic resistance among bacteria, including beneficial ones like </w:t>
      </w:r>
      <w:r w:rsidR="00B7127B" w:rsidRPr="0071062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Bifidobacterium</w:t>
      </w:r>
      <w:r w:rsidR="00B7127B" w:rsidRPr="00B7127B">
        <w:rPr>
          <w:rFonts w:ascii="Times New Roman" w:eastAsia="Times New Roman" w:hAnsi="Times New Roman" w:cs="Times New Roman"/>
          <w:sz w:val="24"/>
          <w:szCs w:val="24"/>
          <w:lang w:val="en-US"/>
        </w:rPr>
        <w:t>, underscores the urgency of minimizing unnecessary antibiotic use in healthcare and agriculture</w:t>
      </w:r>
      <w:r w:rsidR="008F743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C03055C" w14:textId="77777777" w:rsidR="008F7436" w:rsidRPr="008F7436" w:rsidRDefault="008F7436" w:rsidP="00960DF1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4089C" w14:textId="3656EA9F" w:rsidR="004656C9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411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ONCLUSION</w:t>
      </w:r>
    </w:p>
    <w:p w14:paraId="4154089D" w14:textId="50F8309D" w:rsidR="004656C9" w:rsidRPr="00F10BCE" w:rsidRDefault="00530656" w:rsidP="00FC71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Antibiotic-resistance genes were detected in </w:t>
      </w:r>
      <w:r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 xml:space="preserve">Bifidobacterium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spp. </w:t>
      </w:r>
      <w:r w:rsidR="00492171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used in this study 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from different sample sources, i.e., humans, animals, and the environment. </w:t>
      </w:r>
      <w:r w:rsidRPr="00411C7D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Bifidobacterium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spp. is potentially resistant to various antibiotic </w:t>
      </w:r>
      <w:r w:rsidRPr="00411C7D">
        <w:rPr>
          <w:rFonts w:ascii="Times New Roman" w:hAnsi="Times New Roman" w:cs="Times New Roman"/>
          <w:sz w:val="24"/>
          <w:szCs w:val="24"/>
          <w:highlight w:val="white"/>
        </w:rPr>
        <w:t>classes, including</w:t>
      </w:r>
      <w:r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both narrow- and broad-spectrum antibiotics.</w:t>
      </w:r>
      <w:r w:rsidR="00851418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="0044793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447935" w:rsidRPr="00411C7D">
        <w:rPr>
          <w:rFonts w:ascii="Times New Roman" w:eastAsia="Times New Roman" w:hAnsi="Times New Roman" w:cs="Times New Roman"/>
          <w:sz w:val="24"/>
          <w:szCs w:val="24"/>
        </w:rPr>
        <w:t>etracycline resistance</w:t>
      </w:r>
      <w:r w:rsidR="0044793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7935" w:rsidRPr="00411C7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47935" w:rsidRPr="00411C7D">
        <w:rPr>
          <w:rFonts w:ascii="Times New Roman" w:eastAsia="Times New Roman" w:hAnsi="Times New Roman" w:cs="Times New Roman"/>
          <w:i/>
          <w:sz w:val="24"/>
          <w:szCs w:val="24"/>
        </w:rPr>
        <w:t>Bifidobacterium</w:t>
      </w:r>
      <w:r w:rsidR="00447935" w:rsidRPr="00411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93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spp. </w:t>
      </w:r>
      <w:r w:rsidR="00447935" w:rsidRPr="00411C7D">
        <w:rPr>
          <w:rFonts w:ascii="Times New Roman" w:eastAsia="Times New Roman" w:hAnsi="Times New Roman" w:cs="Times New Roman"/>
          <w:sz w:val="24"/>
          <w:szCs w:val="24"/>
        </w:rPr>
        <w:t>warrants special consideration</w:t>
      </w:r>
      <w:r w:rsidR="004479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51418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In</w:t>
      </w:r>
      <w:r w:rsidR="00447935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="00851418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this study, </w:t>
      </w:r>
      <w:r w:rsidR="00851418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four animal-derived </w:t>
      </w:r>
      <w:r w:rsidR="00851418" w:rsidRPr="00411C7D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Bifidobacterium</w:t>
      </w:r>
      <w:r w:rsidR="00851418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strains have </w:t>
      </w:r>
      <w:r w:rsidR="00851418" w:rsidRPr="00411C7D">
        <w:rPr>
          <w:rFonts w:ascii="Times New Roman" w:hAnsi="Times New Roman" w:cs="Times New Roman"/>
          <w:sz w:val="24"/>
          <w:szCs w:val="24"/>
          <w:highlight w:val="white"/>
        </w:rPr>
        <w:t>developed a</w:t>
      </w:r>
      <w:r w:rsidR="00851418" w:rsidRPr="00411C7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resistance gene that expresses a tetracycline-resistant ribosome-protecting protein (tetW)</w:t>
      </w:r>
      <w:r w:rsidR="00851418" w:rsidRPr="00411C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E7A83" w14:textId="77777777" w:rsidR="00016B91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54089F" w14:textId="3049DB1A" w:rsidR="004656C9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ACKNOWLEDGEMENT</w:t>
      </w:r>
      <w:r w:rsidRPr="00411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</w:p>
    <w:p w14:paraId="415408A3" w14:textId="48D9F4EF" w:rsidR="004656C9" w:rsidRPr="00411C7D" w:rsidRDefault="0083014E" w:rsidP="00FC71E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We acknowledge all researchers and institutions that submitted the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</w:rPr>
        <w:t>Bifidobacterium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 genomic sequence. We also acknowledge the developer of Resfinder</w:t>
      </w:r>
      <w:r w:rsidR="00CE6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Pr="00411C7D">
        <w:rPr>
          <w:rFonts w:ascii="Times New Roman" w:eastAsia="Times New Roman" w:hAnsi="Times New Roman" w:cs="Times New Roman"/>
          <w:sz w:val="24"/>
          <w:szCs w:val="24"/>
        </w:rPr>
        <w:t xml:space="preserve"> CARD.</w:t>
      </w:r>
    </w:p>
    <w:p w14:paraId="415408A4" w14:textId="77777777" w:rsidR="004656C9" w:rsidRPr="00411C7D" w:rsidRDefault="004656C9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89AA7" w14:textId="3D589F00" w:rsidR="00016B91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C7D">
        <w:rPr>
          <w:rFonts w:ascii="Times New Roman" w:eastAsia="Times New Roman" w:hAnsi="Times New Roman" w:cs="Times New Roman"/>
          <w:b/>
          <w:bCs/>
          <w:sz w:val="24"/>
          <w:szCs w:val="24"/>
        </w:rPr>
        <w:t>CONFLICT OF INTEREST</w:t>
      </w:r>
    </w:p>
    <w:p w14:paraId="0F451E72" w14:textId="3E8E1AFC" w:rsidR="00016B91" w:rsidRPr="00411C7D" w:rsidRDefault="00C84F44" w:rsidP="00FC71E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1C7D">
        <w:rPr>
          <w:rFonts w:ascii="Times New Roman" w:eastAsia="Times New Roman" w:hAnsi="Times New Roman" w:cs="Times New Roman"/>
          <w:sz w:val="24"/>
          <w:szCs w:val="24"/>
        </w:rPr>
        <w:t>The author declares that there was no conflict of interest in this study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BB0BAA" w14:textId="77777777" w:rsidR="00016B91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408A5" w14:textId="26718951" w:rsidR="004656C9" w:rsidRPr="00411C7D" w:rsidRDefault="00016B91" w:rsidP="00960D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11C7D">
        <w:rPr>
          <w:rFonts w:ascii="Times New Roman" w:eastAsia="Times New Roman" w:hAnsi="Times New Roman" w:cs="Times New Roman"/>
          <w:b/>
          <w:sz w:val="24"/>
          <w:szCs w:val="24"/>
        </w:rPr>
        <w:t>REFERENCE</w:t>
      </w:r>
      <w:r w:rsidRPr="00411C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</w:p>
    <w:p w14:paraId="7BC5AF15" w14:textId="03F1049B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Alcock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B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Huynh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W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Chalil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Smith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W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Raphenya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Wlodarski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Edalatmand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Petkau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Syed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Tsang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Baker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J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Dave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McCarthy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Mukiri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Nasir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J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Golbon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B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Imtiaz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H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Jiang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X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Kaur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Kwong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Liang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Z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Niu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Shan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P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Yang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J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Y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J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Gray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L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Hoad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G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Jia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B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Bhando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T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Carfrae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L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Farha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French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Gordzevich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Rachwalski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Tu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Bordeleau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E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Dooley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D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Griffiths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E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Zubyk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H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L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Brown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E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Maguire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F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Beiko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G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Hsiao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W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W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L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Brinkman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F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L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Van Domselaar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G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r w:rsidR="008E14D5"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&amp;</w:t>
      </w:r>
      <w:r w:rsidR="00027C5D"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McArthur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G. </w:t>
      </w:r>
      <w:r w:rsidR="008E14D5"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(2023).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CARD 2023: expanded curation, support for machine learning, and resistome prediction at the Comprehensive Antibiotic Resistance Database. </w:t>
      </w:r>
      <w:r w:rsidRPr="00411C7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d-ID"/>
        </w:rPr>
        <w:t>Nucleic Acids Res</w:t>
      </w:r>
      <w:proofErr w:type="spellStart"/>
      <w:r w:rsidRPr="00411C7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earch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51</w:t>
      </w:r>
      <w:r w:rsidR="008E14D5"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D1</w:t>
      </w:r>
      <w:r w:rsidR="008E14D5"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D690-D699. 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4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oi: 10.1093/nar/gkac920</w:t>
      </w:r>
    </w:p>
    <w:p w14:paraId="3A18A23D" w14:textId="50D297DA" w:rsidR="00AC078A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Babatunde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 J., </w:t>
      </w: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Okiti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F., Bayode, M. T., Babatunde, S. O.,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Olaniran, A. M.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2022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Antibiogram profile prediction of selected bacterial strains by in silico determination of acquired antimicrobial resistance genes from their whole-genome sequence.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Bulletin of the National Research Centre,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46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230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 Doi: 10.1186/s42269-022-00922-w</w:t>
      </w:r>
    </w:p>
    <w:p w14:paraId="1A01ED7D" w14:textId="5DF31647" w:rsidR="00A62687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Bortolaia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V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Kaas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Ruppe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E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Roberts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C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Schwarz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Cattoir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V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Philippon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Allesoe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L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Rebelo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Florensa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F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Fagelhauer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Chakraborty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Neumann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Werner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G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Bender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J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K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Stingl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Nguyen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Coppens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J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Xavier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B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Malhotra-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Kumar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Westh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H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Pinholt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Anjum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F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Duggett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N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Kempf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Nykäsenoja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Olkkola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Wieczorek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Amaro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Clemente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Mossong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J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Losch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Ragimbeau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C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Lund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O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Aarestrup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F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(2020).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ResFinder 4.0 for predictions of phenotypes from genotypes.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Antimicrob</w:t>
      </w:r>
      <w:proofErr w:type="spellStart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ial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Chemother</w:t>
      </w:r>
      <w:proofErr w:type="spellStart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apy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75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12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3491-3500.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oi: 10.1093/jac/dkaa345</w:t>
      </w:r>
    </w:p>
    <w:p w14:paraId="6124D916" w14:textId="20341C26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Cao, L., Chen, H., Wang, Q., Li, B., Hu, Yunfei, Zhao, C., Hu, Yongfei,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Yin, Y.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2020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Literature-based phenotype survey and in silico genotype investigation of antibiotic resistance in the genus bifidobacterium.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Curr</w:t>
      </w:r>
      <w:proofErr w:type="spellStart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ent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Microbiol</w:t>
      </w:r>
      <w:proofErr w:type="spellStart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ogy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77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4104–4113.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Doi: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10.1007/s00284-020-02230-w</w:t>
      </w:r>
    </w:p>
    <w:p w14:paraId="75F57E4E" w14:textId="74B72075" w:rsidR="00F10236" w:rsidRPr="00F10236" w:rsidRDefault="00F10236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Ding, D., Wang, B., Zhang, X., Zhang, J., Zhang, H., Liu, X., Gao, Z., and Yu, Z. (2023). </w:t>
      </w:r>
      <w:r w:rsidRPr="00F10236">
        <w:rPr>
          <w:rFonts w:ascii="Times New Roman" w:eastAsia="Times New Roman" w:hAnsi="Times New Roman" w:cs="Times New Roman"/>
          <w:sz w:val="24"/>
          <w:szCs w:val="24"/>
          <w:lang w:val="en-US"/>
        </w:rPr>
        <w:t>The spread of antibiotic resistance to humans and potential protection strategies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E666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Ecotoxicology and Environmental Safety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254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114734. Doi: 10.1016/j.ecoenv</w:t>
      </w:r>
      <w:r w:rsidR="00CE6665">
        <w:rPr>
          <w:rFonts w:ascii="Times New Roman" w:eastAsia="Times New Roman" w:hAnsi="Times New Roman" w:cs="Times New Roman"/>
          <w:sz w:val="24"/>
          <w:szCs w:val="24"/>
          <w:lang w:val="en-US"/>
        </w:rPr>
        <w:t>.2023.114734</w:t>
      </w:r>
    </w:p>
    <w:p w14:paraId="4ACA3392" w14:textId="72AD0BF9" w:rsidR="00A62687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Duranti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Lugli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G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Mancabelli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Turroni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F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Milani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C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Mangifesta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Ferrario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C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Anzalone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R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Viappiani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van Sinderen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Ventura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2017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Prevalence of antibiotic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resistance genes among human gut-derived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Bifidobacteria. Appl</w:t>
      </w: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ied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Environ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mental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Microbiol</w:t>
      </w: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ogy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83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e02894-16.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10.1128/AEM.02894-16</w:t>
      </w:r>
    </w:p>
    <w:p w14:paraId="10DFA7D8" w14:textId="10B2364D" w:rsidR="008C7A75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EFSA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FEEDAP Panel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(2018).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Guidance on the characterization of microorganisms used as feed additives or as production organisms.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EFSA Journal</w:t>
      </w:r>
      <w:r w:rsidR="00F90999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90999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5206</w:t>
      </w:r>
      <w:r w:rsidR="00F90999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Doi: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10.2903/j.efsa.2018.5206</w:t>
      </w:r>
    </w:p>
    <w:p w14:paraId="06C392BE" w14:textId="45D80647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Erginkaya, Z., Turhan, E.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U.,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Tatli, D.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2018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Determination of antibiotic resistance of lactic acid bacteria isolated from traditional Turkish fermented dairy products.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Iran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J</w:t>
      </w:r>
      <w:proofErr w:type="spellStart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ournal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of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Vet</w:t>
      </w:r>
      <w:proofErr w:type="spellStart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erinary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Res</w:t>
      </w:r>
      <w:proofErr w:type="spellStart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earch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19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53–56.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10.22099/ijvr.2018.4769</w:t>
      </w:r>
    </w:p>
    <w:p w14:paraId="6AE0B8A9" w14:textId="175A71EF" w:rsidR="005A47E6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Florensa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F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Kaas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R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Clausen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L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C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Aytan-Aktug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Aarestrup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F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2022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ResFinder - an open online resource for identification of antimicrobial resistance genes in next-generation sequencing data and prediction of phenotypes from genotypes.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Microb</w:t>
      </w:r>
      <w:proofErr w:type="spellStart"/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ial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Genom</w:t>
      </w:r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8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000748. 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oi: 10.1099/mgen.0.000748</w:t>
      </w:r>
    </w:p>
    <w:p w14:paraId="3508E8C7" w14:textId="5FB33C0E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Gueimonde</w:t>
      </w:r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Sanchez, B., de </w:t>
      </w:r>
      <w:proofErr w:type="spellStart"/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los</w:t>
      </w:r>
      <w:proofErr w:type="spellEnd"/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Reyes-Gavilan, C. G.,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Margolles</w:t>
      </w:r>
      <w:proofErr w:type="spellEnd"/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 A.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2013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Antibiotic resistance in probiotic bacteria. </w:t>
      </w:r>
      <w:r w:rsidR="00A62687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Frontiers in Microbiology</w:t>
      </w:r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 4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A626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Doi: 10.3389/fmich.2013.00202 </w:t>
      </w:r>
    </w:p>
    <w:p w14:paraId="1D359B7A" w14:textId="422591D6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Hendrati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M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Kusharyati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F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Ryandini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Oedjijono.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2017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Characterization of 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ifidobacteria from infant feces with different modes of birth at Purwokerto, Indonesia.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Biodiversitas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18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3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1265-1269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 Doi: 10.13057/</w:t>
      </w: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biodiv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/d180352</w:t>
      </w:r>
    </w:p>
    <w:p w14:paraId="69B7D099" w14:textId="0F1D63AD" w:rsidR="00532707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Indrawati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Khoirani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Setiyaningsih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Safika, U. A.,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Ningrum, S. G.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(2021).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Detection of tetracycline resistance genes among </w:t>
      </w:r>
      <w:proofErr w:type="spellStart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escherichia</w:t>
      </w:r>
      <w:proofErr w:type="spellEnd"/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coli isolated from layer and broiler breeders in West Java, Indonesia.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Tropical Animal Science Journal</w:t>
      </w:r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44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267-272. Doi: 10.5398/tasj.2021.44.3.267 </w:t>
      </w:r>
    </w:p>
    <w:p w14:paraId="0435C237" w14:textId="1905C8BF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Kusharyati</w:t>
      </w:r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F., </w:t>
      </w:r>
      <w:proofErr w:type="spellStart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Pramono</w:t>
      </w:r>
      <w:proofErr w:type="spellEnd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Ryandini</w:t>
      </w:r>
      <w:proofErr w:type="spellEnd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Manshur</w:t>
      </w:r>
      <w:proofErr w:type="spellEnd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A., Dewi, M. A., </w:t>
      </w:r>
      <w:proofErr w:type="spellStart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Khatimah</w:t>
      </w:r>
      <w:proofErr w:type="spellEnd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&amp; </w:t>
      </w:r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Rovik, A.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2020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Bifidobacterium from infant stool: the diversity and potential screening. </w:t>
      </w:r>
      <w:proofErr w:type="spellStart"/>
      <w:r w:rsidR="008E3526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Biodiversitas</w:t>
      </w:r>
      <w:proofErr w:type="spellEnd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 21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2506-2513. Doi: 10.13057/</w:t>
      </w:r>
      <w:proofErr w:type="spellStart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biodiv</w:t>
      </w:r>
      <w:proofErr w:type="spellEnd"/>
      <w:r w:rsidR="008E352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/d210623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</w:p>
    <w:p w14:paraId="3563212E" w14:textId="761223EB" w:rsidR="00CE6665" w:rsidRPr="00CE6665" w:rsidRDefault="00CE6665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6665">
        <w:rPr>
          <w:rFonts w:ascii="Times New Roman" w:eastAsia="Times New Roman" w:hAnsi="Times New Roman" w:cs="Times New Roman"/>
          <w:sz w:val="24"/>
          <w:szCs w:val="24"/>
          <w:lang w:val="id-ID"/>
        </w:rPr>
        <w:t>Larsson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D.G.K. </w:t>
      </w:r>
      <w:r w:rsidRPr="00CE6665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and Flach,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C.F. (</w:t>
      </w:r>
      <w:r w:rsidRPr="00CE6665">
        <w:rPr>
          <w:rFonts w:ascii="Times New Roman" w:eastAsia="Times New Roman" w:hAnsi="Times New Roman" w:cs="Times New Roman"/>
          <w:sz w:val="24"/>
          <w:szCs w:val="24"/>
          <w:lang w:val="id-ID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Antibiotic resistance in the environment. </w:t>
      </w:r>
      <w:r w:rsidRPr="00CE666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Nature Reviews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257. Doi: 10.1038/s41579-021-00649-x</w:t>
      </w:r>
    </w:p>
    <w:p w14:paraId="4A8A7231" w14:textId="59C67654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Liu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Z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Roy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C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Guo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Y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Jia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H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Ryan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Samuelsson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Thomas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Plowman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J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Clerens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Day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Young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W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(2016)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Human 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breast milk and infant formulas differentially modify the intestinal microbiota in human infants and host physiology in rats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Nutr</w:t>
      </w:r>
      <w:proofErr w:type="spellStart"/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ients</w:t>
      </w:r>
      <w:proofErr w:type="spellEnd"/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146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191–199. 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10.3945/jn.115.223552</w:t>
      </w:r>
    </w:p>
    <w:p w14:paraId="3CB2A7D6" w14:textId="5216DC1A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McArthur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G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Waglechner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Nizam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F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Yan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Azad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Baylay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J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Bhullar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Canova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J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De Pascale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G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Ejim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Kalan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King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Koteva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Morar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Mulvey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R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O'Brien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J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S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Pawlowski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C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Piddock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J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Spanogiannopoulos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Sutherland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D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Tang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I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Taylor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L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Thaker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Wang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W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Yan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Yu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Wright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G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2013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The comprehensive antibiotic resistance database.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Antimicrob</w:t>
      </w:r>
      <w:proofErr w:type="spellStart"/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ial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Agents </w:t>
      </w:r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and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Chemother</w:t>
      </w:r>
      <w:proofErr w:type="spellStart"/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apy</w:t>
      </w:r>
      <w:proofErr w:type="spellEnd"/>
      <w:r w:rsidR="00027C5D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57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7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3348-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33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57. </w:t>
      </w:r>
      <w:r w:rsidR="00027C5D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oi: 10.1128/AAC.00419-13</w:t>
      </w:r>
      <w:r w:rsidR="00A93E90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</w:p>
    <w:p w14:paraId="4A097945" w14:textId="0B2D89DA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Nunziata</w:t>
      </w:r>
      <w:r w:rsidR="00DC19B2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L., Brasca, M., Morandi, S.,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DC19B2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Silvetti, T.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2022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DC19B2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Antibiotic resistance in wild and commercial non-enterococcal Lactic Acid Bacteria and </w:t>
      </w:r>
      <w:proofErr w:type="spellStart"/>
      <w:r w:rsidR="00DC19B2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Bifidobacteria</w:t>
      </w:r>
      <w:proofErr w:type="spellEnd"/>
      <w:r w:rsidR="00DC19B2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strains of dairy origin: 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DC19B2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update. </w:t>
      </w:r>
      <w:r w:rsidR="00DC19B2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Food Microbiology,</w:t>
      </w:r>
      <w:r w:rsidR="00DC19B2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104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C19B2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103999. Doi: 10.1016/j.fm.2022.103999</w:t>
      </w:r>
    </w:p>
    <w:p w14:paraId="687E1F03" w14:textId="38646AD6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Pedersen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K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Wagenaar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J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Vigre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H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Roer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Mikoleit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Aidara-Kane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Cawthorne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L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Aarestrup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F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M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8E14D5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Hendriksen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R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2018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Proficiency of WHO 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global foodborne infections network external quality assurance system participants in identification and susceptibility testing of thermotolerant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Campylobacter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spp. from 2003 to 2012.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J</w:t>
      </w:r>
      <w:proofErr w:type="spellStart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ournal</w:t>
      </w:r>
      <w:proofErr w:type="spellEnd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of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Clin</w:t>
      </w:r>
      <w:proofErr w:type="spellStart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ical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Microbiol</w:t>
      </w:r>
      <w:proofErr w:type="spellStart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ogy</w:t>
      </w:r>
      <w:proofErr w:type="spellEnd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56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11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e01066-18. 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oi: 10.1128/JCM.01066-18</w:t>
      </w:r>
      <w:r w:rsidR="00A93E90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</w:p>
    <w:p w14:paraId="497892DA" w14:textId="3761E1EF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Peiris, </w:t>
      </w:r>
      <w:r w:rsidR="00240D8B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C., </w:t>
      </w:r>
      <w:proofErr w:type="spellStart"/>
      <w:r w:rsidR="00240D8B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Gunatilake</w:t>
      </w:r>
      <w:proofErr w:type="spellEnd"/>
      <w:r w:rsidR="00240D8B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R., Mlsna, T. E., Mohan, D.,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240D8B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Vithanage, M.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2017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240D8B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Biochar based removal of antibiotic sulfonamides and tetracyclines in aquatic environments: A critical review. </w:t>
      </w:r>
      <w:r w:rsidR="00240D8B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Bioresource Technology,</w:t>
      </w:r>
      <w:r w:rsidR="00240D8B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246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40D8B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150-159. Doi: 10.1016/j.biortech.2017.07.150</w:t>
      </w:r>
    </w:p>
    <w:p w14:paraId="64EB6164" w14:textId="731B50A4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Rozman</w:t>
      </w:r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V., </w:t>
      </w:r>
      <w:proofErr w:type="spellStart"/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Lorbeg</w:t>
      </w:r>
      <w:proofErr w:type="spellEnd"/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P.M., </w:t>
      </w:r>
      <w:proofErr w:type="spellStart"/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Acetto</w:t>
      </w:r>
      <w:proofErr w:type="spellEnd"/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Matijasic</w:t>
      </w:r>
      <w:proofErr w:type="spellEnd"/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B.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(2020). </w:t>
      </w:r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Characterization of antimicrobial resistance in lactobacilli and </w:t>
      </w:r>
      <w:proofErr w:type="spellStart"/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Bifidobacteria</w:t>
      </w:r>
      <w:proofErr w:type="spellEnd"/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used as probiotics or starter cultures based on integration of phenotypic and in silico data. </w:t>
      </w:r>
      <w:r w:rsidR="00836290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Food Microbiology</w:t>
      </w:r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 314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36290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108388. Doi: 10.1016/j.ijfoodmicro.2019.108388</w:t>
      </w:r>
    </w:p>
    <w:p w14:paraId="19A1C5EF" w14:textId="3C034CB4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Sakanaka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Gotoh, A., Yoshida, K, </w:t>
      </w:r>
      <w:proofErr w:type="spellStart"/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Odamaki</w:t>
      </w:r>
      <w:proofErr w:type="spellEnd"/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T., Koguchi, H., Xiao, J-Z., Kitaoka, M.,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Katayama, T.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2020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Varied pathways of infant gut-associated Bifidobacterium to assimilate human milk oligosaccharides: prevalence of the gene set and its correlation with </w:t>
      </w:r>
      <w:proofErr w:type="spellStart"/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Bifidobacteria</w:t>
      </w:r>
      <w:proofErr w:type="spellEnd"/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-rich microbiota formation. </w:t>
      </w:r>
      <w:r w:rsidR="00097936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Nutrients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 12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71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 Doi: 10.3390/nu12010071</w:t>
      </w:r>
    </w:p>
    <w:p w14:paraId="39AAF24D" w14:textId="0706BCC0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Shreiner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B., Kao, J. Y.,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Young, V. B.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2015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gut microbiome in health and in disease. </w:t>
      </w:r>
      <w:r w:rsidR="00097936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Current Opinion on Gastroenterology, 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31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7936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69–75. Doi: 10.1097/MOG.0000000000000139</w:t>
      </w:r>
    </w:p>
    <w:p w14:paraId="6E1E36BB" w14:textId="4FF80BE6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Sirilun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Takahashi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H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Boonyaritichaikij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Chaiyasut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C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Lertruangpanya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Kog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a,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Y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Mikami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(2015)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Impact of maternal Bifidobacteria and the mode of delivery on Bifidobacterium microbiota in infants.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Benef</w:t>
      </w:r>
      <w:proofErr w:type="spellStart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icial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Microbes</w:t>
      </w:r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6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767–774. 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10.3920/BM2014.0124</w:t>
      </w:r>
      <w:r w:rsidR="00A93E90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</w:p>
    <w:p w14:paraId="18269E12" w14:textId="1C52A6C8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Su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Satola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W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Read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(2019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)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Genome-Based Prediction of Bacterial Antibiotic Resistance.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J</w:t>
      </w:r>
      <w:proofErr w:type="spellStart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ournal</w:t>
      </w:r>
      <w:proofErr w:type="spellEnd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of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Clin</w:t>
      </w:r>
      <w:proofErr w:type="spellStart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ical</w:t>
      </w:r>
      <w:proofErr w:type="spellEnd"/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Microbiol</w:t>
      </w:r>
      <w:proofErr w:type="spellStart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ogy</w:t>
      </w:r>
      <w:proofErr w:type="spellEnd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57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3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e01405-18.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oi: 10.1128/JCM.01405-18</w:t>
      </w:r>
    </w:p>
    <w:p w14:paraId="24763AD1" w14:textId="0BF12C79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World Health Organization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(2002).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Guidelines for the evaluation of probiotics in food. FAO/WHO Working Group, London, London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93E90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</w:p>
    <w:p w14:paraId="66BB2AA8" w14:textId="43731F8F" w:rsidR="000008FF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Yan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Zhao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G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Liu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X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Zhao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J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, Zhang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H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Chen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W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(2017)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Production of exopolysaccharide by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Bifidobacterium longum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isolated from elderly and infant feces and analysis of priming glycosyltransferase genes.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RSC Adv</w:t>
      </w:r>
      <w:proofErr w:type="spellStart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ance</w:t>
      </w:r>
      <w:proofErr w:type="spellEnd"/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7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31736–31744. </w:t>
      </w:r>
      <w:r w:rsidR="0053270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Doi: 1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0.1039/C7RA03925E</w:t>
      </w:r>
    </w:p>
    <w:p w14:paraId="7B29541D" w14:textId="594C1388" w:rsidR="00097936" w:rsidRPr="00411C7D" w:rsidRDefault="0083014E" w:rsidP="00960DF1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Yasmin, I., Saeed, M., Khan, W.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A., Khaliq, A., Chughtai, M.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F.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J., Iqbal, R., Tehseen, S., Naz, S., Liaqat, A., Mehmood, T., Ahsan, S.,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Tanweer, S.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2020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In vitro probiotic potential and safety evaluation (Hemolytic, cytotoxic activity) of bifidobacterium strains isolated from raw camel milk.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Microorganisms</w:t>
      </w:r>
      <w:r w:rsidR="00D13543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="00D13543" w:rsidRPr="00411C7D">
        <w:rPr>
          <w:rFonts w:ascii="Times New Roman" w:hAnsi="Times New Roman" w:cs="Times New Roman"/>
          <w:sz w:val="24"/>
          <w:szCs w:val="24"/>
        </w:rPr>
        <w:t xml:space="preserve"> </w:t>
      </w:r>
      <w:r w:rsidR="00D13543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8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D13543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3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13543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354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Doi: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10.3390/microorganisms8030354</w:t>
      </w:r>
    </w:p>
    <w:p w14:paraId="4C1E038E" w14:textId="7C238009" w:rsidR="00097936" w:rsidRPr="00411C7D" w:rsidRDefault="0083014E" w:rsidP="00960DF1">
      <w:pPr>
        <w:tabs>
          <w:tab w:val="left" w:pos="2127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Zankari, </w:t>
      </w:r>
      <w:r w:rsidR="004A7D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E., </w:t>
      </w:r>
      <w:proofErr w:type="spellStart"/>
      <w:r w:rsidR="004A7D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Allesoe</w:t>
      </w:r>
      <w:proofErr w:type="spellEnd"/>
      <w:r w:rsidR="004A7D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R., Joensen, K. G., Cavaco, L. M., Lund, O.,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4A7D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Aarestrup, F M.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2017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="004A7D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PointFinder</w:t>
      </w:r>
      <w:proofErr w:type="spellEnd"/>
      <w:r w:rsidR="004A7D8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: a novel web tool for WGS-based detection of antimicrobial resistance associated with chromosomal point mutations in bacterial pathogens</w:t>
      </w:r>
      <w:r w:rsidR="0053270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532707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Antimicrobial Chemotherapy</w:t>
      </w:r>
      <w:r w:rsidR="0053270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, 72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3270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2764-2768. Doi:10.1093/</w:t>
      </w:r>
      <w:proofErr w:type="spellStart"/>
      <w:r w:rsidR="0053270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jac</w:t>
      </w:r>
      <w:proofErr w:type="spellEnd"/>
      <w:r w:rsidR="00532707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/dkx217</w:t>
      </w:r>
    </w:p>
    <w:p w14:paraId="1A0DCCAF" w14:textId="20371637" w:rsidR="007F1CB1" w:rsidRPr="00A46A88" w:rsidRDefault="0083014E" w:rsidP="00A46A88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Zarzecka, U., Chajęcka-Wierzchowska, W.,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="00C127AE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Zadernowska, A. 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2022</w:t>
      </w:r>
      <w:r w:rsidR="009A6661"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Microorganisms from starter and protective cultures-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ccurrence of antibiotic resistance and conjugal transfer of tet genes in vitro and during food fermentation. </w:t>
      </w:r>
      <w:r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LWT</w:t>
      </w:r>
      <w:r w:rsidR="00C127AE" w:rsidRPr="00411C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153</w:t>
      </w:r>
      <w:r w:rsidR="007C3DD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112490.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Doi: </w:t>
      </w:r>
      <w:r w:rsidRPr="00411C7D">
        <w:rPr>
          <w:rFonts w:ascii="Times New Roman" w:eastAsia="Times New Roman" w:hAnsi="Times New Roman" w:cs="Times New Roman"/>
          <w:sz w:val="24"/>
          <w:szCs w:val="24"/>
          <w:lang w:val="id-ID"/>
        </w:rPr>
        <w:t>10.1016/j.lwt.2021.112490</w:t>
      </w:r>
    </w:p>
    <w:sectPr w:rsidR="007F1CB1" w:rsidRPr="00A46A88" w:rsidSect="00127FC8">
      <w:pgSz w:w="11909" w:h="16834" w:code="9"/>
      <w:pgMar w:top="1191" w:right="1191" w:bottom="1191" w:left="1191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75CDF"/>
    <w:multiLevelType w:val="multilevel"/>
    <w:tmpl w:val="8EB4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8F5826"/>
    <w:multiLevelType w:val="multilevel"/>
    <w:tmpl w:val="C8808D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1D13ED"/>
    <w:multiLevelType w:val="hybridMultilevel"/>
    <w:tmpl w:val="89E6DFDA"/>
    <w:lvl w:ilvl="0" w:tplc="751E8D86">
      <w:start w:val="1"/>
      <w:numFmt w:val="decimal"/>
      <w:lvlText w:val="%1."/>
      <w:lvlJc w:val="left"/>
      <w:pPr>
        <w:ind w:left="720" w:hanging="360"/>
      </w:pPr>
    </w:lvl>
    <w:lvl w:ilvl="1" w:tplc="E7F4010E" w:tentative="1">
      <w:start w:val="1"/>
      <w:numFmt w:val="lowerLetter"/>
      <w:lvlText w:val="%2."/>
      <w:lvlJc w:val="left"/>
      <w:pPr>
        <w:ind w:left="1440" w:hanging="360"/>
      </w:pPr>
    </w:lvl>
    <w:lvl w:ilvl="2" w:tplc="E514EED4" w:tentative="1">
      <w:start w:val="1"/>
      <w:numFmt w:val="lowerRoman"/>
      <w:lvlText w:val="%3."/>
      <w:lvlJc w:val="right"/>
      <w:pPr>
        <w:ind w:left="2160" w:hanging="180"/>
      </w:pPr>
    </w:lvl>
    <w:lvl w:ilvl="3" w:tplc="C52013D4" w:tentative="1">
      <w:start w:val="1"/>
      <w:numFmt w:val="decimal"/>
      <w:lvlText w:val="%4."/>
      <w:lvlJc w:val="left"/>
      <w:pPr>
        <w:ind w:left="2880" w:hanging="360"/>
      </w:pPr>
    </w:lvl>
    <w:lvl w:ilvl="4" w:tplc="21E47936" w:tentative="1">
      <w:start w:val="1"/>
      <w:numFmt w:val="lowerLetter"/>
      <w:lvlText w:val="%5."/>
      <w:lvlJc w:val="left"/>
      <w:pPr>
        <w:ind w:left="3600" w:hanging="360"/>
      </w:pPr>
    </w:lvl>
    <w:lvl w:ilvl="5" w:tplc="6EC846F8" w:tentative="1">
      <w:start w:val="1"/>
      <w:numFmt w:val="lowerRoman"/>
      <w:lvlText w:val="%6."/>
      <w:lvlJc w:val="right"/>
      <w:pPr>
        <w:ind w:left="4320" w:hanging="180"/>
      </w:pPr>
    </w:lvl>
    <w:lvl w:ilvl="6" w:tplc="0FC2F574" w:tentative="1">
      <w:start w:val="1"/>
      <w:numFmt w:val="decimal"/>
      <w:lvlText w:val="%7."/>
      <w:lvlJc w:val="left"/>
      <w:pPr>
        <w:ind w:left="5040" w:hanging="360"/>
      </w:pPr>
    </w:lvl>
    <w:lvl w:ilvl="7" w:tplc="F02C4992" w:tentative="1">
      <w:start w:val="1"/>
      <w:numFmt w:val="lowerLetter"/>
      <w:lvlText w:val="%8."/>
      <w:lvlJc w:val="left"/>
      <w:pPr>
        <w:ind w:left="5760" w:hanging="360"/>
      </w:pPr>
    </w:lvl>
    <w:lvl w:ilvl="8" w:tplc="E0721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5214D"/>
    <w:multiLevelType w:val="hybridMultilevel"/>
    <w:tmpl w:val="89E6DFDA"/>
    <w:lvl w:ilvl="0" w:tplc="184EE400">
      <w:start w:val="1"/>
      <w:numFmt w:val="decimal"/>
      <w:lvlText w:val="%1."/>
      <w:lvlJc w:val="left"/>
      <w:pPr>
        <w:ind w:left="720" w:hanging="360"/>
      </w:pPr>
    </w:lvl>
    <w:lvl w:ilvl="1" w:tplc="8838336C" w:tentative="1">
      <w:start w:val="1"/>
      <w:numFmt w:val="lowerLetter"/>
      <w:lvlText w:val="%2."/>
      <w:lvlJc w:val="left"/>
      <w:pPr>
        <w:ind w:left="1440" w:hanging="360"/>
      </w:pPr>
    </w:lvl>
    <w:lvl w:ilvl="2" w:tplc="3A82DD62" w:tentative="1">
      <w:start w:val="1"/>
      <w:numFmt w:val="lowerRoman"/>
      <w:lvlText w:val="%3."/>
      <w:lvlJc w:val="right"/>
      <w:pPr>
        <w:ind w:left="2160" w:hanging="180"/>
      </w:pPr>
    </w:lvl>
    <w:lvl w:ilvl="3" w:tplc="8284874C" w:tentative="1">
      <w:start w:val="1"/>
      <w:numFmt w:val="decimal"/>
      <w:lvlText w:val="%4."/>
      <w:lvlJc w:val="left"/>
      <w:pPr>
        <w:ind w:left="2880" w:hanging="360"/>
      </w:pPr>
    </w:lvl>
    <w:lvl w:ilvl="4" w:tplc="161A2FEA" w:tentative="1">
      <w:start w:val="1"/>
      <w:numFmt w:val="lowerLetter"/>
      <w:lvlText w:val="%5."/>
      <w:lvlJc w:val="left"/>
      <w:pPr>
        <w:ind w:left="3600" w:hanging="360"/>
      </w:pPr>
    </w:lvl>
    <w:lvl w:ilvl="5" w:tplc="8B1AD304" w:tentative="1">
      <w:start w:val="1"/>
      <w:numFmt w:val="lowerRoman"/>
      <w:lvlText w:val="%6."/>
      <w:lvlJc w:val="right"/>
      <w:pPr>
        <w:ind w:left="4320" w:hanging="180"/>
      </w:pPr>
    </w:lvl>
    <w:lvl w:ilvl="6" w:tplc="C35634BA" w:tentative="1">
      <w:start w:val="1"/>
      <w:numFmt w:val="decimal"/>
      <w:lvlText w:val="%7."/>
      <w:lvlJc w:val="left"/>
      <w:pPr>
        <w:ind w:left="5040" w:hanging="360"/>
      </w:pPr>
    </w:lvl>
    <w:lvl w:ilvl="7" w:tplc="4F6695AE" w:tentative="1">
      <w:start w:val="1"/>
      <w:numFmt w:val="lowerLetter"/>
      <w:lvlText w:val="%8."/>
      <w:lvlJc w:val="left"/>
      <w:pPr>
        <w:ind w:left="5760" w:hanging="360"/>
      </w:pPr>
    </w:lvl>
    <w:lvl w:ilvl="8" w:tplc="AF88A5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54757">
    <w:abstractNumId w:val="1"/>
  </w:num>
  <w:num w:numId="2" w16cid:durableId="408775438">
    <w:abstractNumId w:val="3"/>
  </w:num>
  <w:num w:numId="3" w16cid:durableId="27533828">
    <w:abstractNumId w:val="2"/>
  </w:num>
  <w:num w:numId="4" w16cid:durableId="204775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C9"/>
    <w:rsid w:val="000008FF"/>
    <w:rsid w:val="00001829"/>
    <w:rsid w:val="00004A43"/>
    <w:rsid w:val="000068AE"/>
    <w:rsid w:val="00016B91"/>
    <w:rsid w:val="00027C5D"/>
    <w:rsid w:val="000621CC"/>
    <w:rsid w:val="00097936"/>
    <w:rsid w:val="000B4D82"/>
    <w:rsid w:val="000B5E96"/>
    <w:rsid w:val="000C07BA"/>
    <w:rsid w:val="000C76A7"/>
    <w:rsid w:val="000F22F0"/>
    <w:rsid w:val="0010098A"/>
    <w:rsid w:val="00110CC4"/>
    <w:rsid w:val="001118F5"/>
    <w:rsid w:val="00115467"/>
    <w:rsid w:val="00127FC8"/>
    <w:rsid w:val="00142A25"/>
    <w:rsid w:val="0015360A"/>
    <w:rsid w:val="0015508B"/>
    <w:rsid w:val="00161B1C"/>
    <w:rsid w:val="00192739"/>
    <w:rsid w:val="001A2BCC"/>
    <w:rsid w:val="001B0EA3"/>
    <w:rsid w:val="001B5AF6"/>
    <w:rsid w:val="001C0670"/>
    <w:rsid w:val="001C7DBF"/>
    <w:rsid w:val="00200F21"/>
    <w:rsid w:val="00205BF9"/>
    <w:rsid w:val="00210EE0"/>
    <w:rsid w:val="00212C1C"/>
    <w:rsid w:val="002227E0"/>
    <w:rsid w:val="00233396"/>
    <w:rsid w:val="00240D8B"/>
    <w:rsid w:val="00251A18"/>
    <w:rsid w:val="00262404"/>
    <w:rsid w:val="00280A72"/>
    <w:rsid w:val="002907BD"/>
    <w:rsid w:val="00295F37"/>
    <w:rsid w:val="002A00F4"/>
    <w:rsid w:val="002A0F18"/>
    <w:rsid w:val="002A711C"/>
    <w:rsid w:val="002B72D9"/>
    <w:rsid w:val="002C54C3"/>
    <w:rsid w:val="002C5510"/>
    <w:rsid w:val="002D6B32"/>
    <w:rsid w:val="002E13AD"/>
    <w:rsid w:val="002F1DBB"/>
    <w:rsid w:val="00301D74"/>
    <w:rsid w:val="00323068"/>
    <w:rsid w:val="00327A0A"/>
    <w:rsid w:val="00336A93"/>
    <w:rsid w:val="00346F8D"/>
    <w:rsid w:val="00355220"/>
    <w:rsid w:val="00371B16"/>
    <w:rsid w:val="00376D9F"/>
    <w:rsid w:val="00381C74"/>
    <w:rsid w:val="00393108"/>
    <w:rsid w:val="00397141"/>
    <w:rsid w:val="003B7095"/>
    <w:rsid w:val="003B7668"/>
    <w:rsid w:val="003D56AB"/>
    <w:rsid w:val="003E4675"/>
    <w:rsid w:val="003E4DD6"/>
    <w:rsid w:val="003F6783"/>
    <w:rsid w:val="00400798"/>
    <w:rsid w:val="004022FB"/>
    <w:rsid w:val="00411C7D"/>
    <w:rsid w:val="004218E8"/>
    <w:rsid w:val="004418EA"/>
    <w:rsid w:val="004430CD"/>
    <w:rsid w:val="0044430D"/>
    <w:rsid w:val="00446B72"/>
    <w:rsid w:val="00447935"/>
    <w:rsid w:val="004656C9"/>
    <w:rsid w:val="004814EB"/>
    <w:rsid w:val="00492171"/>
    <w:rsid w:val="00492402"/>
    <w:rsid w:val="004A0B7A"/>
    <w:rsid w:val="004A2432"/>
    <w:rsid w:val="004A7D87"/>
    <w:rsid w:val="004B606E"/>
    <w:rsid w:val="004D141B"/>
    <w:rsid w:val="004D3AFB"/>
    <w:rsid w:val="004D4C2E"/>
    <w:rsid w:val="004E0225"/>
    <w:rsid w:val="0052026E"/>
    <w:rsid w:val="00530656"/>
    <w:rsid w:val="00532707"/>
    <w:rsid w:val="00541240"/>
    <w:rsid w:val="0055126B"/>
    <w:rsid w:val="00552EA8"/>
    <w:rsid w:val="005629AF"/>
    <w:rsid w:val="00575249"/>
    <w:rsid w:val="0058145C"/>
    <w:rsid w:val="00585037"/>
    <w:rsid w:val="00585136"/>
    <w:rsid w:val="00590454"/>
    <w:rsid w:val="00592BD1"/>
    <w:rsid w:val="005A01C9"/>
    <w:rsid w:val="005A1C17"/>
    <w:rsid w:val="005A47E6"/>
    <w:rsid w:val="005B7E15"/>
    <w:rsid w:val="005C661E"/>
    <w:rsid w:val="005E2D7A"/>
    <w:rsid w:val="005E3EAE"/>
    <w:rsid w:val="005F33E9"/>
    <w:rsid w:val="006147E4"/>
    <w:rsid w:val="00615636"/>
    <w:rsid w:val="00637664"/>
    <w:rsid w:val="00641B89"/>
    <w:rsid w:val="006774AE"/>
    <w:rsid w:val="006828B2"/>
    <w:rsid w:val="006877AA"/>
    <w:rsid w:val="006A73DE"/>
    <w:rsid w:val="006C44DD"/>
    <w:rsid w:val="006E1350"/>
    <w:rsid w:val="006F0526"/>
    <w:rsid w:val="00702CD4"/>
    <w:rsid w:val="0071062B"/>
    <w:rsid w:val="007154C4"/>
    <w:rsid w:val="00732DD1"/>
    <w:rsid w:val="007469AE"/>
    <w:rsid w:val="00750FEB"/>
    <w:rsid w:val="007660CC"/>
    <w:rsid w:val="0077625E"/>
    <w:rsid w:val="00780515"/>
    <w:rsid w:val="00797C82"/>
    <w:rsid w:val="007A6291"/>
    <w:rsid w:val="007B019F"/>
    <w:rsid w:val="007C3DD7"/>
    <w:rsid w:val="007C6D9D"/>
    <w:rsid w:val="007F1CB1"/>
    <w:rsid w:val="00806272"/>
    <w:rsid w:val="00827DC2"/>
    <w:rsid w:val="0083014E"/>
    <w:rsid w:val="00836290"/>
    <w:rsid w:val="00851418"/>
    <w:rsid w:val="00855E06"/>
    <w:rsid w:val="0088400E"/>
    <w:rsid w:val="00896AFA"/>
    <w:rsid w:val="00896C64"/>
    <w:rsid w:val="00897F82"/>
    <w:rsid w:val="008A113F"/>
    <w:rsid w:val="008B49C2"/>
    <w:rsid w:val="008C015C"/>
    <w:rsid w:val="008C7A75"/>
    <w:rsid w:val="008E14D5"/>
    <w:rsid w:val="008E3526"/>
    <w:rsid w:val="008F7436"/>
    <w:rsid w:val="009068E4"/>
    <w:rsid w:val="00922A00"/>
    <w:rsid w:val="009450A7"/>
    <w:rsid w:val="009557EB"/>
    <w:rsid w:val="009577F0"/>
    <w:rsid w:val="00960DF1"/>
    <w:rsid w:val="00974B08"/>
    <w:rsid w:val="00977DA6"/>
    <w:rsid w:val="0099394B"/>
    <w:rsid w:val="009A6661"/>
    <w:rsid w:val="009B7E12"/>
    <w:rsid w:val="009F63FC"/>
    <w:rsid w:val="00A31E06"/>
    <w:rsid w:val="00A3534C"/>
    <w:rsid w:val="00A35E48"/>
    <w:rsid w:val="00A46A88"/>
    <w:rsid w:val="00A51C38"/>
    <w:rsid w:val="00A531CE"/>
    <w:rsid w:val="00A53DAE"/>
    <w:rsid w:val="00A60142"/>
    <w:rsid w:val="00A61DF2"/>
    <w:rsid w:val="00A62687"/>
    <w:rsid w:val="00A7709E"/>
    <w:rsid w:val="00A93E90"/>
    <w:rsid w:val="00AB08A2"/>
    <w:rsid w:val="00AB0CCD"/>
    <w:rsid w:val="00AC078A"/>
    <w:rsid w:val="00AC6478"/>
    <w:rsid w:val="00AD2603"/>
    <w:rsid w:val="00AE1294"/>
    <w:rsid w:val="00AF15C9"/>
    <w:rsid w:val="00AF269C"/>
    <w:rsid w:val="00AF4ACD"/>
    <w:rsid w:val="00B17574"/>
    <w:rsid w:val="00B21CF6"/>
    <w:rsid w:val="00B254E3"/>
    <w:rsid w:val="00B27AF3"/>
    <w:rsid w:val="00B308A8"/>
    <w:rsid w:val="00B33CED"/>
    <w:rsid w:val="00B43831"/>
    <w:rsid w:val="00B45521"/>
    <w:rsid w:val="00B5114C"/>
    <w:rsid w:val="00B7127B"/>
    <w:rsid w:val="00B91D50"/>
    <w:rsid w:val="00B94F4B"/>
    <w:rsid w:val="00BA3F98"/>
    <w:rsid w:val="00BA59EC"/>
    <w:rsid w:val="00BC6587"/>
    <w:rsid w:val="00BD5489"/>
    <w:rsid w:val="00BD7CF6"/>
    <w:rsid w:val="00BF35B7"/>
    <w:rsid w:val="00C022B9"/>
    <w:rsid w:val="00C04878"/>
    <w:rsid w:val="00C052F7"/>
    <w:rsid w:val="00C127AE"/>
    <w:rsid w:val="00C22C39"/>
    <w:rsid w:val="00C254C4"/>
    <w:rsid w:val="00C268DC"/>
    <w:rsid w:val="00C37B86"/>
    <w:rsid w:val="00C655FB"/>
    <w:rsid w:val="00C65C38"/>
    <w:rsid w:val="00C77B95"/>
    <w:rsid w:val="00C80D99"/>
    <w:rsid w:val="00C84F44"/>
    <w:rsid w:val="00C96B3C"/>
    <w:rsid w:val="00CA0D2D"/>
    <w:rsid w:val="00CC11FF"/>
    <w:rsid w:val="00CC2FB4"/>
    <w:rsid w:val="00CE6665"/>
    <w:rsid w:val="00CF1A1C"/>
    <w:rsid w:val="00CF3E06"/>
    <w:rsid w:val="00D121D2"/>
    <w:rsid w:val="00D13543"/>
    <w:rsid w:val="00D21BC4"/>
    <w:rsid w:val="00D2600D"/>
    <w:rsid w:val="00D2735D"/>
    <w:rsid w:val="00D3282A"/>
    <w:rsid w:val="00D33DD4"/>
    <w:rsid w:val="00D34FD2"/>
    <w:rsid w:val="00D4333A"/>
    <w:rsid w:val="00D57139"/>
    <w:rsid w:val="00D7422D"/>
    <w:rsid w:val="00D81376"/>
    <w:rsid w:val="00D90AC7"/>
    <w:rsid w:val="00D917D8"/>
    <w:rsid w:val="00D92C6C"/>
    <w:rsid w:val="00DB0A1E"/>
    <w:rsid w:val="00DC19B2"/>
    <w:rsid w:val="00DE24E0"/>
    <w:rsid w:val="00DE36C9"/>
    <w:rsid w:val="00DF1E42"/>
    <w:rsid w:val="00DF1F63"/>
    <w:rsid w:val="00E12B35"/>
    <w:rsid w:val="00E14C75"/>
    <w:rsid w:val="00E152AA"/>
    <w:rsid w:val="00E243E0"/>
    <w:rsid w:val="00E26DE3"/>
    <w:rsid w:val="00E3441F"/>
    <w:rsid w:val="00E44422"/>
    <w:rsid w:val="00E47094"/>
    <w:rsid w:val="00E708FF"/>
    <w:rsid w:val="00E73D8F"/>
    <w:rsid w:val="00E801B9"/>
    <w:rsid w:val="00EB2ABF"/>
    <w:rsid w:val="00EC451E"/>
    <w:rsid w:val="00EE7D6F"/>
    <w:rsid w:val="00EF02E0"/>
    <w:rsid w:val="00EF165E"/>
    <w:rsid w:val="00EF51CA"/>
    <w:rsid w:val="00F06DB2"/>
    <w:rsid w:val="00F10236"/>
    <w:rsid w:val="00F10BCE"/>
    <w:rsid w:val="00F173C0"/>
    <w:rsid w:val="00F323F2"/>
    <w:rsid w:val="00F3694B"/>
    <w:rsid w:val="00F40029"/>
    <w:rsid w:val="00F44ECF"/>
    <w:rsid w:val="00F4503C"/>
    <w:rsid w:val="00F66F63"/>
    <w:rsid w:val="00F7243E"/>
    <w:rsid w:val="00F7675B"/>
    <w:rsid w:val="00F775E8"/>
    <w:rsid w:val="00F8170E"/>
    <w:rsid w:val="00F90999"/>
    <w:rsid w:val="00F944CF"/>
    <w:rsid w:val="00FC71E2"/>
    <w:rsid w:val="00FD0199"/>
    <w:rsid w:val="00FD131D"/>
    <w:rsid w:val="00FE0D3F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06A5"/>
  <w15:docId w15:val="{9003A0E8-5261-4FE5-87E2-BD258B27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00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C1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C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2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7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7DA6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0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0D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5F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36263822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9</Pages>
  <Words>4216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Anwar Rovik</cp:lastModifiedBy>
  <cp:revision>247</cp:revision>
  <dcterms:created xsi:type="dcterms:W3CDTF">2023-06-08T03:59:00Z</dcterms:created>
  <dcterms:modified xsi:type="dcterms:W3CDTF">2023-09-19T07:50:00Z</dcterms:modified>
</cp:coreProperties>
</file>