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66EB8" w14:textId="77777777" w:rsidR="00082F25" w:rsidRDefault="00082F25" w:rsidP="00082F25">
      <w:pPr>
        <w:spacing w:line="240" w:lineRule="auto"/>
        <w:ind w:right="-144"/>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TOKSISITAS SUBAKUT EKSTRAK</w:t>
      </w:r>
      <w:r w:rsidR="009B1846" w:rsidRPr="009B1846">
        <w:rPr>
          <w:rFonts w:ascii="Times New Roman" w:eastAsia="Times New Roman" w:hAnsi="Times New Roman" w:cs="Times New Roman"/>
          <w:b/>
          <w:sz w:val="28"/>
          <w:szCs w:val="28"/>
        </w:rPr>
        <w:t xml:space="preserve"> BIJI PEPAYA (</w:t>
      </w:r>
      <w:r w:rsidR="009B1846" w:rsidRPr="009B1846">
        <w:rPr>
          <w:rFonts w:ascii="Times New Roman" w:eastAsia="Times New Roman" w:hAnsi="Times New Roman" w:cs="Times New Roman"/>
          <w:b/>
          <w:i/>
          <w:sz w:val="28"/>
          <w:szCs w:val="28"/>
        </w:rPr>
        <w:t>CARICA PAPAYA</w:t>
      </w:r>
      <w:r w:rsidR="009B1846" w:rsidRPr="009B1846">
        <w:rPr>
          <w:rFonts w:ascii="Times New Roman" w:eastAsia="Times New Roman" w:hAnsi="Times New Roman" w:cs="Times New Roman"/>
          <w:b/>
          <w:sz w:val="28"/>
          <w:szCs w:val="28"/>
        </w:rPr>
        <w:t xml:space="preserve">) VARIETAS </w:t>
      </w:r>
      <w:r>
        <w:rPr>
          <w:rFonts w:ascii="Times New Roman" w:eastAsia="Times New Roman" w:hAnsi="Times New Roman" w:cs="Times New Roman"/>
          <w:b/>
          <w:sz w:val="28"/>
          <w:szCs w:val="28"/>
        </w:rPr>
        <w:t>‘</w:t>
      </w:r>
      <w:r w:rsidR="009B1846" w:rsidRPr="00082F25">
        <w:rPr>
          <w:rFonts w:ascii="Times New Roman" w:eastAsia="Times New Roman" w:hAnsi="Times New Roman" w:cs="Times New Roman"/>
          <w:b/>
          <w:sz w:val="28"/>
          <w:szCs w:val="28"/>
        </w:rPr>
        <w:t>CALIFORNIA</w:t>
      </w:r>
      <w:r w:rsidRPr="00082F25">
        <w:rPr>
          <w:rFonts w:ascii="Times New Roman" w:eastAsia="Times New Roman" w:hAnsi="Times New Roman" w:cs="Times New Roman"/>
          <w:b/>
          <w:sz w:val="28"/>
          <w:szCs w:val="28"/>
        </w:rPr>
        <w:t>’</w:t>
      </w:r>
      <w:r w:rsidR="009B1846" w:rsidRPr="009B1846">
        <w:rPr>
          <w:rFonts w:ascii="Times New Roman" w:eastAsia="Times New Roman" w:hAnsi="Times New Roman" w:cs="Times New Roman"/>
          <w:b/>
          <w:sz w:val="28"/>
          <w:szCs w:val="28"/>
        </w:rPr>
        <w:t xml:space="preserve"> DAN </w:t>
      </w:r>
      <w:r>
        <w:rPr>
          <w:rFonts w:ascii="Times New Roman" w:eastAsia="Times New Roman" w:hAnsi="Times New Roman" w:cs="Times New Roman"/>
          <w:b/>
          <w:sz w:val="28"/>
          <w:szCs w:val="28"/>
        </w:rPr>
        <w:t>‘</w:t>
      </w:r>
      <w:r w:rsidR="009B1846" w:rsidRPr="00082F25">
        <w:rPr>
          <w:rFonts w:ascii="Times New Roman" w:eastAsia="Times New Roman" w:hAnsi="Times New Roman" w:cs="Times New Roman"/>
          <w:b/>
          <w:sz w:val="28"/>
          <w:szCs w:val="28"/>
        </w:rPr>
        <w:t>BANGKOK</w:t>
      </w:r>
      <w:r w:rsidRPr="00082F25">
        <w:rPr>
          <w:rFonts w:ascii="Times New Roman" w:eastAsia="Times New Roman" w:hAnsi="Times New Roman" w:cs="Times New Roman"/>
          <w:b/>
          <w:sz w:val="28"/>
          <w:szCs w:val="28"/>
        </w:rPr>
        <w:t>’</w:t>
      </w:r>
      <w:r w:rsidR="009B1846" w:rsidRPr="00082F25">
        <w:rPr>
          <w:rFonts w:ascii="Times New Roman" w:eastAsia="Times New Roman" w:hAnsi="Times New Roman" w:cs="Times New Roman"/>
          <w:b/>
          <w:sz w:val="28"/>
          <w:szCs w:val="28"/>
        </w:rPr>
        <w:t xml:space="preserve"> </w:t>
      </w:r>
    </w:p>
    <w:p w14:paraId="0E426F93" w14:textId="75012C24" w:rsidR="009B1846" w:rsidRPr="00082F25" w:rsidRDefault="00082F25" w:rsidP="00082F25">
      <w:pPr>
        <w:spacing w:line="240" w:lineRule="auto"/>
        <w:ind w:right="-144"/>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PADA MENCIT (</w:t>
      </w:r>
      <w:r w:rsidRPr="00082F25">
        <w:rPr>
          <w:rFonts w:ascii="Times New Roman" w:eastAsia="Times New Roman" w:hAnsi="Times New Roman" w:cs="Times New Roman"/>
          <w:b/>
          <w:i/>
          <w:sz w:val="28"/>
          <w:szCs w:val="28"/>
        </w:rPr>
        <w:t>Mus musculus</w:t>
      </w:r>
      <w:r>
        <w:rPr>
          <w:rFonts w:ascii="Times New Roman" w:eastAsia="Times New Roman" w:hAnsi="Times New Roman" w:cs="Times New Roman"/>
          <w:b/>
          <w:sz w:val="28"/>
          <w:szCs w:val="28"/>
        </w:rPr>
        <w:t>) SWISS WEBSTER</w:t>
      </w:r>
    </w:p>
    <w:p w14:paraId="25BF0F01" w14:textId="77777777" w:rsidR="00082F25" w:rsidRDefault="00082F25" w:rsidP="009B1846">
      <w:pPr>
        <w:spacing w:after="0" w:line="240" w:lineRule="auto"/>
        <w:jc w:val="center"/>
        <w:rPr>
          <w:rFonts w:ascii="Times New Roman" w:hAnsi="Times New Roman" w:cs="Times New Roman"/>
          <w:b/>
          <w:sz w:val="24"/>
          <w:szCs w:val="24"/>
          <w:lang w:val="en-ID"/>
        </w:rPr>
      </w:pPr>
    </w:p>
    <w:p w14:paraId="2DAF6079" w14:textId="77777777" w:rsidR="009B1846" w:rsidRDefault="00082F25" w:rsidP="009B1846">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Nani Radiastu</w:t>
      </w:r>
      <w:r w:rsidR="00E735DD">
        <w:rPr>
          <w:rFonts w:ascii="Times New Roman" w:hAnsi="Times New Roman" w:cs="Times New Roman"/>
          <w:b/>
          <w:sz w:val="24"/>
          <w:szCs w:val="24"/>
          <w:lang w:val="en-ID"/>
        </w:rPr>
        <w:t xml:space="preserve">ti </w:t>
      </w:r>
      <w:r w:rsidR="009B1846">
        <w:rPr>
          <w:rFonts w:ascii="Times New Roman" w:hAnsi="Times New Roman" w:cs="Times New Roman"/>
          <w:b/>
          <w:sz w:val="24"/>
          <w:szCs w:val="24"/>
          <w:lang w:val="id-ID"/>
        </w:rPr>
        <w:t xml:space="preserve">* ¹), </w:t>
      </w:r>
      <w:r>
        <w:rPr>
          <w:rFonts w:ascii="Times New Roman" w:hAnsi="Times New Roman" w:cs="Times New Roman"/>
          <w:b/>
          <w:sz w:val="24"/>
          <w:szCs w:val="24"/>
          <w:lang w:val="en-ID"/>
        </w:rPr>
        <w:t>Indri Garnasih</w:t>
      </w:r>
      <w:r w:rsidR="00E735DD">
        <w:rPr>
          <w:rFonts w:ascii="Times New Roman" w:hAnsi="Times New Roman" w:cs="Times New Roman"/>
          <w:b/>
          <w:sz w:val="24"/>
          <w:szCs w:val="24"/>
          <w:lang w:val="id-ID"/>
        </w:rPr>
        <w:t>¹</w:t>
      </w:r>
      <w:r w:rsidR="009B1846">
        <w:rPr>
          <w:rFonts w:ascii="Times New Roman" w:hAnsi="Times New Roman" w:cs="Times New Roman"/>
          <w:b/>
          <w:sz w:val="24"/>
          <w:szCs w:val="24"/>
          <w:lang w:val="id-ID"/>
        </w:rPr>
        <w:t xml:space="preserve">), </w:t>
      </w:r>
      <w:r w:rsidR="0028177C">
        <w:rPr>
          <w:rFonts w:ascii="Times New Roman" w:hAnsi="Times New Roman" w:cs="Times New Roman"/>
          <w:b/>
          <w:sz w:val="24"/>
          <w:szCs w:val="24"/>
        </w:rPr>
        <w:t>Sena Yunia Saputri</w:t>
      </w:r>
      <w:r w:rsidR="00E735DD">
        <w:rPr>
          <w:rFonts w:ascii="Times New Roman" w:hAnsi="Times New Roman" w:cs="Times New Roman"/>
          <w:b/>
          <w:sz w:val="24"/>
          <w:szCs w:val="24"/>
          <w:lang w:val="id-ID"/>
        </w:rPr>
        <w:t>¹</w:t>
      </w:r>
      <w:r w:rsidR="009B1846" w:rsidRPr="00BF04B6">
        <w:rPr>
          <w:rFonts w:ascii="Times New Roman" w:hAnsi="Times New Roman" w:cs="Times New Roman"/>
          <w:b/>
          <w:sz w:val="24"/>
          <w:szCs w:val="24"/>
          <w:lang w:val="id-ID"/>
        </w:rPr>
        <w:t>)</w:t>
      </w:r>
    </w:p>
    <w:p w14:paraId="3C14C3E5" w14:textId="77777777" w:rsidR="009B1846" w:rsidRPr="00BF04B6" w:rsidRDefault="009B1846" w:rsidP="009B1846">
      <w:pPr>
        <w:spacing w:after="0" w:line="240" w:lineRule="auto"/>
        <w:jc w:val="center"/>
        <w:rPr>
          <w:rFonts w:ascii="Times New Roman" w:hAnsi="Times New Roman" w:cs="Times New Roman"/>
          <w:b/>
          <w:sz w:val="24"/>
          <w:szCs w:val="24"/>
          <w:lang w:val="id-ID"/>
        </w:rPr>
      </w:pPr>
    </w:p>
    <w:p w14:paraId="03ABFC0A" w14:textId="77777777" w:rsidR="009B1846" w:rsidRPr="009B1846" w:rsidRDefault="009B1846" w:rsidP="009B1846">
      <w:pPr>
        <w:spacing w:after="0" w:line="240" w:lineRule="auto"/>
        <w:jc w:val="center"/>
        <w:rPr>
          <w:rFonts w:ascii="Times New Roman" w:eastAsia="Times New Roman" w:hAnsi="Times New Roman" w:cs="Times New Roman"/>
          <w:i/>
          <w:color w:val="FF0000"/>
          <w:sz w:val="20"/>
          <w:szCs w:val="20"/>
          <w:lang w:val="id-ID"/>
        </w:rPr>
      </w:pPr>
      <w:r w:rsidRPr="00BF04B6">
        <w:rPr>
          <w:rFonts w:ascii="Times New Roman" w:eastAsia="Times New Roman" w:hAnsi="Times New Roman" w:cs="Times New Roman"/>
          <w:szCs w:val="20"/>
        </w:rPr>
        <w:t>¹</w:t>
      </w:r>
      <w:r w:rsidRPr="00E735DD">
        <w:rPr>
          <w:rFonts w:ascii="Times New Roman" w:eastAsia="Times New Roman" w:hAnsi="Times New Roman" w:cs="Times New Roman"/>
          <w:i/>
          <w:sz w:val="20"/>
          <w:szCs w:val="20"/>
          <w:lang w:val="id-ID"/>
        </w:rPr>
        <w:t>Program Studi Biologi</w:t>
      </w:r>
      <w:r w:rsidR="00E735DD" w:rsidRPr="00E735DD">
        <w:rPr>
          <w:rFonts w:ascii="Times New Roman" w:eastAsia="Times New Roman" w:hAnsi="Times New Roman" w:cs="Times New Roman"/>
          <w:i/>
          <w:sz w:val="20"/>
          <w:szCs w:val="20"/>
          <w:lang w:val="en-ID"/>
        </w:rPr>
        <w:t>,</w:t>
      </w:r>
      <w:r w:rsidRPr="00E735DD">
        <w:rPr>
          <w:rFonts w:ascii="Times New Roman" w:eastAsia="Times New Roman" w:hAnsi="Times New Roman" w:cs="Times New Roman"/>
          <w:i/>
          <w:sz w:val="20"/>
          <w:szCs w:val="20"/>
          <w:lang w:val="id-ID"/>
        </w:rPr>
        <w:t xml:space="preserve"> Fakultas Sains dan Te</w:t>
      </w:r>
      <w:r w:rsidR="00E735DD" w:rsidRPr="00E735DD">
        <w:rPr>
          <w:rFonts w:ascii="Times New Roman" w:eastAsia="Times New Roman" w:hAnsi="Times New Roman" w:cs="Times New Roman"/>
          <w:i/>
          <w:sz w:val="20"/>
          <w:szCs w:val="20"/>
          <w:lang w:val="id-ID"/>
        </w:rPr>
        <w:t>knologi UIN Syarif Hidayatullah</w:t>
      </w:r>
      <w:r w:rsidR="00E735DD" w:rsidRPr="00E735DD">
        <w:rPr>
          <w:rFonts w:ascii="Times New Roman" w:eastAsia="Times New Roman" w:hAnsi="Times New Roman" w:cs="Times New Roman"/>
          <w:i/>
          <w:sz w:val="20"/>
          <w:szCs w:val="20"/>
          <w:lang w:val="en-ID"/>
        </w:rPr>
        <w:t xml:space="preserve">, </w:t>
      </w:r>
      <w:r w:rsidRPr="00E735DD">
        <w:rPr>
          <w:rFonts w:ascii="Times New Roman" w:eastAsia="Times New Roman" w:hAnsi="Times New Roman" w:cs="Times New Roman"/>
          <w:i/>
          <w:sz w:val="20"/>
          <w:szCs w:val="20"/>
          <w:lang w:val="id-ID"/>
        </w:rPr>
        <w:t>Jakarta</w:t>
      </w:r>
    </w:p>
    <w:p w14:paraId="77F0C8EC" w14:textId="692CE2B6" w:rsidR="009B1846" w:rsidRPr="00395EB6" w:rsidRDefault="009B1846" w:rsidP="00E735DD">
      <w:pPr>
        <w:spacing w:after="0"/>
        <w:jc w:val="center"/>
        <w:rPr>
          <w:rFonts w:ascii="Times New Roman" w:eastAsia="Times New Roman" w:hAnsi="Times New Roman" w:cs="Times New Roman"/>
          <w:sz w:val="20"/>
          <w:szCs w:val="20"/>
          <w:lang w:val="en-ID"/>
        </w:rPr>
      </w:pPr>
      <w:r w:rsidRPr="00251F1F">
        <w:rPr>
          <w:rFonts w:ascii="Times New Roman" w:eastAsia="Times New Roman" w:hAnsi="Times New Roman" w:cs="Times New Roman"/>
          <w:i/>
          <w:sz w:val="20"/>
          <w:szCs w:val="20"/>
        </w:rPr>
        <w:t>*corresponding author :</w:t>
      </w:r>
      <w:r w:rsidR="00395EB6">
        <w:rPr>
          <w:rFonts w:ascii="Times New Roman" w:eastAsia="Times New Roman" w:hAnsi="Times New Roman" w:cs="Times New Roman"/>
          <w:i/>
          <w:sz w:val="20"/>
          <w:szCs w:val="20"/>
        </w:rPr>
        <w:t xml:space="preserve"> </w:t>
      </w:r>
      <w:r w:rsidR="009347F2">
        <w:rPr>
          <w:rFonts w:ascii="Times New Roman" w:eastAsia="Times New Roman" w:hAnsi="Times New Roman" w:cs="Times New Roman"/>
          <w:sz w:val="20"/>
          <w:szCs w:val="20"/>
          <w:lang w:val="en-GB"/>
        </w:rPr>
        <w:t>garnasihgarnasih</w:t>
      </w:r>
      <w:r w:rsidR="00395EB6">
        <w:rPr>
          <w:rFonts w:ascii="Times New Roman" w:eastAsia="Times New Roman" w:hAnsi="Times New Roman" w:cs="Times New Roman"/>
          <w:sz w:val="20"/>
          <w:szCs w:val="20"/>
        </w:rPr>
        <w:t>@gmail.com</w:t>
      </w:r>
    </w:p>
    <w:p w14:paraId="6B58F5E6" w14:textId="77777777" w:rsidR="00E735DD" w:rsidRPr="00E735DD" w:rsidRDefault="00E735DD" w:rsidP="00E735DD">
      <w:pPr>
        <w:spacing w:after="0"/>
        <w:jc w:val="center"/>
        <w:rPr>
          <w:rFonts w:ascii="Times New Roman" w:eastAsia="Times New Roman" w:hAnsi="Times New Roman" w:cs="Times New Roman"/>
          <w:sz w:val="20"/>
          <w:szCs w:val="20"/>
          <w:lang w:val="en-ID"/>
        </w:rPr>
      </w:pPr>
    </w:p>
    <w:p w14:paraId="4EDE759C" w14:textId="77777777" w:rsidR="00602915" w:rsidRPr="00772E2B" w:rsidRDefault="009B1846" w:rsidP="00772E2B">
      <w:pPr>
        <w:jc w:val="center"/>
        <w:rPr>
          <w:rFonts w:ascii="Times New Roman" w:hAnsi="Times New Roman" w:cs="Times New Roman"/>
          <w:b/>
          <w:sz w:val="24"/>
          <w:szCs w:val="24"/>
          <w:lang w:val="en-ID"/>
        </w:rPr>
      </w:pPr>
      <w:r>
        <w:rPr>
          <w:rFonts w:ascii="Times New Roman" w:hAnsi="Times New Roman" w:cs="Times New Roman"/>
          <w:b/>
          <w:sz w:val="24"/>
          <w:szCs w:val="24"/>
          <w:lang w:val="en-ID"/>
        </w:rPr>
        <w:t>Abstrak</w:t>
      </w:r>
    </w:p>
    <w:p w14:paraId="4752C1A8" w14:textId="7FD00513" w:rsidR="00772E2B" w:rsidRDefault="00772E2B" w:rsidP="00772E2B">
      <w:pPr>
        <w:spacing w:line="240" w:lineRule="auto"/>
        <w:contextualSpacing/>
        <w:jc w:val="both"/>
        <w:rPr>
          <w:rFonts w:ascii="Times New Roman" w:hAnsi="Times New Roman" w:cs="Times New Roman"/>
          <w:sz w:val="24"/>
          <w:szCs w:val="24"/>
        </w:rPr>
      </w:pPr>
      <w:r w:rsidRPr="00F96EBD">
        <w:rPr>
          <w:rFonts w:ascii="Times New Roman" w:hAnsi="Times New Roman" w:cs="Times New Roman"/>
          <w:sz w:val="24"/>
          <w:szCs w:val="24"/>
        </w:rPr>
        <w:t>Biji</w:t>
      </w:r>
      <w:r>
        <w:rPr>
          <w:rFonts w:ascii="Times New Roman" w:hAnsi="Times New Roman" w:cs="Times New Roman"/>
          <w:sz w:val="24"/>
          <w:szCs w:val="24"/>
        </w:rPr>
        <w:t xml:space="preserve"> </w:t>
      </w:r>
      <w:r w:rsidRPr="00F96EBD">
        <w:rPr>
          <w:rFonts w:ascii="Times New Roman" w:hAnsi="Times New Roman" w:cs="Times New Roman"/>
          <w:sz w:val="24"/>
          <w:szCs w:val="24"/>
        </w:rPr>
        <w:t>p</w:t>
      </w:r>
      <w:r>
        <w:rPr>
          <w:rFonts w:ascii="Times New Roman" w:hAnsi="Times New Roman" w:cs="Times New Roman"/>
          <w:sz w:val="24"/>
          <w:szCs w:val="24"/>
        </w:rPr>
        <w:t xml:space="preserve">epaya memiliki rasa yang pahit, </w:t>
      </w:r>
      <w:r w:rsidRPr="00F96EBD">
        <w:rPr>
          <w:rFonts w:ascii="Times New Roman" w:hAnsi="Times New Roman" w:cs="Times New Roman"/>
          <w:sz w:val="24"/>
          <w:szCs w:val="24"/>
        </w:rPr>
        <w:t>pedas</w:t>
      </w:r>
      <w:r>
        <w:rPr>
          <w:rFonts w:ascii="Times New Roman" w:hAnsi="Times New Roman" w:cs="Times New Roman"/>
          <w:sz w:val="24"/>
          <w:szCs w:val="24"/>
        </w:rPr>
        <w:t xml:space="preserve"> </w:t>
      </w:r>
      <w:r w:rsidRPr="00F96EBD">
        <w:rPr>
          <w:rFonts w:ascii="Times New Roman" w:hAnsi="Times New Roman" w:cs="Times New Roman"/>
          <w:sz w:val="24"/>
          <w:szCs w:val="24"/>
        </w:rPr>
        <w:t>dan</w:t>
      </w:r>
      <w:r>
        <w:rPr>
          <w:rFonts w:ascii="Times New Roman" w:hAnsi="Times New Roman" w:cs="Times New Roman"/>
          <w:sz w:val="24"/>
          <w:szCs w:val="24"/>
        </w:rPr>
        <w:t xml:space="preserve"> beraroma menyengat sehingga biji pepaya </w:t>
      </w:r>
      <w:r w:rsidRPr="00F96EBD">
        <w:rPr>
          <w:rFonts w:ascii="Times New Roman" w:hAnsi="Times New Roman" w:cs="Times New Roman"/>
          <w:sz w:val="24"/>
          <w:szCs w:val="24"/>
        </w:rPr>
        <w:t>kurang</w:t>
      </w:r>
      <w:r>
        <w:rPr>
          <w:rFonts w:ascii="Times New Roman" w:hAnsi="Times New Roman" w:cs="Times New Roman"/>
          <w:sz w:val="24"/>
          <w:szCs w:val="24"/>
        </w:rPr>
        <w:t xml:space="preserve"> </w:t>
      </w:r>
      <w:r w:rsidRPr="00F96EBD">
        <w:rPr>
          <w:rFonts w:ascii="Times New Roman" w:hAnsi="Times New Roman" w:cs="Times New Roman"/>
          <w:sz w:val="24"/>
          <w:szCs w:val="24"/>
        </w:rPr>
        <w:t>dim</w:t>
      </w:r>
      <w:r>
        <w:rPr>
          <w:rFonts w:ascii="Times New Roman" w:hAnsi="Times New Roman" w:cs="Times New Roman"/>
          <w:sz w:val="24"/>
          <w:szCs w:val="24"/>
        </w:rPr>
        <w:t xml:space="preserve">inati untuk diolah. Biji pepaya yang banyak terbuang </w:t>
      </w:r>
      <w:r w:rsidR="00620739">
        <w:rPr>
          <w:rFonts w:ascii="Times New Roman" w:hAnsi="Times New Roman" w:cs="Times New Roman"/>
          <w:sz w:val="24"/>
          <w:szCs w:val="24"/>
        </w:rPr>
        <w:t>d</w:t>
      </w:r>
      <w:r w:rsidR="00620739">
        <w:rPr>
          <w:rFonts w:ascii="Times New Roman" w:hAnsi="Times New Roman" w:cs="Times New Roman"/>
          <w:sz w:val="24"/>
          <w:szCs w:val="24"/>
          <w:lang w:val="id-ID"/>
        </w:rPr>
        <w:t>an</w:t>
      </w:r>
      <w:r>
        <w:rPr>
          <w:rFonts w:ascii="Times New Roman" w:hAnsi="Times New Roman" w:cs="Times New Roman"/>
          <w:sz w:val="24"/>
          <w:szCs w:val="24"/>
        </w:rPr>
        <w:t xml:space="preserve"> </w:t>
      </w:r>
      <w:r w:rsidRPr="00F96EBD">
        <w:rPr>
          <w:rFonts w:ascii="Times New Roman" w:hAnsi="Times New Roman" w:cs="Times New Roman"/>
          <w:sz w:val="24"/>
          <w:szCs w:val="24"/>
        </w:rPr>
        <w:t>belum</w:t>
      </w:r>
      <w:r>
        <w:rPr>
          <w:rFonts w:ascii="Times New Roman" w:hAnsi="Times New Roman" w:cs="Times New Roman"/>
          <w:sz w:val="24"/>
          <w:szCs w:val="24"/>
        </w:rPr>
        <w:t xml:space="preserve"> </w:t>
      </w:r>
      <w:r w:rsidRPr="00F96EBD">
        <w:rPr>
          <w:rFonts w:ascii="Times New Roman" w:hAnsi="Times New Roman" w:cs="Times New Roman"/>
          <w:sz w:val="24"/>
          <w:szCs w:val="24"/>
        </w:rPr>
        <w:t>dimanfaatkan</w:t>
      </w:r>
      <w:r w:rsidR="00620739">
        <w:rPr>
          <w:rFonts w:ascii="Times New Roman" w:hAnsi="Times New Roman" w:cs="Times New Roman"/>
          <w:sz w:val="24"/>
          <w:szCs w:val="24"/>
        </w:rPr>
        <w:t xml:space="preserve"> secara optimal</w:t>
      </w:r>
      <w:r w:rsidR="00620739">
        <w:rPr>
          <w:rFonts w:ascii="Times New Roman" w:hAnsi="Times New Roman" w:cs="Times New Roman"/>
          <w:sz w:val="24"/>
          <w:szCs w:val="24"/>
          <w:lang w:val="id-ID"/>
        </w:rPr>
        <w:t xml:space="preserve"> sehingga perlu dilakukan penelitian.</w:t>
      </w:r>
      <w:r>
        <w:rPr>
          <w:rFonts w:ascii="Times New Roman" w:hAnsi="Times New Roman" w:cs="Times New Roman"/>
          <w:sz w:val="24"/>
          <w:szCs w:val="24"/>
        </w:rPr>
        <w:t xml:space="preserve"> </w:t>
      </w:r>
      <w:r w:rsidRPr="00F96EBD">
        <w:rPr>
          <w:rFonts w:ascii="Times New Roman" w:hAnsi="Times New Roman" w:cs="Times New Roman"/>
          <w:sz w:val="24"/>
          <w:szCs w:val="24"/>
        </w:rPr>
        <w:t>Penelitian</w:t>
      </w:r>
      <w:r>
        <w:rPr>
          <w:rFonts w:ascii="Times New Roman" w:hAnsi="Times New Roman" w:cs="Times New Roman"/>
          <w:sz w:val="24"/>
          <w:szCs w:val="24"/>
        </w:rPr>
        <w:t xml:space="preserve"> </w:t>
      </w:r>
      <w:r w:rsidRPr="00F96EBD">
        <w:rPr>
          <w:rFonts w:ascii="Times New Roman" w:hAnsi="Times New Roman" w:cs="Times New Roman"/>
          <w:sz w:val="24"/>
          <w:szCs w:val="24"/>
        </w:rPr>
        <w:t>ini</w:t>
      </w:r>
      <w:r>
        <w:rPr>
          <w:rFonts w:ascii="Times New Roman" w:hAnsi="Times New Roman" w:cs="Times New Roman"/>
          <w:sz w:val="24"/>
          <w:szCs w:val="24"/>
        </w:rPr>
        <w:t xml:space="preserve"> </w:t>
      </w:r>
      <w:r w:rsidRPr="00F96EBD">
        <w:rPr>
          <w:rFonts w:ascii="Times New Roman" w:hAnsi="Times New Roman" w:cs="Times New Roman"/>
          <w:sz w:val="24"/>
          <w:szCs w:val="24"/>
        </w:rPr>
        <w:t>bertujuan</w:t>
      </w:r>
      <w:r>
        <w:rPr>
          <w:rFonts w:ascii="Times New Roman" w:hAnsi="Times New Roman" w:cs="Times New Roman"/>
          <w:sz w:val="24"/>
          <w:szCs w:val="24"/>
        </w:rPr>
        <w:t xml:space="preserve"> </w:t>
      </w:r>
      <w:r w:rsidRPr="00F96EBD">
        <w:rPr>
          <w:rFonts w:ascii="Times New Roman" w:hAnsi="Times New Roman" w:cs="Times New Roman"/>
          <w:sz w:val="24"/>
          <w:szCs w:val="24"/>
        </w:rPr>
        <w:t>untuk</w:t>
      </w:r>
      <w:r>
        <w:rPr>
          <w:rFonts w:ascii="Times New Roman" w:hAnsi="Times New Roman" w:cs="Times New Roman"/>
          <w:sz w:val="24"/>
          <w:szCs w:val="24"/>
        </w:rPr>
        <w:t xml:space="preserve"> </w:t>
      </w:r>
      <w:r w:rsidRPr="00F96EBD">
        <w:rPr>
          <w:rFonts w:ascii="Times New Roman" w:eastAsia="Times New Roman" w:hAnsi="Times New Roman" w:cs="Times New Roman"/>
          <w:bCs/>
          <w:color w:val="000000"/>
          <w:sz w:val="24"/>
          <w:szCs w:val="24"/>
          <w:lang w:eastAsia="id-ID"/>
        </w:rPr>
        <w:t>mengetahui</w:t>
      </w:r>
      <w:r>
        <w:rPr>
          <w:rFonts w:ascii="Times New Roman" w:eastAsia="Times New Roman" w:hAnsi="Times New Roman" w:cs="Times New Roman"/>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efek</w:t>
      </w:r>
      <w:r>
        <w:rPr>
          <w:rFonts w:ascii="Times New Roman" w:eastAsia="Times New Roman" w:hAnsi="Times New Roman" w:cs="Times New Roman"/>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toksisitas</w:t>
      </w:r>
      <w:r>
        <w:rPr>
          <w:rFonts w:ascii="Times New Roman" w:eastAsia="Times New Roman" w:hAnsi="Times New Roman" w:cs="Times New Roman"/>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subakut</w:t>
      </w:r>
      <w:r>
        <w:rPr>
          <w:rFonts w:ascii="Times New Roman" w:eastAsia="Times New Roman" w:hAnsi="Times New Roman" w:cs="Times New Roman"/>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ekstrak</w:t>
      </w:r>
      <w:r>
        <w:rPr>
          <w:rFonts w:ascii="Times New Roman" w:eastAsia="Times New Roman" w:hAnsi="Times New Roman" w:cs="Times New Roman"/>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biji</w:t>
      </w:r>
      <w:r>
        <w:rPr>
          <w:rFonts w:ascii="Times New Roman" w:eastAsia="Times New Roman" w:hAnsi="Times New Roman" w:cs="Times New Roman"/>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pepaya</w:t>
      </w:r>
      <w:r>
        <w:rPr>
          <w:rFonts w:ascii="Times New Roman" w:eastAsia="Times New Roman" w:hAnsi="Times New Roman" w:cs="Times New Roman"/>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California</w:t>
      </w:r>
      <w:r>
        <w:rPr>
          <w:rFonts w:ascii="Times New Roman" w:eastAsia="Times New Roman" w:hAnsi="Times New Roman" w:cs="Times New Roman"/>
          <w:bCs/>
          <w:color w:val="000000"/>
          <w:sz w:val="24"/>
          <w:szCs w:val="24"/>
          <w:lang w:eastAsia="id-ID"/>
        </w:rPr>
        <w:t>’</w:t>
      </w:r>
      <w:r w:rsidRPr="00F96EBD">
        <w:rPr>
          <w:rFonts w:ascii="Times New Roman" w:eastAsia="Times New Roman" w:hAnsi="Times New Roman" w:cs="Times New Roman"/>
          <w:bCs/>
          <w:color w:val="000000"/>
          <w:sz w:val="24"/>
          <w:szCs w:val="24"/>
          <w:lang w:eastAsia="id-ID"/>
        </w:rPr>
        <w:t xml:space="preserve"> dan </w:t>
      </w:r>
      <w:r>
        <w:rPr>
          <w:rFonts w:ascii="Times New Roman" w:eastAsia="Times New Roman" w:hAnsi="Times New Roman" w:cs="Times New Roman"/>
          <w:bCs/>
          <w:color w:val="000000"/>
          <w:sz w:val="24"/>
          <w:szCs w:val="24"/>
          <w:lang w:eastAsia="id-ID"/>
        </w:rPr>
        <w:t>‘</w:t>
      </w:r>
      <w:r w:rsidRPr="00F96EBD">
        <w:rPr>
          <w:rFonts w:ascii="Times New Roman" w:eastAsia="Times New Roman" w:hAnsi="Times New Roman" w:cs="Times New Roman"/>
          <w:bCs/>
          <w:color w:val="000000"/>
          <w:sz w:val="24"/>
          <w:szCs w:val="24"/>
          <w:lang w:eastAsia="id-ID"/>
        </w:rPr>
        <w:t>Bangkok</w:t>
      </w:r>
      <w:r>
        <w:rPr>
          <w:rFonts w:ascii="Times New Roman" w:eastAsia="Times New Roman" w:hAnsi="Times New Roman" w:cs="Times New Roman"/>
          <w:bCs/>
          <w:color w:val="000000"/>
          <w:sz w:val="24"/>
          <w:szCs w:val="24"/>
          <w:lang w:eastAsia="id-ID"/>
        </w:rPr>
        <w:t>’. Penelitian ini menggunakan 28 ekor mencit putih jantan</w:t>
      </w:r>
      <w:r w:rsidR="00CE1017">
        <w:rPr>
          <w:rFonts w:ascii="Times New Roman" w:eastAsia="Times New Roman" w:hAnsi="Times New Roman" w:cs="Times New Roman"/>
          <w:bCs/>
          <w:color w:val="000000"/>
          <w:sz w:val="24"/>
          <w:szCs w:val="24"/>
          <w:lang w:eastAsia="id-ID"/>
        </w:rPr>
        <w:t xml:space="preserve"> yang </w:t>
      </w:r>
      <w:r>
        <w:rPr>
          <w:rFonts w:ascii="Times New Roman" w:eastAsia="Times New Roman" w:hAnsi="Times New Roman" w:cs="Times New Roman"/>
          <w:bCs/>
          <w:color w:val="000000"/>
          <w:sz w:val="24"/>
          <w:szCs w:val="24"/>
          <w:lang w:eastAsia="id-ID"/>
        </w:rPr>
        <w:t xml:space="preserve">dibagi secara acak </w:t>
      </w:r>
      <w:r w:rsidR="00CE1017">
        <w:rPr>
          <w:rFonts w:ascii="Times New Roman" w:eastAsia="Times New Roman" w:hAnsi="Times New Roman" w:cs="Times New Roman"/>
          <w:bCs/>
          <w:color w:val="000000"/>
          <w:sz w:val="24"/>
          <w:szCs w:val="24"/>
          <w:lang w:eastAsia="id-ID"/>
        </w:rPr>
        <w:t>yaitu tiga kelompok diberi ekstrak ‘California’ masing-masing konsentrasi 4, 6, dan 8% (b/v), tiga yang</w:t>
      </w:r>
      <w:r>
        <w:rPr>
          <w:rFonts w:ascii="Times New Roman" w:eastAsia="Times New Roman" w:hAnsi="Times New Roman" w:cs="Times New Roman"/>
          <w:bCs/>
          <w:color w:val="000000"/>
          <w:sz w:val="24"/>
          <w:szCs w:val="24"/>
          <w:lang w:eastAsia="id-ID"/>
        </w:rPr>
        <w:t xml:space="preserve"> diberi ekstrak ‘</w:t>
      </w:r>
      <w:r w:rsidR="00CE1017">
        <w:rPr>
          <w:rFonts w:ascii="Times New Roman" w:eastAsia="Times New Roman" w:hAnsi="Times New Roman" w:cs="Times New Roman"/>
          <w:bCs/>
          <w:color w:val="000000"/>
          <w:sz w:val="24"/>
          <w:szCs w:val="24"/>
          <w:lang w:eastAsia="id-ID"/>
        </w:rPr>
        <w:t>B</w:t>
      </w:r>
      <w:r>
        <w:rPr>
          <w:rFonts w:ascii="Times New Roman" w:eastAsia="Times New Roman" w:hAnsi="Times New Roman" w:cs="Times New Roman"/>
          <w:bCs/>
          <w:color w:val="000000"/>
          <w:sz w:val="24"/>
          <w:szCs w:val="24"/>
          <w:lang w:eastAsia="id-ID"/>
        </w:rPr>
        <w:t>a</w:t>
      </w:r>
      <w:r w:rsidR="00CE1017">
        <w:rPr>
          <w:rFonts w:ascii="Times New Roman" w:eastAsia="Times New Roman" w:hAnsi="Times New Roman" w:cs="Times New Roman"/>
          <w:bCs/>
          <w:color w:val="000000"/>
          <w:sz w:val="24"/>
          <w:szCs w:val="24"/>
          <w:lang w:eastAsia="id-ID"/>
        </w:rPr>
        <w:t>ngkok</w:t>
      </w:r>
      <w:r>
        <w:rPr>
          <w:rFonts w:ascii="Times New Roman" w:eastAsia="Times New Roman" w:hAnsi="Times New Roman" w:cs="Times New Roman"/>
          <w:bCs/>
          <w:color w:val="000000"/>
          <w:sz w:val="24"/>
          <w:szCs w:val="24"/>
          <w:lang w:eastAsia="id-ID"/>
        </w:rPr>
        <w:t>’</w:t>
      </w:r>
      <w:r w:rsidR="00CE1017">
        <w:rPr>
          <w:rFonts w:ascii="Times New Roman" w:eastAsia="Times New Roman" w:hAnsi="Times New Roman" w:cs="Times New Roman"/>
          <w:bCs/>
          <w:color w:val="000000"/>
          <w:sz w:val="24"/>
          <w:szCs w:val="24"/>
          <w:lang w:eastAsia="id-ID"/>
        </w:rPr>
        <w:t>dengan konsentrasi yang sama yaitu 4, 6, dan 8% (b/v)</w:t>
      </w:r>
      <w:r>
        <w:rPr>
          <w:rFonts w:ascii="Times New Roman" w:eastAsia="Times New Roman" w:hAnsi="Times New Roman" w:cs="Times New Roman"/>
          <w:bCs/>
          <w:color w:val="000000"/>
          <w:sz w:val="24"/>
          <w:szCs w:val="24"/>
          <w:lang w:eastAsia="id-ID"/>
        </w:rPr>
        <w:t xml:space="preserve">, dan 1 kelompok </w:t>
      </w:r>
      <w:r w:rsidR="00CE1017">
        <w:rPr>
          <w:rFonts w:ascii="Times New Roman" w:eastAsia="Times New Roman" w:hAnsi="Times New Roman" w:cs="Times New Roman"/>
          <w:bCs/>
          <w:color w:val="000000"/>
          <w:sz w:val="24"/>
          <w:szCs w:val="24"/>
          <w:lang w:eastAsia="id-ID"/>
        </w:rPr>
        <w:t xml:space="preserve">hanya </w:t>
      </w:r>
      <w:r w:rsidR="005B76DC">
        <w:rPr>
          <w:rFonts w:ascii="Times New Roman" w:eastAsia="Times New Roman" w:hAnsi="Times New Roman" w:cs="Times New Roman"/>
          <w:bCs/>
          <w:color w:val="000000"/>
          <w:sz w:val="24"/>
          <w:szCs w:val="24"/>
          <w:lang w:eastAsia="id-ID"/>
        </w:rPr>
        <w:t xml:space="preserve">diberi pelarut CMC 1%. Semua ekstrak papaya maupun pelarut CMC 1% diberikan pada mencit </w:t>
      </w:r>
      <w:r>
        <w:rPr>
          <w:rFonts w:ascii="Times New Roman" w:eastAsia="Times New Roman" w:hAnsi="Times New Roman" w:cs="Times New Roman"/>
          <w:bCs/>
          <w:color w:val="000000"/>
          <w:sz w:val="24"/>
          <w:szCs w:val="24"/>
          <w:lang w:eastAsia="id-ID"/>
        </w:rPr>
        <w:t xml:space="preserve">secara </w:t>
      </w:r>
      <w:r w:rsidRPr="007B17BA">
        <w:rPr>
          <w:rFonts w:ascii="Times New Roman" w:eastAsia="Times New Roman" w:hAnsi="Times New Roman" w:cs="Times New Roman"/>
          <w:bCs/>
          <w:i/>
          <w:color w:val="000000"/>
          <w:sz w:val="24"/>
          <w:szCs w:val="24"/>
          <w:lang w:eastAsia="id-ID"/>
        </w:rPr>
        <w:t>gavage</w:t>
      </w:r>
      <w:r w:rsidR="005B76DC">
        <w:rPr>
          <w:rFonts w:ascii="Times New Roman" w:eastAsia="Times New Roman" w:hAnsi="Times New Roman" w:cs="Times New Roman"/>
          <w:bCs/>
          <w:color w:val="000000"/>
          <w:sz w:val="24"/>
          <w:szCs w:val="24"/>
          <w:lang w:eastAsia="id-ID"/>
        </w:rPr>
        <w:t xml:space="preserve"> dengan v</w:t>
      </w:r>
      <w:r w:rsidR="001F02F4">
        <w:rPr>
          <w:rFonts w:ascii="Times New Roman" w:eastAsia="Times New Roman" w:hAnsi="Times New Roman" w:cs="Times New Roman"/>
          <w:bCs/>
          <w:color w:val="000000"/>
          <w:sz w:val="24"/>
          <w:szCs w:val="24"/>
          <w:lang w:eastAsia="id-ID"/>
        </w:rPr>
        <w:t>olume penyuntikan 0,1 mL/10 g</w:t>
      </w:r>
      <w:r w:rsidR="005B76DC">
        <w:rPr>
          <w:rFonts w:ascii="Times New Roman" w:eastAsia="Times New Roman" w:hAnsi="Times New Roman" w:cs="Times New Roman"/>
          <w:bCs/>
          <w:color w:val="000000"/>
          <w:sz w:val="24"/>
          <w:szCs w:val="24"/>
          <w:lang w:eastAsia="id-ID"/>
        </w:rPr>
        <w:t xml:space="preserve"> b.b.</w:t>
      </w:r>
      <w:r>
        <w:rPr>
          <w:rFonts w:ascii="Times New Roman" w:eastAsia="Times New Roman" w:hAnsi="Times New Roman" w:cs="Times New Roman"/>
          <w:bCs/>
          <w:color w:val="000000"/>
          <w:sz w:val="24"/>
          <w:szCs w:val="24"/>
          <w:lang w:eastAsia="id-ID"/>
        </w:rPr>
        <w:t xml:space="preserve"> Perlakuan di</w:t>
      </w:r>
      <w:r w:rsidR="00620739">
        <w:rPr>
          <w:rFonts w:ascii="Times New Roman" w:eastAsia="Times New Roman" w:hAnsi="Times New Roman" w:cs="Times New Roman"/>
          <w:bCs/>
          <w:color w:val="000000"/>
          <w:sz w:val="24"/>
          <w:szCs w:val="24"/>
          <w:lang w:eastAsia="id-ID"/>
        </w:rPr>
        <w:t xml:space="preserve">lakukan selama 28 hari dan </w:t>
      </w:r>
      <w:r>
        <w:rPr>
          <w:rFonts w:ascii="Times New Roman" w:eastAsia="Times New Roman" w:hAnsi="Times New Roman" w:cs="Times New Roman"/>
          <w:bCs/>
          <w:color w:val="000000"/>
          <w:sz w:val="24"/>
          <w:szCs w:val="24"/>
          <w:lang w:eastAsia="id-ID"/>
        </w:rPr>
        <w:t>hari ke-29 darah</w:t>
      </w:r>
      <w:r w:rsidR="005B76DC">
        <w:rPr>
          <w:rFonts w:ascii="Times New Roman" w:eastAsia="Times New Roman" w:hAnsi="Times New Roman" w:cs="Times New Roman"/>
          <w:bCs/>
          <w:color w:val="000000"/>
          <w:sz w:val="24"/>
          <w:szCs w:val="24"/>
          <w:lang w:eastAsia="id-ID"/>
        </w:rPr>
        <w:t xml:space="preserve"> mencit diambil melalui vena ju</w:t>
      </w:r>
      <w:r>
        <w:rPr>
          <w:rFonts w:ascii="Times New Roman" w:eastAsia="Times New Roman" w:hAnsi="Times New Roman" w:cs="Times New Roman"/>
          <w:bCs/>
          <w:color w:val="000000"/>
          <w:sz w:val="24"/>
          <w:szCs w:val="24"/>
          <w:lang w:eastAsia="id-ID"/>
        </w:rPr>
        <w:t>gularis u</w:t>
      </w:r>
      <w:r w:rsidR="005B76DC">
        <w:rPr>
          <w:rFonts w:ascii="Times New Roman" w:eastAsia="Times New Roman" w:hAnsi="Times New Roman" w:cs="Times New Roman"/>
          <w:bCs/>
          <w:color w:val="000000"/>
          <w:sz w:val="24"/>
          <w:szCs w:val="24"/>
          <w:lang w:eastAsia="id-ID"/>
        </w:rPr>
        <w:t xml:space="preserve">ntuk diuji SGPT, SGOT serum. Setelah pengambilan serum darah dilakukan </w:t>
      </w:r>
      <w:r w:rsidRPr="00F96EBD">
        <w:rPr>
          <w:rFonts w:ascii="Times New Roman" w:eastAsia="Times New Roman" w:hAnsi="Times New Roman" w:cs="Times New Roman"/>
          <w:bCs/>
          <w:color w:val="000000"/>
          <w:sz w:val="24"/>
          <w:szCs w:val="24"/>
          <w:lang w:eastAsia="id-ID"/>
        </w:rPr>
        <w:t>pembedahan</w:t>
      </w:r>
      <w:r w:rsidR="005B76DC">
        <w:rPr>
          <w:rFonts w:ascii="Times New Roman" w:eastAsia="Times New Roman" w:hAnsi="Times New Roman" w:cs="Times New Roman"/>
          <w:bCs/>
          <w:color w:val="000000"/>
          <w:sz w:val="24"/>
          <w:szCs w:val="24"/>
          <w:lang w:eastAsia="id-ID"/>
        </w:rPr>
        <w:t xml:space="preserve"> pada hari yang sama</w:t>
      </w:r>
      <w:r>
        <w:rPr>
          <w:rFonts w:ascii="Times New Roman" w:eastAsia="Times New Roman" w:hAnsi="Times New Roman" w:cs="Times New Roman"/>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untuk</w:t>
      </w:r>
      <w:r>
        <w:rPr>
          <w:rFonts w:ascii="Times New Roman" w:eastAsia="Times New Roman" w:hAnsi="Times New Roman" w:cs="Times New Roman"/>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pengamatan organ viseral</w:t>
      </w:r>
      <w:r>
        <w:rPr>
          <w:rFonts w:ascii="Times New Roman" w:eastAsia="Times New Roman" w:hAnsi="Times New Roman" w:cs="Times New Roman"/>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men</w:t>
      </w:r>
      <w:r>
        <w:rPr>
          <w:rFonts w:ascii="Times New Roman" w:eastAsia="Times New Roman" w:hAnsi="Times New Roman" w:cs="Times New Roman"/>
          <w:bCs/>
          <w:color w:val="000000"/>
          <w:sz w:val="24"/>
          <w:szCs w:val="24"/>
          <w:lang w:eastAsia="id-ID"/>
        </w:rPr>
        <w:t>cit se</w:t>
      </w:r>
      <w:r w:rsidR="00620739">
        <w:rPr>
          <w:rFonts w:ascii="Times New Roman" w:eastAsia="Times New Roman" w:hAnsi="Times New Roman" w:cs="Times New Roman"/>
          <w:bCs/>
          <w:color w:val="000000"/>
          <w:sz w:val="24"/>
          <w:szCs w:val="24"/>
          <w:lang w:eastAsia="id-ID"/>
        </w:rPr>
        <w:t>cara makroskopis.</w:t>
      </w:r>
      <w:r>
        <w:rPr>
          <w:rFonts w:ascii="Times New Roman" w:eastAsia="Times New Roman" w:hAnsi="Times New Roman" w:cs="Times New Roman"/>
          <w:bCs/>
          <w:color w:val="000000"/>
          <w:sz w:val="24"/>
          <w:szCs w:val="24"/>
          <w:lang w:eastAsia="id-ID"/>
        </w:rPr>
        <w:t xml:space="preserve"> Hasil uji toksisitas sub</w:t>
      </w:r>
      <w:r w:rsidRPr="00F96EBD">
        <w:rPr>
          <w:rFonts w:ascii="Times New Roman" w:eastAsia="Times New Roman" w:hAnsi="Times New Roman" w:cs="Times New Roman"/>
          <w:bCs/>
          <w:color w:val="000000"/>
          <w:sz w:val="24"/>
          <w:szCs w:val="24"/>
          <w:lang w:eastAsia="id-ID"/>
        </w:rPr>
        <w:t>akut</w:t>
      </w:r>
      <w:r>
        <w:rPr>
          <w:rFonts w:ascii="Times New Roman" w:eastAsia="Times New Roman" w:hAnsi="Times New Roman" w:cs="Times New Roman"/>
          <w:bCs/>
          <w:color w:val="000000"/>
          <w:sz w:val="24"/>
          <w:szCs w:val="24"/>
          <w:lang w:eastAsia="id-ID"/>
        </w:rPr>
        <w:t xml:space="preserve"> selama 28 hari dengan pemberian ekstrak tersebut </w:t>
      </w:r>
      <w:r>
        <w:rPr>
          <w:rFonts w:ascii="Times New Roman" w:hAnsi="Times New Roman" w:cs="Times New Roman"/>
          <w:sz w:val="24"/>
          <w:szCs w:val="24"/>
        </w:rPr>
        <w:t>tidak berpengaruh pada berat badan, kondisi fi</w:t>
      </w:r>
      <w:r w:rsidR="006F4991">
        <w:rPr>
          <w:rFonts w:ascii="Times New Roman" w:hAnsi="Times New Roman" w:cs="Times New Roman"/>
          <w:sz w:val="24"/>
          <w:szCs w:val="24"/>
        </w:rPr>
        <w:t>sik, dan organ viseral mencit, n</w:t>
      </w:r>
      <w:r>
        <w:rPr>
          <w:rFonts w:ascii="Times New Roman" w:hAnsi="Times New Roman" w:cs="Times New Roman"/>
          <w:sz w:val="24"/>
          <w:szCs w:val="24"/>
        </w:rPr>
        <w:t>amun pada data SGPT dan SGOT menunjukkan peningkatan pada semua kelompok perlakuan jika dibandingkan dengan kelompok kontrol, tetapi peningkatan tersebut ma</w:t>
      </w:r>
      <w:r w:rsidR="006F4991">
        <w:rPr>
          <w:rFonts w:ascii="Times New Roman" w:hAnsi="Times New Roman" w:cs="Times New Roman"/>
          <w:sz w:val="24"/>
          <w:szCs w:val="24"/>
        </w:rPr>
        <w:t xml:space="preserve">sih dibawah ambang batas normal. </w:t>
      </w:r>
    </w:p>
    <w:p w14:paraId="4CDC17A8" w14:textId="77777777" w:rsidR="00772E2B" w:rsidRDefault="00772E2B" w:rsidP="00772E2B">
      <w:pPr>
        <w:tabs>
          <w:tab w:val="left" w:pos="7020"/>
        </w:tabs>
        <w:kinsoku w:val="0"/>
        <w:overflowPunct w:val="0"/>
        <w:spacing w:before="69" w:after="120" w:line="240" w:lineRule="auto"/>
        <w:ind w:right="115"/>
        <w:contextualSpacing/>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ab/>
      </w:r>
    </w:p>
    <w:p w14:paraId="328468C4" w14:textId="77777777" w:rsidR="00772E2B" w:rsidRDefault="00772E2B" w:rsidP="00772E2B">
      <w:pPr>
        <w:tabs>
          <w:tab w:val="left" w:pos="630"/>
          <w:tab w:val="left" w:pos="720"/>
        </w:tabs>
        <w:kinsoku w:val="0"/>
        <w:overflowPunct w:val="0"/>
        <w:spacing w:before="69" w:after="120" w:line="240" w:lineRule="auto"/>
        <w:ind w:left="1260" w:right="115" w:hanging="1260"/>
        <w:contextualSpacing/>
        <w:rPr>
          <w:rFonts w:ascii="Times New Roman" w:eastAsia="Times New Roman" w:hAnsi="Times New Roman" w:cs="Times New Roman"/>
          <w:bCs/>
          <w:color w:val="000000"/>
          <w:sz w:val="24"/>
          <w:szCs w:val="24"/>
          <w:lang w:val="id-ID" w:eastAsia="id-ID"/>
        </w:rPr>
      </w:pPr>
      <w:r w:rsidRPr="00897B2E">
        <w:rPr>
          <w:rFonts w:ascii="Times New Roman" w:eastAsia="Times New Roman" w:hAnsi="Times New Roman" w:cs="Times New Roman"/>
          <w:b/>
          <w:bCs/>
          <w:color w:val="000000"/>
          <w:sz w:val="24"/>
          <w:szCs w:val="24"/>
          <w:lang w:eastAsia="id-ID"/>
        </w:rPr>
        <w:t>Kata kunci:</w:t>
      </w:r>
      <w:r>
        <w:rPr>
          <w:rFonts w:ascii="Times New Roman" w:eastAsia="Times New Roman" w:hAnsi="Times New Roman" w:cs="Times New Roman"/>
          <w:b/>
          <w:bCs/>
          <w:color w:val="000000"/>
          <w:sz w:val="24"/>
          <w:szCs w:val="24"/>
          <w:lang w:eastAsia="id-ID"/>
        </w:rPr>
        <w:t xml:space="preserve"> </w:t>
      </w:r>
      <w:r w:rsidRPr="00F96EBD">
        <w:rPr>
          <w:rFonts w:ascii="Times New Roman" w:eastAsia="Times New Roman" w:hAnsi="Times New Roman" w:cs="Times New Roman"/>
          <w:bCs/>
          <w:color w:val="000000"/>
          <w:sz w:val="24"/>
          <w:szCs w:val="24"/>
          <w:lang w:eastAsia="id-ID"/>
        </w:rPr>
        <w:t>Biji</w:t>
      </w:r>
      <w:r>
        <w:rPr>
          <w:rFonts w:ascii="Times New Roman" w:eastAsia="Times New Roman" w:hAnsi="Times New Roman" w:cs="Times New Roman"/>
          <w:bCs/>
          <w:color w:val="000000"/>
          <w:sz w:val="24"/>
          <w:szCs w:val="24"/>
          <w:lang w:eastAsia="id-ID"/>
        </w:rPr>
        <w:t xml:space="preserve"> pepaya ‘California’; biji pepaya ‘Bangkok’; Toksisitas Subakut; SGPT; SGO</w:t>
      </w:r>
      <w:r w:rsidRPr="00F96EBD">
        <w:rPr>
          <w:rFonts w:ascii="Times New Roman" w:eastAsia="Times New Roman" w:hAnsi="Times New Roman" w:cs="Times New Roman"/>
          <w:bCs/>
          <w:color w:val="000000"/>
          <w:sz w:val="24"/>
          <w:szCs w:val="24"/>
          <w:lang w:eastAsia="id-ID"/>
        </w:rPr>
        <w:t xml:space="preserve">T  </w:t>
      </w:r>
    </w:p>
    <w:p w14:paraId="1CB3EDCA" w14:textId="77777777" w:rsidR="00772E2B" w:rsidRDefault="00772E2B" w:rsidP="00772E2B">
      <w:pPr>
        <w:tabs>
          <w:tab w:val="left" w:pos="630"/>
          <w:tab w:val="left" w:pos="720"/>
        </w:tabs>
        <w:kinsoku w:val="0"/>
        <w:overflowPunct w:val="0"/>
        <w:spacing w:before="69" w:after="120" w:line="240" w:lineRule="auto"/>
        <w:ind w:left="1260" w:right="115" w:hanging="1260"/>
        <w:contextualSpacing/>
        <w:rPr>
          <w:rFonts w:ascii="Times New Roman" w:hAnsi="Times New Roman" w:cs="Times New Roman"/>
          <w:b/>
          <w:sz w:val="24"/>
          <w:szCs w:val="24"/>
        </w:rPr>
      </w:pPr>
    </w:p>
    <w:p w14:paraId="3DB615E8" w14:textId="77777777" w:rsidR="00E735DD" w:rsidRPr="00602915" w:rsidRDefault="00E735DD" w:rsidP="000016CC">
      <w:pPr>
        <w:pStyle w:val="ListParagraph"/>
        <w:spacing w:line="360" w:lineRule="auto"/>
        <w:ind w:left="0"/>
        <w:jc w:val="both"/>
        <w:rPr>
          <w:rFonts w:ascii="Times New Roman" w:hAnsi="Times New Roman" w:cs="Times New Roman"/>
          <w:bCs/>
          <w:sz w:val="22"/>
          <w:szCs w:val="22"/>
        </w:rPr>
        <w:sectPr w:rsidR="00E735DD" w:rsidRPr="00602915" w:rsidSect="0028177C">
          <w:footerReference w:type="default" r:id="rId8"/>
          <w:pgSz w:w="12240" w:h="15840" w:code="1"/>
          <w:pgMar w:top="1701" w:right="1701" w:bottom="1701" w:left="2268" w:header="708" w:footer="708" w:gutter="0"/>
          <w:cols w:space="708"/>
          <w:docGrid w:linePitch="360"/>
        </w:sectPr>
      </w:pPr>
    </w:p>
    <w:p w14:paraId="0D732F9D" w14:textId="77777777" w:rsidR="005208BF" w:rsidRDefault="005208BF" w:rsidP="005208BF">
      <w:pPr>
        <w:pStyle w:val="ListParagraph"/>
        <w:spacing w:line="360" w:lineRule="auto"/>
        <w:ind w:left="0"/>
        <w:jc w:val="both"/>
        <w:rPr>
          <w:rFonts w:ascii="Times New Roman" w:hAnsi="Times New Roman" w:cs="Times New Roman"/>
          <w:b/>
          <w:sz w:val="24"/>
          <w:szCs w:val="24"/>
          <w:lang w:val="en-ID"/>
        </w:rPr>
      </w:pPr>
      <w:r>
        <w:rPr>
          <w:rFonts w:ascii="Times New Roman" w:hAnsi="Times New Roman" w:cs="Times New Roman"/>
          <w:b/>
          <w:sz w:val="24"/>
          <w:szCs w:val="24"/>
          <w:lang w:val="en-ID"/>
        </w:rPr>
        <w:t>PENDAHULUAN</w:t>
      </w:r>
    </w:p>
    <w:p w14:paraId="16F654B5" w14:textId="77777777" w:rsidR="00FB01F8" w:rsidRDefault="00FB01F8" w:rsidP="007923E4">
      <w:pPr>
        <w:spacing w:line="360" w:lineRule="auto"/>
        <w:contextualSpacing/>
        <w:jc w:val="both"/>
        <w:rPr>
          <w:rFonts w:ascii="Times New Roman" w:hAnsi="Times New Roman" w:cs="Times New Roman"/>
          <w:sz w:val="24"/>
          <w:szCs w:val="24"/>
        </w:rPr>
        <w:sectPr w:rsidR="00FB01F8" w:rsidSect="007923E4">
          <w:type w:val="continuous"/>
          <w:pgSz w:w="12240" w:h="15840" w:code="1"/>
          <w:pgMar w:top="1701" w:right="1701" w:bottom="1701" w:left="2268" w:header="708" w:footer="708" w:gutter="0"/>
          <w:cols w:space="708"/>
          <w:docGrid w:linePitch="360"/>
        </w:sectPr>
      </w:pPr>
    </w:p>
    <w:p w14:paraId="031C5FDA" w14:textId="77777777" w:rsidR="007923E4" w:rsidRDefault="00FB01F8" w:rsidP="007923E4">
      <w:pPr>
        <w:spacing w:line="36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rPr>
        <w:tab/>
      </w:r>
      <w:r w:rsidR="007923E4" w:rsidRPr="004C7DC0">
        <w:rPr>
          <w:rFonts w:ascii="Times New Roman" w:hAnsi="Times New Roman" w:cs="Times New Roman"/>
          <w:sz w:val="24"/>
          <w:szCs w:val="24"/>
          <w:lang w:val="zh-CN"/>
        </w:rPr>
        <w:t xml:space="preserve">Pepaya </w:t>
      </w:r>
      <w:r w:rsidR="007923E4" w:rsidRPr="004C7DC0">
        <w:rPr>
          <w:rFonts w:ascii="Times New Roman" w:hAnsi="Times New Roman" w:cs="Times New Roman"/>
          <w:sz w:val="24"/>
          <w:szCs w:val="24"/>
        </w:rPr>
        <w:t>(</w:t>
      </w:r>
      <w:r w:rsidR="007923E4" w:rsidRPr="004C7DC0">
        <w:rPr>
          <w:rFonts w:ascii="Times New Roman" w:hAnsi="Times New Roman" w:cs="Times New Roman"/>
          <w:i/>
          <w:iCs/>
          <w:sz w:val="24"/>
          <w:szCs w:val="24"/>
        </w:rPr>
        <w:t>Carica papaya</w:t>
      </w:r>
      <w:r w:rsidR="007923E4" w:rsidRPr="004C7DC0">
        <w:rPr>
          <w:rFonts w:ascii="Times New Roman" w:hAnsi="Times New Roman" w:cs="Times New Roman"/>
          <w:sz w:val="24"/>
          <w:szCs w:val="24"/>
        </w:rPr>
        <w:t xml:space="preserve"> L.)</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rPr>
        <w:t>merupakan</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rPr>
        <w:t>tanaman yang banyak</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rPr>
        <w:t>tersebar</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rPr>
        <w:t>diberbagai negara tropis</w:t>
      </w:r>
      <w:r w:rsidR="007923E4">
        <w:rPr>
          <w:rFonts w:ascii="Times New Roman" w:hAnsi="Times New Roman" w:cs="Times New Roman"/>
          <w:sz w:val="24"/>
          <w:szCs w:val="24"/>
        </w:rPr>
        <w:t xml:space="preserve"> termasuk di negara I</w:t>
      </w:r>
      <w:r w:rsidR="007923E4" w:rsidRPr="004C7DC0">
        <w:rPr>
          <w:rFonts w:ascii="Times New Roman" w:hAnsi="Times New Roman" w:cs="Times New Roman"/>
          <w:sz w:val="24"/>
          <w:szCs w:val="24"/>
        </w:rPr>
        <w:t>ndonesia. Buah</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rPr>
        <w:t>dari</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rPr>
        <w:t>tanaman</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rPr>
        <w:t>ini</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rPr>
        <w:t>tergolong</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rPr>
        <w:t>buah yang populer dan sangat</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rPr>
        <w:t>digemari oleh masyarakat</w:t>
      </w:r>
      <w:r w:rsidR="007923E4">
        <w:rPr>
          <w:rFonts w:ascii="Times New Roman" w:hAnsi="Times New Roman" w:cs="Times New Roman"/>
          <w:sz w:val="24"/>
          <w:szCs w:val="24"/>
        </w:rPr>
        <w:t xml:space="preserve"> Indonesia</w:t>
      </w:r>
      <w:r w:rsidR="0028177C">
        <w:rPr>
          <w:rFonts w:ascii="Times New Roman" w:hAnsi="Times New Roman" w:cs="Times New Roman"/>
          <w:sz w:val="24"/>
          <w:szCs w:val="24"/>
        </w:rPr>
        <w:t xml:space="preserve"> </w:t>
      </w:r>
      <w:r w:rsidR="000E46BE">
        <w:rPr>
          <w:rFonts w:ascii="Times New Roman" w:hAnsi="Times New Roman" w:cs="Times New Roman"/>
          <w:sz w:val="24"/>
          <w:szCs w:val="24"/>
          <w:lang w:val="id-ID"/>
        </w:rPr>
        <w:fldChar w:fldCharType="begin" w:fldLock="1"/>
      </w:r>
      <w:r w:rsidR="007923E4">
        <w:rPr>
          <w:rFonts w:ascii="Times New Roman" w:hAnsi="Times New Roman" w:cs="Times New Roman"/>
          <w:sz w:val="24"/>
          <w:szCs w:val="24"/>
          <w:lang w:val="id-ID"/>
        </w:rPr>
        <w:instrText>ADDIN CSL_CITATION {"citationItems":[{"id":"ITEM-1","itemData":{"author":[{"dropping-particle":"","family":"Kalie","given":"Moehd. Baga.","non-dropping-particle":"","parse-names":false,"suffix":""}],"id":"ITEM-1","issued":{"date-parts":[["2008"]]},"title":"Bertanam Pepaya. Jakarta: Penebar Swadaya.","type":"book"},"uris":["http://www.mendeley.com/documents/?uuid=c7c49254-a994-458f-8e11-c1ae903d822a"]}],"mendeley":{"formattedCitation":"(Kalie, 2008)","plainTextFormattedCitation":"(Kalie, 2008)","previouslyFormattedCitation":"(Kalie, 2008)"},"properties":{"noteIndex":0},"schema":"https://github.com/citation-style-language/schema/raw/master/csl-citation.json"}</w:instrText>
      </w:r>
      <w:r w:rsidR="000E46BE">
        <w:rPr>
          <w:rFonts w:ascii="Times New Roman" w:hAnsi="Times New Roman" w:cs="Times New Roman"/>
          <w:sz w:val="24"/>
          <w:szCs w:val="24"/>
          <w:lang w:val="id-ID"/>
        </w:rPr>
        <w:fldChar w:fldCharType="separate"/>
      </w:r>
      <w:r w:rsidR="007923E4" w:rsidRPr="000E352F">
        <w:rPr>
          <w:rFonts w:ascii="Times New Roman" w:hAnsi="Times New Roman" w:cs="Times New Roman"/>
          <w:noProof/>
          <w:sz w:val="24"/>
          <w:szCs w:val="24"/>
          <w:lang w:val="id-ID"/>
        </w:rPr>
        <w:t>(Kalie, 2008)</w:t>
      </w:r>
      <w:r w:rsidR="000E46BE">
        <w:rPr>
          <w:rFonts w:ascii="Times New Roman" w:hAnsi="Times New Roman" w:cs="Times New Roman"/>
          <w:sz w:val="24"/>
          <w:szCs w:val="24"/>
          <w:lang w:val="id-ID"/>
        </w:rPr>
        <w:fldChar w:fldCharType="end"/>
      </w:r>
      <w:r w:rsidR="007923E4">
        <w:rPr>
          <w:rFonts w:ascii="Times New Roman" w:hAnsi="Times New Roman" w:cs="Times New Roman"/>
          <w:sz w:val="24"/>
          <w:szCs w:val="24"/>
          <w:lang w:val="id-ID"/>
        </w:rPr>
        <w:t>.</w:t>
      </w:r>
      <w:r w:rsidR="0028177C">
        <w:rPr>
          <w:rFonts w:ascii="Times New Roman" w:hAnsi="Times New Roman" w:cs="Times New Roman"/>
          <w:sz w:val="24"/>
          <w:szCs w:val="24"/>
        </w:rPr>
        <w:t xml:space="preserve"> </w:t>
      </w:r>
      <w:r w:rsidR="007923E4" w:rsidRPr="004C7DC0">
        <w:rPr>
          <w:rFonts w:ascii="Times New Roman" w:hAnsi="Times New Roman" w:cs="Times New Roman"/>
          <w:sz w:val="24"/>
          <w:szCs w:val="24"/>
          <w:lang w:eastAsia="zh-CN"/>
        </w:rPr>
        <w:t>Biji</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pepaya</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memiliki rasa yang pahit, pedas dan beraroma</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menyengat</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menjadikan</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biji</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pepaya</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kurang</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diminati</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sebagai</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bahan</w:t>
      </w:r>
      <w:r w:rsidR="007923E4">
        <w:rPr>
          <w:rFonts w:ascii="Times New Roman" w:hAnsi="Times New Roman" w:cs="Times New Roman"/>
          <w:sz w:val="24"/>
          <w:szCs w:val="24"/>
          <w:lang w:eastAsia="zh-CN"/>
        </w:rPr>
        <w:t xml:space="preserve"> konsumsi dan masih di </w:t>
      </w:r>
      <w:r w:rsidR="007923E4" w:rsidRPr="004C7DC0">
        <w:rPr>
          <w:rFonts w:ascii="Times New Roman" w:hAnsi="Times New Roman" w:cs="Times New Roman"/>
          <w:sz w:val="24"/>
          <w:szCs w:val="24"/>
          <w:lang w:eastAsia="zh-CN"/>
        </w:rPr>
        <w:t>anggap</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limbah oleh masyarakat dunia dan belum</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dimanfaatkan</w:t>
      </w:r>
      <w:r w:rsidR="0028177C">
        <w:rPr>
          <w:rFonts w:ascii="Times New Roman" w:hAnsi="Times New Roman" w:cs="Times New Roman"/>
          <w:sz w:val="24"/>
          <w:szCs w:val="24"/>
          <w:lang w:eastAsia="zh-CN"/>
        </w:rPr>
        <w:t xml:space="preserve"> </w:t>
      </w:r>
      <w:r w:rsidR="007923E4" w:rsidRPr="004C7DC0">
        <w:rPr>
          <w:rFonts w:ascii="Times New Roman" w:hAnsi="Times New Roman" w:cs="Times New Roman"/>
          <w:sz w:val="24"/>
          <w:szCs w:val="24"/>
          <w:lang w:eastAsia="zh-CN"/>
        </w:rPr>
        <w:t>secara optimal</w:t>
      </w:r>
      <w:r w:rsidR="0028177C">
        <w:rPr>
          <w:rFonts w:ascii="Times New Roman" w:hAnsi="Times New Roman" w:cs="Times New Roman"/>
          <w:sz w:val="24"/>
          <w:szCs w:val="24"/>
          <w:lang w:eastAsia="zh-CN"/>
        </w:rPr>
        <w:t xml:space="preserve"> </w:t>
      </w:r>
      <w:r w:rsidR="000E46BE">
        <w:rPr>
          <w:rFonts w:ascii="Times New Roman" w:hAnsi="Times New Roman" w:cs="Times New Roman"/>
          <w:sz w:val="24"/>
          <w:szCs w:val="24"/>
          <w:lang w:val="id-ID"/>
        </w:rPr>
        <w:fldChar w:fldCharType="begin" w:fldLock="1"/>
      </w:r>
      <w:r w:rsidR="007923E4">
        <w:rPr>
          <w:rFonts w:ascii="Times New Roman" w:hAnsi="Times New Roman" w:cs="Times New Roman"/>
          <w:sz w:val="24"/>
          <w:szCs w:val="24"/>
          <w:lang w:val="id-ID" w:eastAsia="zh-CN"/>
        </w:rPr>
        <w:instrText>ADDIN CSL_CITATION {"citationItems":[{"id":"ITEM-1","itemData":{"author":[{"dropping-particle":"","family":"Ummah","given":"Warysatul","non-dropping-particle":"","parse-names":false,"suffix":""}],"id":"ITEM-1","issued":{"date-parts":[["2012"]]},"title":"Pengaruh Ekstrak Air Biji Pepaya (Carica papaya L.) dan Testosteron Undekanoat (TU) Terhadap Jaringan Ginjal Mencit (Mus musculus L.). Skripsi S1 FMIPA Universitas Sumatera Utara. Medan.","type":"thesis"},"uris":["http://www.mendeley.com/documents/?uuid=3146cda5-caa0-4739-920a-5daa9e89771b"]}],"mendeley":{"formattedCitation":"(Ummah, 2012)","plainTextFormattedCitation":"(Ummah, 2012)","previouslyFormattedCitation":"(Ummah, 2012)"},"properties":{"noteIndex":0},"schema":"https://github.com/citation-style-language/schema/raw/master/csl-citation.json"}</w:instrText>
      </w:r>
      <w:r w:rsidR="000E46BE">
        <w:rPr>
          <w:rFonts w:ascii="Times New Roman" w:hAnsi="Times New Roman" w:cs="Times New Roman"/>
          <w:sz w:val="24"/>
          <w:szCs w:val="24"/>
          <w:lang w:val="id-ID"/>
        </w:rPr>
        <w:fldChar w:fldCharType="separate"/>
      </w:r>
      <w:r w:rsidR="007923E4">
        <w:rPr>
          <w:rFonts w:ascii="Times New Roman" w:hAnsi="Times New Roman" w:cs="Times New Roman"/>
          <w:noProof/>
          <w:sz w:val="24"/>
          <w:szCs w:val="24"/>
          <w:lang w:val="id-ID" w:eastAsia="zh-CN"/>
        </w:rPr>
        <w:t>(Ummah,</w:t>
      </w:r>
      <w:r w:rsidR="00D44DA5">
        <w:rPr>
          <w:rFonts w:ascii="Times New Roman" w:hAnsi="Times New Roman" w:cs="Times New Roman"/>
          <w:noProof/>
          <w:sz w:val="24"/>
          <w:szCs w:val="24"/>
          <w:lang w:eastAsia="zh-CN"/>
        </w:rPr>
        <w:t xml:space="preserve"> </w:t>
      </w:r>
      <w:r w:rsidR="007923E4" w:rsidRPr="001250F5">
        <w:rPr>
          <w:rFonts w:ascii="Times New Roman" w:hAnsi="Times New Roman" w:cs="Times New Roman"/>
          <w:noProof/>
          <w:sz w:val="24"/>
          <w:szCs w:val="24"/>
          <w:lang w:val="id-ID" w:eastAsia="zh-CN"/>
        </w:rPr>
        <w:t>2012)</w:t>
      </w:r>
      <w:r w:rsidR="000E46BE">
        <w:rPr>
          <w:rFonts w:ascii="Times New Roman" w:hAnsi="Times New Roman" w:cs="Times New Roman"/>
          <w:sz w:val="24"/>
          <w:szCs w:val="24"/>
          <w:lang w:val="id-ID"/>
        </w:rPr>
        <w:fldChar w:fldCharType="end"/>
      </w:r>
      <w:r w:rsidR="007923E4">
        <w:rPr>
          <w:rFonts w:ascii="Times New Roman" w:hAnsi="Times New Roman" w:cs="Times New Roman"/>
          <w:sz w:val="24"/>
          <w:szCs w:val="24"/>
          <w:lang w:eastAsia="zh-CN"/>
        </w:rPr>
        <w:t xml:space="preserve">. </w:t>
      </w:r>
    </w:p>
    <w:p w14:paraId="7295D53B" w14:textId="77777777" w:rsidR="007923E4" w:rsidRDefault="007923E4" w:rsidP="007923E4">
      <w:pPr>
        <w:spacing w:line="36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ab/>
      </w:r>
      <w:r w:rsidRPr="00541263">
        <w:rPr>
          <w:rFonts w:ascii="Times New Roman" w:hAnsi="Times New Roman" w:cs="Times New Roman"/>
          <w:sz w:val="24"/>
          <w:szCs w:val="24"/>
          <w:lang w:eastAsia="zh-CN"/>
        </w:rPr>
        <w:t>Menurut penelitian Gusniar (2019), bahwa hasil ekstrak biji pepaya ‘California’ dan ‘Bangkok’ telah diaplikasikan sebagai bahan pengawet makanan terutama untuk menjaga kesegaran daging ayam d</w:t>
      </w:r>
      <w:r w:rsidR="00A953BD">
        <w:rPr>
          <w:rFonts w:ascii="Times New Roman" w:hAnsi="Times New Roman" w:cs="Times New Roman"/>
          <w:sz w:val="24"/>
          <w:szCs w:val="24"/>
          <w:lang w:eastAsia="zh-CN"/>
        </w:rPr>
        <w:t xml:space="preserve">an udang dengan konsentrasi 4, 6, </w:t>
      </w:r>
      <w:r w:rsidRPr="00541263">
        <w:rPr>
          <w:rFonts w:ascii="Times New Roman" w:hAnsi="Times New Roman" w:cs="Times New Roman"/>
          <w:sz w:val="24"/>
          <w:szCs w:val="24"/>
          <w:lang w:eastAsia="zh-CN"/>
        </w:rPr>
        <w:t xml:space="preserve">dan 8% mampu memperpanjang umur simpan daging ayam dan udang selama penyimpanan suhu dingin, dan pada hasil TPC </w:t>
      </w:r>
      <w:r>
        <w:rPr>
          <w:rFonts w:ascii="Times New Roman" w:hAnsi="Times New Roman" w:cs="Times New Roman"/>
          <w:sz w:val="24"/>
          <w:szCs w:val="24"/>
          <w:lang w:eastAsia="zh-CN"/>
        </w:rPr>
        <w:t>(</w:t>
      </w:r>
      <w:r w:rsidRPr="00001530">
        <w:rPr>
          <w:rFonts w:ascii="Times New Roman" w:hAnsi="Times New Roman" w:cs="Times New Roman"/>
          <w:i/>
          <w:sz w:val="24"/>
          <w:szCs w:val="24"/>
          <w:lang w:eastAsia="zh-CN"/>
        </w:rPr>
        <w:t>Total Plate Count</w:t>
      </w:r>
      <w:r>
        <w:rPr>
          <w:rFonts w:ascii="Times New Roman" w:hAnsi="Times New Roman" w:cs="Times New Roman"/>
          <w:sz w:val="24"/>
          <w:szCs w:val="24"/>
          <w:lang w:eastAsia="zh-CN"/>
        </w:rPr>
        <w:t xml:space="preserve">) </w:t>
      </w:r>
      <w:r w:rsidRPr="00541263">
        <w:rPr>
          <w:rFonts w:ascii="Times New Roman" w:hAnsi="Times New Roman" w:cs="Times New Roman"/>
          <w:sz w:val="24"/>
          <w:szCs w:val="24"/>
          <w:lang w:eastAsia="zh-CN"/>
        </w:rPr>
        <w:t>bahwa serbuk biji pepaya ‘Ca</w:t>
      </w:r>
      <w:r w:rsidR="00A953BD">
        <w:rPr>
          <w:rFonts w:ascii="Times New Roman" w:hAnsi="Times New Roman" w:cs="Times New Roman"/>
          <w:sz w:val="24"/>
          <w:szCs w:val="24"/>
          <w:lang w:eastAsia="zh-CN"/>
        </w:rPr>
        <w:t xml:space="preserve">lifornia’ maupun ‘Bangkok’ </w:t>
      </w:r>
      <w:r w:rsidRPr="00541263">
        <w:rPr>
          <w:rFonts w:ascii="Times New Roman" w:hAnsi="Times New Roman" w:cs="Times New Roman"/>
          <w:sz w:val="24"/>
          <w:szCs w:val="24"/>
          <w:lang w:eastAsia="zh-CN"/>
        </w:rPr>
        <w:t>berpotensi menghambat pertumbuhan bakteri pada daging ayam dan udang dengan pemberian konsentrasi tertinggi yaitu 8%, maka pada penelitian ini biji pepaya ‘California’ maupun ‘Bangkok’ mampu dijadikan sebagai bahan pengawet alami pada daging ayam dan udang.</w:t>
      </w:r>
      <w:r w:rsidR="00A953BD">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Adanya aplikasi serbuk biji pepaya inilah yang memicu untuk menguji sifat toksisitas bahan alam sebagai pengawet.</w:t>
      </w:r>
    </w:p>
    <w:p w14:paraId="79222AA0" w14:textId="1C92BA67" w:rsidR="007923E4" w:rsidRDefault="007923E4" w:rsidP="007923E4">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Menurut Warisno (2003) </w:t>
      </w:r>
      <w:r w:rsidRPr="002A46F0">
        <w:rPr>
          <w:rFonts w:ascii="Times New Roman" w:hAnsi="Times New Roman" w:cs="Times New Roman"/>
          <w:sz w:val="24"/>
          <w:szCs w:val="24"/>
        </w:rPr>
        <w:t>Biji pepaya memiliki senyawa metabolit sekunder,</w:t>
      </w:r>
      <w:r w:rsidR="001216A3">
        <w:rPr>
          <w:rFonts w:ascii="Times New Roman" w:hAnsi="Times New Roman" w:cs="Times New Roman"/>
          <w:sz w:val="24"/>
          <w:szCs w:val="24"/>
        </w:rPr>
        <w:t xml:space="preserve"> </w:t>
      </w:r>
      <w:r w:rsidRPr="002A46F0">
        <w:rPr>
          <w:rFonts w:ascii="Times New Roman" w:hAnsi="Times New Roman" w:cs="Times New Roman"/>
          <w:sz w:val="24"/>
          <w:szCs w:val="24"/>
        </w:rPr>
        <w:t>seperti golongan fenol, terpenoid, alkaloid, dan saponin</w:t>
      </w:r>
      <w:r>
        <w:rPr>
          <w:rFonts w:ascii="Times New Roman" w:hAnsi="Times New Roman" w:cs="Times New Roman"/>
          <w:sz w:val="24"/>
          <w:szCs w:val="24"/>
        </w:rPr>
        <w:t>.</w:t>
      </w:r>
      <w:r w:rsidR="0050423F">
        <w:rPr>
          <w:rFonts w:ascii="Times New Roman" w:hAnsi="Times New Roman" w:cs="Times New Roman"/>
          <w:sz w:val="24"/>
          <w:szCs w:val="24"/>
          <w:lang w:val="id-ID"/>
        </w:rPr>
        <w:t xml:space="preserve"> </w:t>
      </w:r>
      <w:r>
        <w:rPr>
          <w:rFonts w:ascii="Times New Roman" w:hAnsi="Times New Roman" w:cs="Times New Roman"/>
          <w:sz w:val="24"/>
          <w:szCs w:val="24"/>
        </w:rPr>
        <w:t xml:space="preserve">Zat aktif yang bersifat toksik pada penelitian ini yaitu senyawa alkaloid. Selain itu, pada hasil GC-MS biji pepaya ‘California’ dan ‘Bangkok’ yang telah dilakukan oleh Awaliah, Fitri &amp; Radiastuti (2019) bahwa didapatkan senyawa </w:t>
      </w:r>
      <w:r w:rsidRPr="00BF6D74">
        <w:rPr>
          <w:rFonts w:ascii="Times New Roman" w:hAnsi="Times New Roman" w:cs="Times New Roman"/>
          <w:i/>
          <w:sz w:val="24"/>
          <w:szCs w:val="24"/>
        </w:rPr>
        <w:t>Dodecanoic acid</w:t>
      </w:r>
      <w:r>
        <w:rPr>
          <w:rFonts w:ascii="Times New Roman" w:hAnsi="Times New Roman" w:cs="Times New Roman"/>
          <w:sz w:val="24"/>
          <w:szCs w:val="24"/>
        </w:rPr>
        <w:t xml:space="preserve"> (HO</w:t>
      </w:r>
      <w:r w:rsidRPr="005C2E4D">
        <w:rPr>
          <w:rFonts w:ascii="Times New Roman" w:hAnsi="Times New Roman" w:cs="Times New Roman"/>
          <w:sz w:val="24"/>
          <w:szCs w:val="24"/>
          <w:vertAlign w:val="subscript"/>
        </w:rPr>
        <w:t>2</w:t>
      </w:r>
      <w:r>
        <w:rPr>
          <w:rFonts w:ascii="Times New Roman" w:hAnsi="Times New Roman" w:cs="Times New Roman"/>
          <w:sz w:val="24"/>
          <w:szCs w:val="24"/>
        </w:rPr>
        <w:t>C (CH</w:t>
      </w:r>
      <w:r w:rsidRPr="005C2E4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CB37A1">
        <w:rPr>
          <w:rFonts w:ascii="Times New Roman" w:hAnsi="Times New Roman" w:cs="Times New Roman"/>
          <w:sz w:val="24"/>
          <w:szCs w:val="24"/>
          <w:vertAlign w:val="subscript"/>
        </w:rPr>
        <w:t>10</w:t>
      </w:r>
      <w:r>
        <w:rPr>
          <w:rFonts w:ascii="Times New Roman" w:hAnsi="Times New Roman" w:cs="Times New Roman"/>
          <w:sz w:val="24"/>
          <w:szCs w:val="24"/>
        </w:rPr>
        <w:t xml:space="preserve">Me), </w:t>
      </w:r>
      <w:r w:rsidRPr="00BF6D74">
        <w:rPr>
          <w:rFonts w:ascii="Times New Roman" w:hAnsi="Times New Roman" w:cs="Times New Roman"/>
          <w:i/>
          <w:sz w:val="24"/>
          <w:szCs w:val="24"/>
        </w:rPr>
        <w:t>Phenol</w:t>
      </w:r>
      <w:r>
        <w:rPr>
          <w:rFonts w:ascii="Times New Roman" w:hAnsi="Times New Roman" w:cs="Times New Roman"/>
          <w:sz w:val="24"/>
          <w:szCs w:val="24"/>
        </w:rPr>
        <w:t xml:space="preserve">, 2,4-bis, </w:t>
      </w:r>
      <w:r w:rsidRPr="00BF6D74">
        <w:rPr>
          <w:rFonts w:ascii="Times New Roman" w:hAnsi="Times New Roman" w:cs="Times New Roman"/>
          <w:i/>
          <w:sz w:val="24"/>
          <w:szCs w:val="24"/>
        </w:rPr>
        <w:t>Methyl ester of Benzylcarbamic acid</w:t>
      </w:r>
      <w:r>
        <w:rPr>
          <w:rFonts w:ascii="Times New Roman" w:hAnsi="Times New Roman" w:cs="Times New Roman"/>
          <w:sz w:val="24"/>
          <w:szCs w:val="24"/>
        </w:rPr>
        <w:t>, 3,7,11,15-</w:t>
      </w:r>
      <w:r w:rsidRPr="00BF6D74">
        <w:rPr>
          <w:rFonts w:ascii="Times New Roman" w:hAnsi="Times New Roman" w:cs="Times New Roman"/>
          <w:i/>
          <w:sz w:val="24"/>
          <w:szCs w:val="24"/>
        </w:rPr>
        <w:t>Tetramethyl</w:t>
      </w:r>
      <w:r w:rsidRPr="00BF6D74">
        <w:rPr>
          <w:rFonts w:ascii="Times New Roman" w:hAnsi="Times New Roman" w:cs="Times New Roman"/>
          <w:sz w:val="24"/>
          <w:szCs w:val="24"/>
        </w:rPr>
        <w:t>-2-</w:t>
      </w:r>
      <w:r w:rsidRPr="00BF6D74">
        <w:rPr>
          <w:rFonts w:ascii="Times New Roman" w:hAnsi="Times New Roman" w:cs="Times New Roman"/>
          <w:i/>
          <w:sz w:val="24"/>
          <w:szCs w:val="24"/>
        </w:rPr>
        <w:t>hexadecen</w:t>
      </w:r>
      <w:r w:rsidRPr="00BF6D74">
        <w:rPr>
          <w:rFonts w:ascii="Times New Roman" w:hAnsi="Times New Roman" w:cs="Times New Roman"/>
          <w:sz w:val="24"/>
          <w:szCs w:val="24"/>
        </w:rPr>
        <w:t>-1</w:t>
      </w:r>
      <w:r>
        <w:rPr>
          <w:rFonts w:ascii="Times New Roman" w:hAnsi="Times New Roman" w:cs="Times New Roman"/>
          <w:sz w:val="24"/>
          <w:szCs w:val="24"/>
        </w:rPr>
        <w:t>, senyawa dari kedua varietas tersebut dapat berpotensi toksik (Wishart, Feunang, Marcu, Guo &amp; Liang, 2013). Senyawa toksik yang terdapat pada biji pepaya perlu dilakukan pengujian toksisitas terhadap hewan mamalia.</w:t>
      </w:r>
    </w:p>
    <w:p w14:paraId="2ECA2626" w14:textId="77777777" w:rsidR="007923E4" w:rsidRPr="00735D0E" w:rsidRDefault="007923E4" w:rsidP="007923E4">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Kandungan dalam senyawa toksik diduga dapat merusak hati.</w:t>
      </w:r>
      <w:r w:rsidR="0028177C">
        <w:rPr>
          <w:rFonts w:ascii="Times New Roman" w:hAnsi="Times New Roman" w:cs="Times New Roman"/>
          <w:sz w:val="24"/>
          <w:szCs w:val="24"/>
        </w:rPr>
        <w:t xml:space="preserve"> </w:t>
      </w:r>
      <w:r>
        <w:rPr>
          <w:rFonts w:ascii="Times New Roman" w:hAnsi="Times New Roman" w:cs="Times New Roman"/>
          <w:sz w:val="24"/>
          <w:szCs w:val="24"/>
        </w:rPr>
        <w:t xml:space="preserve">Pemilihan hati sebagai organ sasaran yang mungkin dirusak oleh adanya efek toksik dari biji pepaya, dikarenakan hati merupakan organ tubuh yang rentan terhadap pengaruh bahan toksik. Oleh karena itu, dalam penelitian ini dilakukan uji </w:t>
      </w:r>
      <w:r w:rsidRPr="00BF6D74">
        <w:rPr>
          <w:rFonts w:ascii="Times New Roman" w:hAnsi="Times New Roman" w:cs="Times New Roman"/>
          <w:i/>
          <w:sz w:val="24"/>
          <w:szCs w:val="24"/>
        </w:rPr>
        <w:t>Serum Glutamat</w:t>
      </w:r>
      <w:r w:rsidR="00C250B1">
        <w:rPr>
          <w:rFonts w:ascii="Times New Roman" w:hAnsi="Times New Roman" w:cs="Times New Roman"/>
          <w:i/>
          <w:sz w:val="24"/>
          <w:szCs w:val="24"/>
        </w:rPr>
        <w:t xml:space="preserve"> </w:t>
      </w:r>
      <w:r w:rsidRPr="00BF6D74">
        <w:rPr>
          <w:rFonts w:ascii="Times New Roman" w:hAnsi="Times New Roman" w:cs="Times New Roman"/>
          <w:i/>
          <w:sz w:val="24"/>
          <w:szCs w:val="24"/>
        </w:rPr>
        <w:t>Piruvat Transaminase</w:t>
      </w:r>
      <w:r>
        <w:rPr>
          <w:rFonts w:ascii="Times New Roman" w:hAnsi="Times New Roman" w:cs="Times New Roman"/>
          <w:sz w:val="24"/>
          <w:szCs w:val="24"/>
        </w:rPr>
        <w:t xml:space="preserve"> (SGPT) dan </w:t>
      </w:r>
      <w:r w:rsidRPr="00BF6D74">
        <w:rPr>
          <w:rFonts w:ascii="Times New Roman" w:hAnsi="Times New Roman" w:cs="Times New Roman"/>
          <w:i/>
          <w:sz w:val="24"/>
          <w:szCs w:val="24"/>
        </w:rPr>
        <w:t>Serum Glutamat Oksaloasetat Transminase</w:t>
      </w:r>
      <w:r>
        <w:rPr>
          <w:rFonts w:ascii="Times New Roman" w:hAnsi="Times New Roman" w:cs="Times New Roman"/>
          <w:sz w:val="24"/>
          <w:szCs w:val="24"/>
        </w:rPr>
        <w:t xml:space="preserve"> (SGOT) pada serum mencit, pembedahan dan pengamatan organ viseral mencit seperti hati, jantung, ginjal, paru-paru, lambung, usus, pankreas dan limpa. </w:t>
      </w:r>
    </w:p>
    <w:p w14:paraId="1C265A8C" w14:textId="32C683C1" w:rsidR="007923E4" w:rsidRPr="00E36037" w:rsidRDefault="007923E4" w:rsidP="00E36037">
      <w:pPr>
        <w:autoSpaceDE w:val="0"/>
        <w:autoSpaceDN w:val="0"/>
        <w:adjustRightInd w:val="0"/>
        <w:spacing w:after="0"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ab/>
        <w:t>Uji toksisitas perlu dilakukan, adapun beberapa uji toksisitas adalah uji toksisitas akut, subakut, dan kronik.</w:t>
      </w:r>
      <w:r w:rsidR="0028177C">
        <w:rPr>
          <w:rFonts w:ascii="Times New Roman" w:hAnsi="Times New Roman" w:cs="Times New Roman"/>
          <w:sz w:val="24"/>
          <w:szCs w:val="24"/>
        </w:rPr>
        <w:t xml:space="preserve"> </w:t>
      </w:r>
      <w:r>
        <w:rPr>
          <w:rFonts w:ascii="Times New Roman" w:hAnsi="Times New Roman" w:cs="Times New Roman"/>
          <w:sz w:val="24"/>
          <w:szCs w:val="24"/>
        </w:rPr>
        <w:t>Uji toksisitas akut adalah uji yang pertama kali dilakukan terhadap suatu agensia.</w:t>
      </w:r>
      <w:r w:rsidR="0028177C">
        <w:rPr>
          <w:rFonts w:ascii="Times New Roman" w:hAnsi="Times New Roman" w:cs="Times New Roman"/>
          <w:sz w:val="24"/>
          <w:szCs w:val="24"/>
        </w:rPr>
        <w:t xml:space="preserve"> </w:t>
      </w:r>
      <w:r>
        <w:rPr>
          <w:rFonts w:ascii="Times New Roman" w:hAnsi="Times New Roman" w:cs="Times New Roman"/>
          <w:sz w:val="24"/>
          <w:szCs w:val="24"/>
        </w:rPr>
        <w:t>Uji toksisitas subakut adalah pendedahan dosis secara berulang yang dilakukan hingga 30 hari.</w:t>
      </w:r>
      <w:r w:rsidR="0028177C">
        <w:rPr>
          <w:rFonts w:ascii="Times New Roman" w:hAnsi="Times New Roman" w:cs="Times New Roman"/>
          <w:sz w:val="24"/>
          <w:szCs w:val="24"/>
        </w:rPr>
        <w:t xml:space="preserve"> </w:t>
      </w:r>
      <w:r>
        <w:rPr>
          <w:rFonts w:ascii="Times New Roman" w:hAnsi="Times New Roman" w:cs="Times New Roman"/>
          <w:sz w:val="24"/>
          <w:szCs w:val="24"/>
        </w:rPr>
        <w:t xml:space="preserve">Uji toksisitas kronik adalah </w:t>
      </w:r>
      <w:r>
        <w:rPr>
          <w:rFonts w:ascii="Times New Roman" w:hAnsi="Times New Roman" w:cs="Times New Roman"/>
          <w:sz w:val="24"/>
          <w:szCs w:val="24"/>
        </w:rPr>
        <w:lastRenderedPageBreak/>
        <w:t>pendedahan dosis secara berulang lebih dari tiga bulan (BPOM, 2014). Namun pada penelitian ini uji toksisitas akut tidak dilakukan, dikarenakan menurut penelitian Umana (2013) &amp; Kanadi (2019) yang telah dilakukan bahwa uji toksisitas akut selama 96 jam dengan dosis tertinggi yaitu 5000 mg/kg b.b tidak didapatkan adanya kematian dan perubahan perilaku pada hewan uji mencit. O</w:t>
      </w:r>
      <w:r w:rsidRPr="00001530">
        <w:rPr>
          <w:rFonts w:ascii="Times New Roman" w:hAnsi="Times New Roman" w:cs="Times New Roman"/>
          <w:sz w:val="24"/>
          <w:szCs w:val="24"/>
        </w:rPr>
        <w:t>leh karena uji toksisitas akut tidak menghasilkan kematian, perlu dilakukan uji toksisitas berikutnya yaitu uji toksisitas subakut untuk mengetahui efek</w:t>
      </w:r>
      <w:r w:rsidR="00C250B1">
        <w:rPr>
          <w:rFonts w:ascii="Times New Roman" w:hAnsi="Times New Roman" w:cs="Times New Roman"/>
          <w:sz w:val="24"/>
          <w:szCs w:val="24"/>
        </w:rPr>
        <w:t xml:space="preserve"> akumulatif ekstrak biji papaya. </w:t>
      </w:r>
      <w:r w:rsidRPr="00001530">
        <w:rPr>
          <w:rFonts w:ascii="Times New Roman" w:hAnsi="Times New Roman" w:cs="Times New Roman"/>
          <w:sz w:val="24"/>
          <w:szCs w:val="24"/>
        </w:rPr>
        <w:t>Selain itu, telah dipaparkan bahwa organ yang rentan terhadap paparan senyawa toksik di antaranya yaitu hati. Oleh karena itu pada penelitian i</w:t>
      </w:r>
      <w:r>
        <w:rPr>
          <w:rFonts w:ascii="Times New Roman" w:hAnsi="Times New Roman" w:cs="Times New Roman"/>
          <w:sz w:val="24"/>
          <w:szCs w:val="24"/>
        </w:rPr>
        <w:t>ni dilakukan uji toksisitas sub</w:t>
      </w:r>
      <w:r w:rsidRPr="00001530">
        <w:rPr>
          <w:rFonts w:ascii="Times New Roman" w:hAnsi="Times New Roman" w:cs="Times New Roman"/>
          <w:sz w:val="24"/>
          <w:szCs w:val="24"/>
        </w:rPr>
        <w:t xml:space="preserve">akut ekstrak biji papaya </w:t>
      </w:r>
      <w:r>
        <w:rPr>
          <w:rFonts w:ascii="Times New Roman" w:hAnsi="Times New Roman" w:cs="Times New Roman"/>
          <w:sz w:val="24"/>
          <w:szCs w:val="24"/>
        </w:rPr>
        <w:t xml:space="preserve">‘California’ dan ‘Bangkok’ terhadap hati mencit. </w:t>
      </w:r>
      <w:r w:rsidR="00AB2FEA">
        <w:rPr>
          <w:rFonts w:ascii="Times New Roman" w:hAnsi="Times New Roman" w:cs="Times New Roman"/>
          <w:sz w:val="24"/>
          <w:szCs w:val="24"/>
        </w:rPr>
        <w:t xml:space="preserve">Metode kuantitatif berupa penentuan </w:t>
      </w:r>
      <w:r w:rsidR="00AB2FEA" w:rsidRPr="006219AE">
        <w:rPr>
          <w:rFonts w:ascii="Times New Roman" w:hAnsi="Times New Roman" w:cs="Times New Roman"/>
          <w:i/>
          <w:sz w:val="24"/>
          <w:szCs w:val="24"/>
        </w:rPr>
        <w:t>lethal dose</w:t>
      </w:r>
      <w:r w:rsidR="00AB2FEA" w:rsidRPr="006219AE">
        <w:rPr>
          <w:rFonts w:ascii="Times New Roman" w:hAnsi="Times New Roman" w:cs="Times New Roman"/>
          <w:i/>
          <w:sz w:val="24"/>
          <w:szCs w:val="24"/>
          <w:vertAlign w:val="subscript"/>
        </w:rPr>
        <w:t>50</w:t>
      </w:r>
      <w:r w:rsidR="00AB2FEA">
        <w:rPr>
          <w:rFonts w:ascii="Times New Roman" w:hAnsi="Times New Roman" w:cs="Times New Roman"/>
          <w:i/>
          <w:sz w:val="24"/>
          <w:szCs w:val="24"/>
          <w:vertAlign w:val="subscript"/>
        </w:rPr>
        <w:t xml:space="preserve"> </w:t>
      </w:r>
      <w:r w:rsidR="00AB2FEA">
        <w:rPr>
          <w:rFonts w:ascii="Times New Roman" w:hAnsi="Times New Roman" w:cs="Times New Roman"/>
          <w:sz w:val="24"/>
          <w:szCs w:val="24"/>
        </w:rPr>
        <w:t>(LD</w:t>
      </w:r>
      <w:r w:rsidR="00AB2FEA">
        <w:rPr>
          <w:rFonts w:ascii="Times New Roman" w:hAnsi="Times New Roman" w:cs="Times New Roman"/>
          <w:sz w:val="24"/>
          <w:szCs w:val="24"/>
          <w:vertAlign w:val="subscript"/>
        </w:rPr>
        <w:t>50</w:t>
      </w:r>
      <w:r w:rsidR="00AB2FEA">
        <w:rPr>
          <w:rFonts w:ascii="Times New Roman" w:hAnsi="Times New Roman" w:cs="Times New Roman"/>
          <w:sz w:val="24"/>
          <w:szCs w:val="24"/>
        </w:rPr>
        <w:t xml:space="preserve">) merupakan metode sering yang digunakan dalam penilaian uji toksisitas akut </w:t>
      </w:r>
      <w:r w:rsidR="00E36037">
        <w:rPr>
          <w:rFonts w:ascii="Times New Roman" w:hAnsi="Times New Roman" w:cs="Times New Roman"/>
          <w:sz w:val="24"/>
          <w:szCs w:val="24"/>
          <w:lang w:val="id-ID"/>
        </w:rPr>
        <w:t xml:space="preserve">. </w:t>
      </w:r>
      <w:r w:rsidR="00AB2FEA" w:rsidRPr="00E36037">
        <w:rPr>
          <w:rFonts w:ascii="Times New Roman" w:hAnsi="Times New Roman" w:cs="Times New Roman"/>
          <w:sz w:val="24"/>
          <w:szCs w:val="24"/>
          <w:lang w:val="id-ID"/>
        </w:rPr>
        <w:t>Hasil LD</w:t>
      </w:r>
      <w:r w:rsidR="00AB2FEA" w:rsidRPr="00E36037">
        <w:rPr>
          <w:rFonts w:ascii="Times New Roman" w:hAnsi="Times New Roman" w:cs="Times New Roman"/>
          <w:sz w:val="24"/>
          <w:szCs w:val="24"/>
          <w:vertAlign w:val="subscript"/>
          <w:lang w:val="id-ID"/>
        </w:rPr>
        <w:t xml:space="preserve">50 </w:t>
      </w:r>
      <w:r w:rsidR="00AB2FEA" w:rsidRPr="00E36037">
        <w:rPr>
          <w:rFonts w:ascii="Times New Roman" w:hAnsi="Times New Roman" w:cs="Times New Roman"/>
          <w:sz w:val="24"/>
          <w:szCs w:val="24"/>
          <w:lang w:val="id-ID"/>
        </w:rPr>
        <w:t>dapat menentukan kriteria penggolongan derajat toksisitas substansi fitofarmaka yang diklasifikasikan menjadi luar biasa toksik, sangat toksik, toksik sedang, toksik ringan, praktis tidak toksik, dan relatif tidak membahayakan</w:t>
      </w:r>
      <w:r w:rsidR="00E36037">
        <w:rPr>
          <w:rFonts w:ascii="Times New Roman" w:hAnsi="Times New Roman" w:cs="Times New Roman"/>
          <w:sz w:val="24"/>
          <w:szCs w:val="24"/>
          <w:lang w:val="id-ID"/>
        </w:rPr>
        <w:t xml:space="preserve"> </w:t>
      </w:r>
      <w:r w:rsidR="00E36037" w:rsidRPr="00E36037">
        <w:rPr>
          <w:rFonts w:ascii="Times New Roman" w:hAnsi="Times New Roman" w:cs="Times New Roman"/>
          <w:sz w:val="24"/>
          <w:szCs w:val="24"/>
          <w:lang w:val="id-ID"/>
        </w:rPr>
        <w:t>(Paramveer, 2010).</w:t>
      </w:r>
    </w:p>
    <w:p w14:paraId="066C5F11" w14:textId="6CCBC9F1" w:rsidR="007923E4" w:rsidRPr="00EE7871" w:rsidRDefault="00620739" w:rsidP="007923E4">
      <w:pPr>
        <w:autoSpaceDE w:val="0"/>
        <w:autoSpaceDN w:val="0"/>
        <w:adjustRightInd w:val="0"/>
        <w:spacing w:after="0" w:line="360" w:lineRule="auto"/>
        <w:contextualSpacing/>
        <w:jc w:val="both"/>
        <w:rPr>
          <w:rFonts w:ascii="Times New Roman" w:hAnsi="Times New Roman" w:cs="Times New Roman"/>
          <w:sz w:val="24"/>
          <w:szCs w:val="24"/>
        </w:rPr>
      </w:pPr>
      <w:r w:rsidRPr="00E36037">
        <w:rPr>
          <w:rFonts w:ascii="Times New Roman" w:hAnsi="Times New Roman" w:cs="Times New Roman"/>
          <w:sz w:val="24"/>
          <w:szCs w:val="24"/>
          <w:lang w:val="id-ID"/>
        </w:rPr>
        <w:tab/>
      </w:r>
      <w:r>
        <w:rPr>
          <w:rFonts w:ascii="Times New Roman" w:hAnsi="Times New Roman" w:cs="Times New Roman"/>
          <w:sz w:val="24"/>
          <w:szCs w:val="24"/>
          <w:lang w:val="id-ID"/>
        </w:rPr>
        <w:t>U</w:t>
      </w:r>
      <w:r w:rsidR="007923E4">
        <w:rPr>
          <w:rFonts w:ascii="Times New Roman" w:hAnsi="Times New Roman" w:cs="Times New Roman"/>
          <w:sz w:val="24"/>
          <w:szCs w:val="24"/>
        </w:rPr>
        <w:t xml:space="preserve">ji toksisitas subakut ini dilakukan pengamatan berat badan dan kondisi fisik mencit, seperti kulit dan rambut, mata dan mukosa, pernapasan, aktivitas dan motorik, tremor, salivasi, diare dan letargi setelah didedahkan ekstrak biji pepaya ‘California’ dan ‘Bangkok’ dengan konsentrasi 4, 6, dan 8% (b/v) selama 28 hari. Uji toksisitas subakut dilakukan dengan pemeriksaan serum darah mencit untuk mengetahui derajat kerusakan yang mungkin ditimbulkan akibat pemberian ekstrak biji pepaya dalam  jangka waktu  tertentu dan peningkatan aktivitas enzim SGPT dan SGOT. Pada penelitian toksisitas subakut ekstrak biji pepaya terhadap aktivitas enzim </w:t>
      </w:r>
      <w:r w:rsidR="007923E4" w:rsidRPr="006B06D6">
        <w:rPr>
          <w:rFonts w:ascii="Times New Roman" w:hAnsi="Times New Roman" w:cs="Times New Roman"/>
          <w:i/>
          <w:sz w:val="24"/>
          <w:szCs w:val="24"/>
        </w:rPr>
        <w:t xml:space="preserve">Serum Glutamic Oxaloasetic Transminase </w:t>
      </w:r>
      <w:r w:rsidR="007923E4">
        <w:rPr>
          <w:rFonts w:ascii="Times New Roman" w:hAnsi="Times New Roman" w:cs="Times New Roman"/>
          <w:sz w:val="24"/>
          <w:szCs w:val="24"/>
        </w:rPr>
        <w:t xml:space="preserve">(SGOT) dan </w:t>
      </w:r>
      <w:r w:rsidR="007923E4" w:rsidRPr="00035F72">
        <w:rPr>
          <w:rFonts w:ascii="Times New Roman" w:hAnsi="Times New Roman" w:cs="Times New Roman"/>
          <w:i/>
          <w:iCs/>
          <w:sz w:val="24"/>
          <w:szCs w:val="24"/>
        </w:rPr>
        <w:t>Serum Glutamic Pyruvic Transminase</w:t>
      </w:r>
      <w:r w:rsidR="00D44DA5">
        <w:rPr>
          <w:rFonts w:ascii="Times New Roman" w:hAnsi="Times New Roman" w:cs="Times New Roman"/>
          <w:i/>
          <w:iCs/>
          <w:sz w:val="24"/>
          <w:szCs w:val="24"/>
        </w:rPr>
        <w:t xml:space="preserve"> </w:t>
      </w:r>
      <w:r w:rsidR="007923E4">
        <w:rPr>
          <w:rFonts w:ascii="Times New Roman" w:hAnsi="Times New Roman" w:cs="Times New Roman"/>
          <w:sz w:val="24"/>
          <w:szCs w:val="24"/>
        </w:rPr>
        <w:t xml:space="preserve">(SGPT) yang telah dilakukan oleh Safwan, Abdul, Ali &amp; Ni, </w:t>
      </w:r>
      <w:r>
        <w:rPr>
          <w:rFonts w:ascii="Times New Roman" w:hAnsi="Times New Roman" w:cs="Times New Roman"/>
          <w:sz w:val="24"/>
          <w:szCs w:val="24"/>
          <w:lang w:val="id-ID"/>
        </w:rPr>
        <w:t>(</w:t>
      </w:r>
      <w:r w:rsidR="007923E4">
        <w:rPr>
          <w:rFonts w:ascii="Times New Roman" w:hAnsi="Times New Roman" w:cs="Times New Roman"/>
          <w:sz w:val="24"/>
          <w:szCs w:val="24"/>
        </w:rPr>
        <w:t>2017</w:t>
      </w:r>
      <w:r>
        <w:rPr>
          <w:rFonts w:ascii="Times New Roman" w:hAnsi="Times New Roman" w:cs="Times New Roman"/>
          <w:sz w:val="24"/>
          <w:szCs w:val="24"/>
          <w:lang w:val="id-ID"/>
        </w:rPr>
        <w:t>)</w:t>
      </w:r>
      <w:r w:rsidR="007923E4">
        <w:rPr>
          <w:rFonts w:ascii="Times New Roman" w:hAnsi="Times New Roman" w:cs="Times New Roman"/>
          <w:sz w:val="24"/>
          <w:szCs w:val="24"/>
        </w:rPr>
        <w:t xml:space="preserve"> menggunakan biji pepaya ya</w:t>
      </w:r>
      <w:r w:rsidR="00A953BD">
        <w:rPr>
          <w:rFonts w:ascii="Times New Roman" w:hAnsi="Times New Roman" w:cs="Times New Roman"/>
          <w:sz w:val="24"/>
          <w:szCs w:val="24"/>
        </w:rPr>
        <w:t xml:space="preserve">ng belum diketahui varietasnya. </w:t>
      </w:r>
      <w:r w:rsidR="007923E4">
        <w:rPr>
          <w:rFonts w:ascii="Times New Roman" w:hAnsi="Times New Roman" w:cs="Times New Roman"/>
          <w:sz w:val="24"/>
          <w:szCs w:val="24"/>
        </w:rPr>
        <w:t>Hasil dari penelitian tersebut menunjukkan bahwa pemberian ekstrak biji pepaya dengan dosis 50 mg/kg b.b, 500 mg/kg b.b, dan 5000 mg/kg b.b selama 28 hari tidak menunjukkan peningkatan aktivitas SGPT dan SGOT. Namun dalam penelitian ini sudah diketahui varietasnya yaitu ‘California’</w:t>
      </w:r>
      <w:r>
        <w:rPr>
          <w:rFonts w:ascii="Times New Roman" w:hAnsi="Times New Roman" w:cs="Times New Roman"/>
          <w:sz w:val="24"/>
          <w:szCs w:val="24"/>
        </w:rPr>
        <w:t xml:space="preserve"> dan ‘Bangkok’ dan</w:t>
      </w:r>
      <w:r w:rsidR="007923E4">
        <w:rPr>
          <w:rFonts w:ascii="Times New Roman" w:hAnsi="Times New Roman" w:cs="Times New Roman"/>
          <w:sz w:val="24"/>
          <w:szCs w:val="24"/>
        </w:rPr>
        <w:t xml:space="preserve"> pemberian konsentrasinya yaitu 4, 6, dan 8% (b/v). </w:t>
      </w:r>
    </w:p>
    <w:p w14:paraId="0687B71E" w14:textId="0FEB9BC9" w:rsidR="007923E4" w:rsidRPr="007923E4" w:rsidRDefault="007923E4" w:rsidP="007923E4">
      <w:pPr>
        <w:pStyle w:val="BodyText"/>
        <w:kinsoku w:val="0"/>
        <w:overflowPunct w:val="0"/>
        <w:spacing w:before="69" w:line="360" w:lineRule="auto"/>
        <w:ind w:left="8" w:right="115" w:firstLine="712"/>
        <w:contextualSpacing/>
        <w:jc w:val="both"/>
        <w:rPr>
          <w:color w:val="000000" w:themeColor="text1"/>
        </w:rPr>
      </w:pPr>
      <w:r w:rsidRPr="00EC563D">
        <w:rPr>
          <w:color w:val="000000" w:themeColor="text1"/>
        </w:rPr>
        <w:lastRenderedPageBreak/>
        <w:t xml:space="preserve">Pengujian toksisitas </w:t>
      </w:r>
      <w:r>
        <w:rPr>
          <w:color w:val="000000" w:themeColor="text1"/>
        </w:rPr>
        <w:t xml:space="preserve">subakut </w:t>
      </w:r>
      <w:r w:rsidR="00A953BD">
        <w:rPr>
          <w:color w:val="000000" w:themeColor="text1"/>
        </w:rPr>
        <w:t xml:space="preserve">ini </w:t>
      </w:r>
      <w:r>
        <w:rPr>
          <w:color w:val="000000" w:themeColor="text1"/>
        </w:rPr>
        <w:t xml:space="preserve">bertujuan </w:t>
      </w:r>
      <w:r w:rsidRPr="00EC563D">
        <w:rPr>
          <w:color w:val="000000" w:themeColor="text1"/>
        </w:rPr>
        <w:t>untuk mengetahui tingkat dosis keamanan dan efek samping</w:t>
      </w:r>
      <w:r>
        <w:rPr>
          <w:color w:val="000000" w:themeColor="text1"/>
        </w:rPr>
        <w:t xml:space="preserve"> yang ditimbulkan</w:t>
      </w:r>
      <w:r w:rsidRPr="00EC563D">
        <w:rPr>
          <w:color w:val="000000" w:themeColor="text1"/>
        </w:rPr>
        <w:t xml:space="preserve"> dari </w:t>
      </w:r>
      <w:r>
        <w:rPr>
          <w:color w:val="000000" w:themeColor="text1"/>
        </w:rPr>
        <w:t>biji pepaya ‘C</w:t>
      </w:r>
      <w:r w:rsidRPr="00EC563D">
        <w:rPr>
          <w:color w:val="000000" w:themeColor="text1"/>
        </w:rPr>
        <w:t>alifornia</w:t>
      </w:r>
      <w:r>
        <w:rPr>
          <w:color w:val="000000" w:themeColor="text1"/>
        </w:rPr>
        <w:t>’</w:t>
      </w:r>
      <w:r w:rsidRPr="00EC563D">
        <w:rPr>
          <w:color w:val="000000" w:themeColor="text1"/>
        </w:rPr>
        <w:t xml:space="preserve"> dan biji pepaya </w:t>
      </w:r>
      <w:r>
        <w:rPr>
          <w:color w:val="000000" w:themeColor="text1"/>
        </w:rPr>
        <w:t>‘B</w:t>
      </w:r>
      <w:r w:rsidRPr="00EC563D">
        <w:rPr>
          <w:color w:val="000000" w:themeColor="text1"/>
          <w:lang w:val="id-ID"/>
        </w:rPr>
        <w:t>angkok</w:t>
      </w:r>
      <w:r>
        <w:rPr>
          <w:color w:val="000000" w:themeColor="text1"/>
        </w:rPr>
        <w:t>’</w:t>
      </w:r>
      <w:r w:rsidR="001216A3">
        <w:rPr>
          <w:color w:val="000000" w:themeColor="text1"/>
        </w:rPr>
        <w:t>, s</w:t>
      </w:r>
      <w:r w:rsidRPr="00EC563D">
        <w:rPr>
          <w:color w:val="000000" w:themeColor="text1"/>
        </w:rPr>
        <w:t xml:space="preserve">ehingga </w:t>
      </w:r>
      <w:r>
        <w:rPr>
          <w:color w:val="000000" w:themeColor="text1"/>
        </w:rPr>
        <w:t>serbuk</w:t>
      </w:r>
      <w:r w:rsidRPr="00EC563D">
        <w:rPr>
          <w:color w:val="000000" w:themeColor="text1"/>
        </w:rPr>
        <w:t xml:space="preserve"> biji pepaya dapat digunakan sebagai </w:t>
      </w:r>
      <w:r>
        <w:rPr>
          <w:color w:val="000000" w:themeColor="text1"/>
        </w:rPr>
        <w:t xml:space="preserve">produk bahan </w:t>
      </w:r>
      <w:r w:rsidRPr="00EC563D">
        <w:rPr>
          <w:color w:val="000000" w:themeColor="text1"/>
        </w:rPr>
        <w:t xml:space="preserve">pengawet makanan terutama menjaga kesegaran </w:t>
      </w:r>
      <w:r>
        <w:rPr>
          <w:color w:val="000000" w:themeColor="text1"/>
        </w:rPr>
        <w:t xml:space="preserve">pada </w:t>
      </w:r>
      <w:r w:rsidRPr="00EC563D">
        <w:rPr>
          <w:color w:val="000000" w:themeColor="text1"/>
        </w:rPr>
        <w:t>ikan dan sejenisnya</w:t>
      </w:r>
      <w:r>
        <w:rPr>
          <w:color w:val="000000" w:themeColor="text1"/>
        </w:rPr>
        <w:t>.</w:t>
      </w:r>
      <w:r w:rsidR="00EC6429">
        <w:rPr>
          <w:color w:val="000000" w:themeColor="text1"/>
        </w:rPr>
        <w:t xml:space="preserve"> </w:t>
      </w:r>
      <w:r>
        <w:rPr>
          <w:color w:val="000000" w:themeColor="text1"/>
        </w:rPr>
        <w:t>Selain itu,</w:t>
      </w:r>
      <w:r w:rsidRPr="00EC563D">
        <w:rPr>
          <w:color w:val="000000" w:themeColor="text1"/>
        </w:rPr>
        <w:t xml:space="preserve"> dapat dimanfaatkan oleh masyarakat luas dan biji pepaya dari kedua varietas tersebut tidak lagi menjadi limbah yang terbuang.</w:t>
      </w:r>
    </w:p>
    <w:p w14:paraId="1F88A642" w14:textId="77777777" w:rsidR="00FB01F8" w:rsidRDefault="00FB01F8" w:rsidP="009E013C">
      <w:pPr>
        <w:spacing w:after="0" w:line="360" w:lineRule="auto"/>
        <w:jc w:val="both"/>
        <w:rPr>
          <w:rFonts w:ascii="Times New Roman" w:hAnsi="Times New Roman" w:cs="Times New Roman"/>
          <w:b/>
          <w:sz w:val="24"/>
          <w:szCs w:val="24"/>
          <w:lang w:val="en-ID"/>
        </w:rPr>
        <w:sectPr w:rsidR="00FB01F8" w:rsidSect="00E37003">
          <w:type w:val="continuous"/>
          <w:pgSz w:w="12240" w:h="15840" w:code="1"/>
          <w:pgMar w:top="1701" w:right="1701" w:bottom="1701" w:left="2268" w:header="708" w:footer="708" w:gutter="0"/>
          <w:cols w:space="708"/>
          <w:docGrid w:linePitch="360"/>
        </w:sectPr>
      </w:pPr>
    </w:p>
    <w:p w14:paraId="4405CC45" w14:textId="77777777" w:rsidR="001216A3" w:rsidRDefault="001216A3" w:rsidP="0050423F">
      <w:pPr>
        <w:spacing w:after="0" w:line="360" w:lineRule="auto"/>
        <w:jc w:val="both"/>
        <w:rPr>
          <w:rFonts w:ascii="Times New Roman" w:hAnsi="Times New Roman" w:cs="Times New Roman"/>
          <w:b/>
          <w:sz w:val="24"/>
          <w:szCs w:val="24"/>
          <w:lang w:val="en-ID"/>
        </w:rPr>
      </w:pPr>
    </w:p>
    <w:p w14:paraId="585EF9D5" w14:textId="77777777" w:rsidR="00FB01F8" w:rsidRPr="0050423F" w:rsidRDefault="002B54FA" w:rsidP="0050423F">
      <w:pPr>
        <w:spacing w:after="0" w:line="360" w:lineRule="auto"/>
        <w:jc w:val="both"/>
        <w:rPr>
          <w:rFonts w:ascii="Times New Roman" w:hAnsi="Times New Roman" w:cs="Times New Roman"/>
          <w:sz w:val="24"/>
          <w:szCs w:val="24"/>
          <w:lang w:val="id-ID"/>
        </w:rPr>
        <w:sectPr w:rsidR="00FB01F8" w:rsidRPr="0050423F" w:rsidSect="007923E4">
          <w:type w:val="continuous"/>
          <w:pgSz w:w="12240" w:h="15840" w:code="1"/>
          <w:pgMar w:top="1701" w:right="1701" w:bottom="1701" w:left="2268" w:header="708" w:footer="708" w:gutter="0"/>
          <w:cols w:space="708"/>
          <w:docGrid w:linePitch="360"/>
        </w:sectPr>
      </w:pPr>
      <w:r>
        <w:rPr>
          <w:rFonts w:ascii="Times New Roman" w:hAnsi="Times New Roman" w:cs="Times New Roman"/>
          <w:b/>
          <w:sz w:val="24"/>
          <w:szCs w:val="24"/>
          <w:lang w:val="en-ID"/>
        </w:rPr>
        <w:t xml:space="preserve">MATERIAL DAN </w:t>
      </w:r>
      <w:bookmarkStart w:id="0" w:name="_Toc524398"/>
      <w:r w:rsidR="0050423F">
        <w:rPr>
          <w:rFonts w:ascii="Times New Roman" w:hAnsi="Times New Roman" w:cs="Times New Roman"/>
          <w:b/>
          <w:sz w:val="24"/>
          <w:szCs w:val="24"/>
          <w:lang w:val="en-ID"/>
        </w:rPr>
        <w:t>METOD</w:t>
      </w:r>
      <w:r w:rsidR="0050423F">
        <w:rPr>
          <w:rFonts w:ascii="Times New Roman" w:hAnsi="Times New Roman" w:cs="Times New Roman"/>
          <w:b/>
          <w:sz w:val="24"/>
          <w:szCs w:val="24"/>
          <w:lang w:val="id-ID"/>
        </w:rPr>
        <w:t>E</w:t>
      </w:r>
    </w:p>
    <w:p w14:paraId="6819DB36" w14:textId="77777777" w:rsidR="00FB01F8" w:rsidRDefault="009E013C" w:rsidP="0050423F">
      <w:pPr>
        <w:tabs>
          <w:tab w:val="left" w:pos="5130"/>
        </w:tabs>
        <w:spacing w:line="360" w:lineRule="auto"/>
        <w:ind w:firstLine="630"/>
        <w:contextualSpacing/>
        <w:jc w:val="both"/>
        <w:rPr>
          <w:rFonts w:ascii="Times New Roman" w:hAnsi="Times New Roman" w:cs="Times New Roman"/>
          <w:sz w:val="24"/>
          <w:szCs w:val="24"/>
          <w:lang w:val="id-ID"/>
        </w:rPr>
      </w:pPr>
      <w:r w:rsidRPr="006639DD">
        <w:rPr>
          <w:rFonts w:ascii="Times New Roman" w:hAnsi="Times New Roman" w:cs="Times New Roman"/>
          <w:sz w:val="24"/>
          <w:szCs w:val="24"/>
        </w:rPr>
        <w:t>Bahan yang digunakan</w:t>
      </w:r>
      <w:r w:rsidR="00C902EC">
        <w:rPr>
          <w:rFonts w:ascii="Times New Roman" w:hAnsi="Times New Roman" w:cs="Times New Roman"/>
          <w:sz w:val="24"/>
          <w:szCs w:val="24"/>
        </w:rPr>
        <w:t xml:space="preserve"> </w:t>
      </w:r>
      <w:r w:rsidRPr="006639DD">
        <w:rPr>
          <w:rFonts w:ascii="Times New Roman" w:hAnsi="Times New Roman" w:cs="Times New Roman"/>
          <w:sz w:val="24"/>
          <w:szCs w:val="24"/>
        </w:rPr>
        <w:t>yaitu</w:t>
      </w:r>
      <w:r w:rsidR="00C902EC">
        <w:rPr>
          <w:rFonts w:ascii="Times New Roman" w:hAnsi="Times New Roman" w:cs="Times New Roman"/>
          <w:sz w:val="24"/>
          <w:szCs w:val="24"/>
        </w:rPr>
        <w:t xml:space="preserve"> </w:t>
      </w:r>
      <w:r w:rsidRPr="006639DD">
        <w:rPr>
          <w:rFonts w:ascii="Times New Roman" w:hAnsi="Times New Roman" w:cs="Times New Roman"/>
          <w:sz w:val="24"/>
          <w:szCs w:val="24"/>
        </w:rPr>
        <w:t>ekstrak biji</w:t>
      </w:r>
      <w:r>
        <w:rPr>
          <w:rFonts w:ascii="Times New Roman" w:hAnsi="Times New Roman" w:cs="Times New Roman"/>
          <w:sz w:val="24"/>
          <w:szCs w:val="24"/>
        </w:rPr>
        <w:t xml:space="preserve"> pepaya </w:t>
      </w:r>
      <w:r w:rsidRPr="006639DD">
        <w:rPr>
          <w:rFonts w:ascii="Times New Roman" w:hAnsi="Times New Roman" w:cs="Times New Roman"/>
          <w:sz w:val="24"/>
          <w:szCs w:val="24"/>
        </w:rPr>
        <w:t>dua</w:t>
      </w:r>
      <w:r w:rsidR="00C902EC">
        <w:rPr>
          <w:rFonts w:ascii="Times New Roman" w:hAnsi="Times New Roman" w:cs="Times New Roman"/>
          <w:sz w:val="24"/>
          <w:szCs w:val="24"/>
        </w:rPr>
        <w:t xml:space="preserve"> </w:t>
      </w:r>
      <w:r w:rsidRPr="006639DD">
        <w:rPr>
          <w:rFonts w:ascii="Times New Roman" w:hAnsi="Times New Roman" w:cs="Times New Roman"/>
          <w:sz w:val="24"/>
          <w:szCs w:val="24"/>
        </w:rPr>
        <w:t>varietas</w:t>
      </w:r>
      <w:r w:rsidR="00C902EC">
        <w:rPr>
          <w:rFonts w:ascii="Times New Roman" w:hAnsi="Times New Roman" w:cs="Times New Roman"/>
          <w:sz w:val="24"/>
          <w:szCs w:val="24"/>
        </w:rPr>
        <w:t xml:space="preserve">  </w:t>
      </w:r>
      <w:r w:rsidRPr="006639DD">
        <w:rPr>
          <w:rFonts w:ascii="Times New Roman" w:hAnsi="Times New Roman" w:cs="Times New Roman"/>
          <w:sz w:val="24"/>
          <w:szCs w:val="24"/>
        </w:rPr>
        <w:t>pepaya</w:t>
      </w:r>
      <w:r>
        <w:rPr>
          <w:rFonts w:ascii="Times New Roman" w:hAnsi="Times New Roman" w:cs="Times New Roman"/>
          <w:sz w:val="24"/>
          <w:szCs w:val="24"/>
        </w:rPr>
        <w:t xml:space="preserve"> yaitu ‘Bangkok’</w:t>
      </w:r>
      <w:r w:rsidRPr="006639DD">
        <w:rPr>
          <w:rFonts w:ascii="Times New Roman" w:hAnsi="Times New Roman" w:cs="Times New Roman"/>
          <w:sz w:val="24"/>
          <w:szCs w:val="24"/>
        </w:rPr>
        <w:t xml:space="preserve"> yang didapatkan</w:t>
      </w:r>
      <w:r>
        <w:rPr>
          <w:rFonts w:ascii="Times New Roman" w:hAnsi="Times New Roman" w:cs="Times New Roman"/>
          <w:sz w:val="24"/>
          <w:szCs w:val="24"/>
        </w:rPr>
        <w:t xml:space="preserve"> dari</w:t>
      </w:r>
      <w:r>
        <w:rPr>
          <w:rFonts w:ascii="Times New Roman" w:hAnsi="Times New Roman" w:cs="Times New Roman"/>
          <w:sz w:val="24"/>
          <w:szCs w:val="24"/>
          <w:lang w:val="en-GB"/>
        </w:rPr>
        <w:t xml:space="preserve"> pertanian rakyat S</w:t>
      </w:r>
      <w:r w:rsidRPr="006639DD">
        <w:rPr>
          <w:rFonts w:ascii="Times New Roman" w:hAnsi="Times New Roman" w:cs="Times New Roman"/>
          <w:sz w:val="24"/>
          <w:szCs w:val="24"/>
          <w:lang w:val="en-GB"/>
        </w:rPr>
        <w:t>ukabumi</w:t>
      </w:r>
      <w:r>
        <w:rPr>
          <w:rFonts w:ascii="Times New Roman" w:hAnsi="Times New Roman" w:cs="Times New Roman"/>
          <w:sz w:val="24"/>
          <w:szCs w:val="24"/>
          <w:lang w:val="en-GB"/>
        </w:rPr>
        <w:t xml:space="preserve"> dan ‘California’ dari pertanian rakyat Bogor</w:t>
      </w:r>
      <w:bookmarkStart w:id="1" w:name="_Toc524401"/>
      <w:bookmarkEnd w:id="0"/>
      <w:r w:rsidR="0050423F">
        <w:rPr>
          <w:rFonts w:ascii="Times New Roman" w:hAnsi="Times New Roman" w:cs="Times New Roman"/>
          <w:sz w:val="24"/>
          <w:szCs w:val="24"/>
          <w:lang w:val="id-ID"/>
        </w:rPr>
        <w:t>.</w:t>
      </w:r>
    </w:p>
    <w:p w14:paraId="42FB8E05" w14:textId="77777777" w:rsidR="0050423F" w:rsidRPr="0050423F" w:rsidRDefault="0050423F" w:rsidP="0050423F">
      <w:pPr>
        <w:tabs>
          <w:tab w:val="left" w:pos="5130"/>
        </w:tabs>
        <w:spacing w:line="360" w:lineRule="auto"/>
        <w:ind w:firstLine="630"/>
        <w:contextualSpacing/>
        <w:jc w:val="both"/>
        <w:rPr>
          <w:rFonts w:ascii="Times New Roman" w:hAnsi="Times New Roman" w:cs="Times New Roman"/>
          <w:i/>
          <w:sz w:val="24"/>
          <w:szCs w:val="24"/>
          <w:lang w:val="id-ID"/>
        </w:rPr>
      </w:pPr>
    </w:p>
    <w:p w14:paraId="478422C5" w14:textId="77777777" w:rsidR="009E013C" w:rsidRPr="004C7DC0" w:rsidRDefault="009E013C" w:rsidP="00FB01F8">
      <w:pPr>
        <w:tabs>
          <w:tab w:val="left" w:pos="630"/>
          <w:tab w:val="left" w:pos="5685"/>
        </w:tabs>
        <w:spacing w:line="360" w:lineRule="auto"/>
        <w:contextualSpacing/>
        <w:jc w:val="both"/>
        <w:rPr>
          <w:rFonts w:ascii="Times New Roman" w:hAnsi="Times New Roman" w:cs="Times New Roman"/>
          <w:sz w:val="24"/>
          <w:szCs w:val="24"/>
        </w:rPr>
      </w:pPr>
      <w:r w:rsidRPr="004C7DC0">
        <w:rPr>
          <w:rFonts w:ascii="Times New Roman" w:hAnsi="Times New Roman" w:cs="Times New Roman"/>
          <w:b/>
          <w:sz w:val="24"/>
          <w:szCs w:val="24"/>
          <w:lang w:val="zh-CN"/>
        </w:rPr>
        <w:t xml:space="preserve">Ekstraksi </w:t>
      </w:r>
      <w:r w:rsidRPr="004C7DC0">
        <w:rPr>
          <w:rFonts w:ascii="Times New Roman" w:hAnsi="Times New Roman" w:cs="Times New Roman"/>
          <w:b/>
          <w:sz w:val="24"/>
          <w:szCs w:val="24"/>
        </w:rPr>
        <w:t>B</w:t>
      </w:r>
      <w:r w:rsidRPr="004C7DC0">
        <w:rPr>
          <w:rFonts w:ascii="Times New Roman" w:hAnsi="Times New Roman" w:cs="Times New Roman"/>
          <w:b/>
          <w:sz w:val="24"/>
          <w:szCs w:val="24"/>
          <w:lang w:val="zh-CN"/>
        </w:rPr>
        <w:t xml:space="preserve">iji </w:t>
      </w:r>
      <w:r w:rsidRPr="004C7DC0">
        <w:rPr>
          <w:rFonts w:ascii="Times New Roman" w:hAnsi="Times New Roman" w:cs="Times New Roman"/>
          <w:b/>
          <w:sz w:val="24"/>
          <w:szCs w:val="24"/>
        </w:rPr>
        <w:t>P</w:t>
      </w:r>
      <w:r w:rsidRPr="004C7DC0">
        <w:rPr>
          <w:rFonts w:ascii="Times New Roman" w:hAnsi="Times New Roman" w:cs="Times New Roman"/>
          <w:b/>
          <w:sz w:val="24"/>
          <w:szCs w:val="24"/>
          <w:lang w:val="zh-CN"/>
        </w:rPr>
        <w:t xml:space="preserve">epaya </w:t>
      </w:r>
      <w:r w:rsidR="00FB01F8">
        <w:rPr>
          <w:rFonts w:ascii="Times New Roman" w:hAnsi="Times New Roman" w:cs="Times New Roman"/>
          <w:b/>
          <w:sz w:val="24"/>
          <w:szCs w:val="24"/>
        </w:rPr>
        <w:t xml:space="preserve">‘California’ </w:t>
      </w:r>
      <w:r>
        <w:rPr>
          <w:rFonts w:ascii="Times New Roman" w:hAnsi="Times New Roman" w:cs="Times New Roman"/>
          <w:b/>
          <w:sz w:val="24"/>
          <w:szCs w:val="24"/>
        </w:rPr>
        <w:t>dan ‘Bangkok’</w:t>
      </w:r>
    </w:p>
    <w:p w14:paraId="3336A7F3" w14:textId="77777777" w:rsidR="009E013C" w:rsidRPr="009E013C" w:rsidRDefault="009E013C" w:rsidP="009E013C">
      <w:pPr>
        <w:spacing w:line="360" w:lineRule="auto"/>
        <w:ind w:firstLineChars="300" w:firstLine="720"/>
        <w:contextualSpacing/>
        <w:jc w:val="both"/>
        <w:rPr>
          <w:rFonts w:ascii="Times New Roman" w:hAnsi="Times New Roman" w:cs="Times New Roman"/>
          <w:sz w:val="24"/>
          <w:szCs w:val="24"/>
        </w:rPr>
      </w:pPr>
      <w:r w:rsidRPr="004C7DC0">
        <w:rPr>
          <w:rFonts w:ascii="Times New Roman" w:hAnsi="Times New Roman" w:cs="Times New Roman"/>
          <w:sz w:val="24"/>
          <w:szCs w:val="24"/>
        </w:rPr>
        <w:t>Biji</w:t>
      </w:r>
      <w:r w:rsidR="00C902EC">
        <w:rPr>
          <w:rFonts w:ascii="Times New Roman" w:hAnsi="Times New Roman" w:cs="Times New Roman"/>
          <w:sz w:val="24"/>
          <w:szCs w:val="24"/>
        </w:rPr>
        <w:t xml:space="preserve"> </w:t>
      </w:r>
      <w:r w:rsidRPr="004C7DC0">
        <w:rPr>
          <w:rFonts w:ascii="Times New Roman" w:hAnsi="Times New Roman" w:cs="Times New Roman"/>
          <w:sz w:val="24"/>
          <w:szCs w:val="24"/>
        </w:rPr>
        <w:t>pepaya yang telah</w:t>
      </w:r>
      <w:r w:rsidR="00C902EC">
        <w:rPr>
          <w:rFonts w:ascii="Times New Roman" w:hAnsi="Times New Roman" w:cs="Times New Roman"/>
          <w:sz w:val="24"/>
          <w:szCs w:val="24"/>
        </w:rPr>
        <w:t xml:space="preserve"> </w:t>
      </w:r>
      <w:r w:rsidRPr="004C7DC0">
        <w:rPr>
          <w:rFonts w:ascii="Times New Roman" w:hAnsi="Times New Roman" w:cs="Times New Roman"/>
          <w:sz w:val="24"/>
          <w:szCs w:val="24"/>
        </w:rPr>
        <w:t>dikumpulkan</w:t>
      </w:r>
      <w:r>
        <w:rPr>
          <w:rFonts w:ascii="Times New Roman" w:hAnsi="Times New Roman" w:cs="Times New Roman"/>
          <w:sz w:val="24"/>
          <w:szCs w:val="24"/>
        </w:rPr>
        <w:t xml:space="preserve"> sebanyak 20 kg </w:t>
      </w:r>
      <w:r w:rsidRPr="004C7DC0">
        <w:rPr>
          <w:rFonts w:ascii="Times New Roman" w:hAnsi="Times New Roman" w:cs="Times New Roman"/>
          <w:sz w:val="24"/>
          <w:szCs w:val="24"/>
        </w:rPr>
        <w:t>dibersihkan</w:t>
      </w:r>
      <w:r w:rsidR="00C902EC">
        <w:rPr>
          <w:rFonts w:ascii="Times New Roman" w:hAnsi="Times New Roman" w:cs="Times New Roman"/>
          <w:sz w:val="24"/>
          <w:szCs w:val="24"/>
        </w:rPr>
        <w:t xml:space="preserve"> </w:t>
      </w:r>
      <w:r w:rsidRPr="004C7DC0">
        <w:rPr>
          <w:rFonts w:ascii="Times New Roman" w:hAnsi="Times New Roman" w:cs="Times New Roman"/>
          <w:sz w:val="24"/>
          <w:szCs w:val="24"/>
        </w:rPr>
        <w:t>dari</w:t>
      </w:r>
      <w:r w:rsidR="00C902EC">
        <w:rPr>
          <w:rFonts w:ascii="Times New Roman" w:hAnsi="Times New Roman" w:cs="Times New Roman"/>
          <w:sz w:val="24"/>
          <w:szCs w:val="24"/>
        </w:rPr>
        <w:t xml:space="preserve"> </w:t>
      </w:r>
      <w:r w:rsidRPr="004C7DC0">
        <w:rPr>
          <w:rFonts w:ascii="Times New Roman" w:hAnsi="Times New Roman" w:cs="Times New Roman"/>
          <w:sz w:val="24"/>
          <w:szCs w:val="24"/>
        </w:rPr>
        <w:t>kulit</w:t>
      </w:r>
      <w:r w:rsidR="00282F42">
        <w:rPr>
          <w:rFonts w:ascii="Times New Roman" w:hAnsi="Times New Roman" w:cs="Times New Roman"/>
          <w:sz w:val="24"/>
          <w:szCs w:val="24"/>
        </w:rPr>
        <w:t xml:space="preserve"> </w:t>
      </w:r>
      <w:r w:rsidRPr="004C7DC0">
        <w:rPr>
          <w:rFonts w:ascii="Times New Roman" w:hAnsi="Times New Roman" w:cs="Times New Roman"/>
          <w:sz w:val="24"/>
          <w:szCs w:val="24"/>
        </w:rPr>
        <w:t>arinya, selanjutnya</w:t>
      </w:r>
      <w:r>
        <w:rPr>
          <w:rFonts w:ascii="Times New Roman" w:hAnsi="Times New Roman" w:cs="Times New Roman"/>
          <w:sz w:val="24"/>
          <w:szCs w:val="24"/>
        </w:rPr>
        <w:t xml:space="preserve"> dicuci di</w:t>
      </w:r>
      <w:r w:rsidRPr="004C7DC0">
        <w:rPr>
          <w:rFonts w:ascii="Times New Roman" w:hAnsi="Times New Roman" w:cs="Times New Roman"/>
          <w:sz w:val="24"/>
          <w:szCs w:val="24"/>
        </w:rPr>
        <w:t>bawah air mengalir</w:t>
      </w:r>
      <w:r w:rsidR="00C902EC">
        <w:rPr>
          <w:rFonts w:ascii="Times New Roman" w:hAnsi="Times New Roman" w:cs="Times New Roman"/>
          <w:sz w:val="24"/>
          <w:szCs w:val="24"/>
        </w:rPr>
        <w:t xml:space="preserve"> </w:t>
      </w:r>
      <w:r w:rsidRPr="004C7DC0">
        <w:rPr>
          <w:rFonts w:ascii="Times New Roman" w:hAnsi="Times New Roman" w:cs="Times New Roman"/>
          <w:sz w:val="24"/>
          <w:szCs w:val="24"/>
        </w:rPr>
        <w:t>sampai</w:t>
      </w:r>
      <w:r w:rsidR="00C902EC">
        <w:rPr>
          <w:rFonts w:ascii="Times New Roman" w:hAnsi="Times New Roman" w:cs="Times New Roman"/>
          <w:sz w:val="24"/>
          <w:szCs w:val="24"/>
        </w:rPr>
        <w:t xml:space="preserve"> </w:t>
      </w:r>
      <w:r w:rsidRPr="004C7DC0">
        <w:rPr>
          <w:rFonts w:ascii="Times New Roman" w:hAnsi="Times New Roman" w:cs="Times New Roman"/>
          <w:sz w:val="24"/>
          <w:szCs w:val="24"/>
        </w:rPr>
        <w:t>bersih, ditiriskan, lalu</w:t>
      </w:r>
      <w:r w:rsidR="00C902EC">
        <w:rPr>
          <w:rFonts w:ascii="Times New Roman" w:hAnsi="Times New Roman" w:cs="Times New Roman"/>
          <w:sz w:val="24"/>
          <w:szCs w:val="24"/>
        </w:rPr>
        <w:t xml:space="preserve"> </w:t>
      </w:r>
      <w:r w:rsidRPr="004C7DC0">
        <w:rPr>
          <w:rFonts w:ascii="Times New Roman" w:hAnsi="Times New Roman" w:cs="Times New Roman"/>
          <w:sz w:val="24"/>
          <w:szCs w:val="24"/>
        </w:rPr>
        <w:t>dikeringkan</w:t>
      </w:r>
      <w:r>
        <w:rPr>
          <w:rFonts w:ascii="Times New Roman" w:hAnsi="Times New Roman" w:cs="Times New Roman"/>
          <w:sz w:val="24"/>
          <w:szCs w:val="24"/>
        </w:rPr>
        <w:t>.</w:t>
      </w:r>
      <w:r w:rsidR="00C902EC">
        <w:rPr>
          <w:rFonts w:ascii="Times New Roman" w:hAnsi="Times New Roman" w:cs="Times New Roman"/>
          <w:sz w:val="24"/>
          <w:szCs w:val="24"/>
        </w:rPr>
        <w:t xml:space="preserve"> </w:t>
      </w:r>
      <w:r w:rsidRPr="004C7DC0">
        <w:rPr>
          <w:rFonts w:ascii="Times New Roman" w:hAnsi="Times New Roman" w:cs="Times New Roman"/>
          <w:sz w:val="24"/>
          <w:szCs w:val="24"/>
        </w:rPr>
        <w:t>Sampel yang telah</w:t>
      </w:r>
      <w:r w:rsidR="00C902EC">
        <w:rPr>
          <w:rFonts w:ascii="Times New Roman" w:hAnsi="Times New Roman" w:cs="Times New Roman"/>
          <w:sz w:val="24"/>
          <w:szCs w:val="24"/>
        </w:rPr>
        <w:t xml:space="preserve"> </w:t>
      </w:r>
      <w:r w:rsidRPr="004C7DC0">
        <w:rPr>
          <w:rFonts w:ascii="Times New Roman" w:hAnsi="Times New Roman" w:cs="Times New Roman"/>
          <w:sz w:val="24"/>
          <w:szCs w:val="24"/>
        </w:rPr>
        <w:t>kering</w:t>
      </w:r>
      <w:r w:rsidR="00C902EC">
        <w:rPr>
          <w:rFonts w:ascii="Times New Roman" w:hAnsi="Times New Roman" w:cs="Times New Roman"/>
          <w:sz w:val="24"/>
          <w:szCs w:val="24"/>
        </w:rPr>
        <w:t xml:space="preserve"> </w:t>
      </w:r>
      <w:r w:rsidRPr="004C7DC0">
        <w:rPr>
          <w:rFonts w:ascii="Times New Roman" w:hAnsi="Times New Roman" w:cs="Times New Roman"/>
          <w:sz w:val="24"/>
          <w:szCs w:val="24"/>
        </w:rPr>
        <w:t>di</w:t>
      </w:r>
      <w:r>
        <w:rPr>
          <w:rFonts w:ascii="Times New Roman" w:hAnsi="Times New Roman" w:cs="Times New Roman"/>
          <w:sz w:val="24"/>
          <w:szCs w:val="24"/>
          <w:lang w:val="id-ID"/>
        </w:rPr>
        <w:t xml:space="preserve">buat dalam bentuk serbuk dengan menggunakan </w:t>
      </w:r>
      <w:r w:rsidRPr="00C62AEC">
        <w:rPr>
          <w:rFonts w:ascii="Times New Roman" w:hAnsi="Times New Roman" w:cs="Times New Roman"/>
          <w:i/>
          <w:sz w:val="24"/>
          <w:szCs w:val="24"/>
        </w:rPr>
        <w:t>gli</w:t>
      </w:r>
      <w:r w:rsidRPr="00C62AEC">
        <w:rPr>
          <w:rFonts w:ascii="Times New Roman" w:hAnsi="Times New Roman" w:cs="Times New Roman"/>
          <w:i/>
          <w:sz w:val="24"/>
          <w:szCs w:val="24"/>
          <w:lang w:val="id-ID"/>
        </w:rPr>
        <w:t>nder</w:t>
      </w:r>
      <w:r w:rsidRPr="00C62AEC">
        <w:rPr>
          <w:rFonts w:ascii="Times New Roman" w:hAnsi="Times New Roman" w:cs="Times New Roman"/>
          <w:i/>
          <w:iCs/>
          <w:sz w:val="24"/>
          <w:szCs w:val="24"/>
          <w:lang w:val="id-ID"/>
        </w:rPr>
        <w:t>.</w:t>
      </w:r>
      <w:r w:rsidR="00C902EC">
        <w:rPr>
          <w:rFonts w:ascii="Times New Roman" w:hAnsi="Times New Roman" w:cs="Times New Roman"/>
          <w:i/>
          <w:iCs/>
          <w:sz w:val="24"/>
          <w:szCs w:val="24"/>
        </w:rPr>
        <w:t xml:space="preserve"> </w:t>
      </w:r>
      <w:r>
        <w:rPr>
          <w:rFonts w:ascii="Times New Roman" w:hAnsi="Times New Roman" w:cs="Times New Roman"/>
          <w:sz w:val="24"/>
          <w:szCs w:val="24"/>
        </w:rPr>
        <w:t>Kemudian serbuk dicampurkan dengan pelarut CMC (</w:t>
      </w:r>
      <w:r w:rsidRPr="00D93216">
        <w:rPr>
          <w:rFonts w:ascii="Times New Roman" w:hAnsi="Times New Roman" w:cs="Times New Roman"/>
          <w:i/>
          <w:sz w:val="24"/>
          <w:szCs w:val="24"/>
        </w:rPr>
        <w:t>Carboxyl Methyl Cellulose</w:t>
      </w:r>
      <w:r>
        <w:rPr>
          <w:rFonts w:ascii="Times New Roman" w:hAnsi="Times New Roman" w:cs="Times New Roman"/>
          <w:sz w:val="24"/>
          <w:szCs w:val="24"/>
        </w:rPr>
        <w:t xml:space="preserve">) 1% </w:t>
      </w:r>
      <w:r w:rsidR="000E46BE">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{"citationItems":[{"id":"ITEM-1","itemData":{"author":[{"dropping-particle":"","family":"Gunawan, D., Mulyani","given":"S.","non-dropping-particle":"","parse-names":false,"suffix":""}],"id":"ITEM-1","issued":{"date-parts":[["2004"]]},"title":"Farmakognosi. Jakarta, Swadaya.","type":"book"},"uris":["http://www.mendeley.com/documents/?uuid=4e410656-89e9-46d9-9f77-e63f6001f6c5"]}],"mendeley":{"formattedCitation":"(Gunawan, D., Mulyani, 2004)","plainTextFormattedCitation":"(Gunawan, D., Mulyani, 2004)","previouslyFormattedCitation":"(Gunawan, D., Mulyani, 2004)"},"properties":{"noteIndex":0},"schema":"https://github.com/citation-style-language/schema/raw/master/csl-citation.json"}</w:instrText>
      </w:r>
      <w:r w:rsidR="000E46BE">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(Gunawan</w:t>
      </w:r>
      <w:r w:rsidR="00C902EC">
        <w:rPr>
          <w:rFonts w:ascii="Times New Roman" w:hAnsi="Times New Roman" w:cs="Times New Roman"/>
          <w:noProof/>
          <w:sz w:val="24"/>
          <w:szCs w:val="24"/>
        </w:rPr>
        <w:t xml:space="preserve"> </w:t>
      </w:r>
      <w:r>
        <w:rPr>
          <w:rFonts w:ascii="Times New Roman" w:hAnsi="Times New Roman" w:cs="Times New Roman"/>
          <w:noProof/>
          <w:sz w:val="24"/>
          <w:szCs w:val="24"/>
        </w:rPr>
        <w:t>&amp;</w:t>
      </w:r>
      <w:r w:rsidR="00C902EC">
        <w:rPr>
          <w:rFonts w:ascii="Times New Roman" w:hAnsi="Times New Roman" w:cs="Times New Roman"/>
          <w:noProof/>
          <w:sz w:val="24"/>
          <w:szCs w:val="24"/>
        </w:rPr>
        <w:t xml:space="preserve"> </w:t>
      </w:r>
      <w:r>
        <w:rPr>
          <w:rFonts w:ascii="Times New Roman" w:hAnsi="Times New Roman" w:cs="Times New Roman"/>
          <w:noProof/>
          <w:sz w:val="24"/>
          <w:szCs w:val="24"/>
          <w:lang w:val="id-ID"/>
        </w:rPr>
        <w:t>Mulyani</w:t>
      </w:r>
      <w:r>
        <w:rPr>
          <w:rFonts w:ascii="Times New Roman" w:hAnsi="Times New Roman" w:cs="Times New Roman"/>
          <w:noProof/>
          <w:sz w:val="24"/>
          <w:szCs w:val="24"/>
        </w:rPr>
        <w:t>,</w:t>
      </w:r>
      <w:r w:rsidRPr="002D5582">
        <w:rPr>
          <w:rFonts w:ascii="Times New Roman" w:hAnsi="Times New Roman" w:cs="Times New Roman"/>
          <w:noProof/>
          <w:sz w:val="24"/>
          <w:szCs w:val="24"/>
          <w:lang w:val="id-ID"/>
        </w:rPr>
        <w:t xml:space="preserve"> 2004)</w:t>
      </w:r>
      <w:r w:rsidR="000E46BE">
        <w:rPr>
          <w:rFonts w:ascii="Times New Roman" w:hAnsi="Times New Roman" w:cs="Times New Roman"/>
          <w:sz w:val="24"/>
          <w:szCs w:val="24"/>
          <w:lang w:val="id-ID"/>
        </w:rPr>
        <w:fldChar w:fldCharType="end"/>
      </w:r>
      <w:r>
        <w:rPr>
          <w:rFonts w:ascii="Times New Roman" w:hAnsi="Times New Roman" w:cs="Times New Roman"/>
          <w:sz w:val="24"/>
          <w:szCs w:val="24"/>
        </w:rPr>
        <w:t>.</w:t>
      </w:r>
    </w:p>
    <w:p w14:paraId="52D5DA96" w14:textId="77777777" w:rsidR="0050423F" w:rsidRDefault="0050423F" w:rsidP="009E013C">
      <w:pPr>
        <w:spacing w:line="360" w:lineRule="auto"/>
        <w:contextualSpacing/>
        <w:jc w:val="both"/>
        <w:rPr>
          <w:rFonts w:ascii="Times New Roman" w:hAnsi="Times New Roman" w:cs="Times New Roman"/>
          <w:b/>
          <w:sz w:val="24"/>
          <w:szCs w:val="24"/>
        </w:rPr>
      </w:pPr>
      <w:bookmarkStart w:id="2" w:name="_Toc524403"/>
    </w:p>
    <w:p w14:paraId="712F8701" w14:textId="77777777" w:rsidR="009E013C" w:rsidRDefault="009E013C" w:rsidP="009E013C">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Persiapan Hewan Uji</w:t>
      </w:r>
    </w:p>
    <w:p w14:paraId="0D367FB5" w14:textId="22C31409" w:rsidR="009E013C" w:rsidRDefault="009E013C" w:rsidP="009E013C">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Pr="00040CFC">
        <w:rPr>
          <w:rFonts w:ascii="Times New Roman" w:hAnsi="Times New Roman" w:cs="Times New Roman"/>
          <w:sz w:val="24"/>
          <w:szCs w:val="24"/>
        </w:rPr>
        <w:t xml:space="preserve">Hewan </w:t>
      </w:r>
      <w:r>
        <w:rPr>
          <w:rFonts w:ascii="Times New Roman" w:hAnsi="Times New Roman" w:cs="Times New Roman"/>
          <w:sz w:val="24"/>
          <w:szCs w:val="24"/>
        </w:rPr>
        <w:t>percobaan yang digunakan pada penelitian ini adalah mencit jantan (</w:t>
      </w:r>
      <w:r w:rsidRPr="002A615E">
        <w:rPr>
          <w:rFonts w:ascii="Times New Roman" w:hAnsi="Times New Roman" w:cs="Times New Roman"/>
          <w:i/>
          <w:sz w:val="24"/>
          <w:szCs w:val="24"/>
        </w:rPr>
        <w:t>Mus musculus</w:t>
      </w:r>
      <w:r>
        <w:rPr>
          <w:rFonts w:ascii="Times New Roman" w:hAnsi="Times New Roman" w:cs="Times New Roman"/>
          <w:sz w:val="24"/>
          <w:szCs w:val="24"/>
        </w:rPr>
        <w:t xml:space="preserve">) Swiss Webster yang didapatkan dari perternakan mencit pamulang, yang berumur 12 minggu, berat badan 29-40 g. Mencit dipelihara di ruang pemeliharaan rumah hewan, Fakultas Kedokteran UIN Syarif Hidayatullah Jakarta, yang diberi penerangan dari pukul 16.00-05.00 WIB sedangkan dari pukul 05.00-16.00 diterangi sinar matahari dan ditempatkan pada suhu ruang pada setiap harinya. Mencit diberi pakan 5 g perhari sedangkan air minum diberikan secara </w:t>
      </w:r>
      <w:r w:rsidRPr="00993F50">
        <w:rPr>
          <w:rFonts w:ascii="Times New Roman" w:hAnsi="Times New Roman" w:cs="Times New Roman"/>
          <w:i/>
          <w:sz w:val="24"/>
          <w:szCs w:val="24"/>
        </w:rPr>
        <w:t>ad libitum</w:t>
      </w:r>
      <w:r>
        <w:rPr>
          <w:rFonts w:ascii="Times New Roman" w:hAnsi="Times New Roman" w:cs="Times New Roman"/>
          <w:i/>
          <w:sz w:val="24"/>
          <w:szCs w:val="24"/>
        </w:rPr>
        <w:t>.</w:t>
      </w:r>
      <w:r w:rsidR="00C902EC">
        <w:rPr>
          <w:rFonts w:ascii="Times New Roman" w:hAnsi="Times New Roman" w:cs="Times New Roman"/>
          <w:i/>
          <w:sz w:val="24"/>
          <w:szCs w:val="24"/>
        </w:rPr>
        <w:t xml:space="preserve"> </w:t>
      </w:r>
      <w:r>
        <w:rPr>
          <w:rFonts w:ascii="Times New Roman" w:hAnsi="Times New Roman" w:cs="Times New Roman"/>
          <w:sz w:val="24"/>
          <w:szCs w:val="24"/>
        </w:rPr>
        <w:t>Pakan yang diberikan adalah pakan anak babi 551.</w:t>
      </w:r>
    </w:p>
    <w:p w14:paraId="7ECDF4F4" w14:textId="77777777" w:rsidR="00FB01F8" w:rsidRDefault="00FB01F8" w:rsidP="009E013C">
      <w:pPr>
        <w:spacing w:line="360" w:lineRule="auto"/>
        <w:contextualSpacing/>
        <w:jc w:val="both"/>
        <w:rPr>
          <w:rFonts w:ascii="Times New Roman" w:eastAsia="Times New Roman" w:hAnsi="Times New Roman" w:cs="Times New Roman"/>
          <w:b/>
          <w:bCs/>
          <w:noProof/>
          <w:sz w:val="24"/>
          <w:szCs w:val="24"/>
          <w:lang w:eastAsia="id-ID"/>
        </w:rPr>
        <w:sectPr w:rsidR="00FB01F8" w:rsidSect="00EC15BC">
          <w:type w:val="continuous"/>
          <w:pgSz w:w="12240" w:h="15840" w:code="1"/>
          <w:pgMar w:top="1701" w:right="1701" w:bottom="1701" w:left="2268" w:header="708" w:footer="708" w:gutter="0"/>
          <w:cols w:space="708"/>
          <w:docGrid w:linePitch="360"/>
        </w:sectPr>
      </w:pPr>
    </w:p>
    <w:p w14:paraId="3EE00A8B" w14:textId="77777777" w:rsidR="00EC7CAD" w:rsidRDefault="00EC7CAD" w:rsidP="009E013C">
      <w:pPr>
        <w:spacing w:after="0" w:line="360" w:lineRule="auto"/>
        <w:contextualSpacing/>
        <w:jc w:val="both"/>
        <w:rPr>
          <w:rFonts w:ascii="Times New Roman" w:eastAsia="Times New Roman" w:hAnsi="Times New Roman" w:cs="Times New Roman"/>
          <w:b/>
          <w:bCs/>
          <w:noProof/>
          <w:sz w:val="24"/>
          <w:szCs w:val="24"/>
          <w:lang w:eastAsia="id-ID"/>
        </w:rPr>
      </w:pPr>
    </w:p>
    <w:p w14:paraId="3E3B294E" w14:textId="60BFF0D9" w:rsidR="009E013C" w:rsidRPr="003A080D" w:rsidRDefault="009E013C" w:rsidP="009E013C">
      <w:pPr>
        <w:spacing w:after="0" w:line="360" w:lineRule="auto"/>
        <w:contextualSpacing/>
        <w:jc w:val="both"/>
        <w:rPr>
          <w:rFonts w:ascii="Times New Roman" w:eastAsia="Times New Roman" w:hAnsi="Times New Roman" w:cs="Times New Roman"/>
          <w:noProof/>
          <w:sz w:val="24"/>
          <w:szCs w:val="24"/>
          <w:lang w:val="en-GB" w:eastAsia="id-ID"/>
        </w:rPr>
      </w:pPr>
      <w:r>
        <w:rPr>
          <w:rFonts w:ascii="Times New Roman" w:eastAsia="Times New Roman" w:hAnsi="Times New Roman" w:cs="Times New Roman"/>
          <w:b/>
          <w:bCs/>
          <w:noProof/>
          <w:sz w:val="24"/>
          <w:szCs w:val="24"/>
          <w:lang w:eastAsia="id-ID"/>
        </w:rPr>
        <w:t xml:space="preserve">Uji Toksisitas Subakut </w:t>
      </w:r>
      <w:r w:rsidR="003A080D">
        <w:rPr>
          <w:rFonts w:ascii="Times New Roman" w:eastAsia="Times New Roman" w:hAnsi="Times New Roman" w:cs="Times New Roman"/>
          <w:b/>
          <w:bCs/>
          <w:noProof/>
          <w:sz w:val="24"/>
          <w:szCs w:val="24"/>
          <w:lang w:val="en-GB" w:eastAsia="id-ID"/>
        </w:rPr>
        <w:t>dan Pengamatan Kondisi Fisik</w:t>
      </w:r>
      <w:r w:rsidR="003A080D" w:rsidRPr="003A080D">
        <w:rPr>
          <w:rFonts w:ascii="Times New Roman" w:eastAsia="Times New Roman" w:hAnsi="Times New Roman" w:cs="Times New Roman"/>
          <w:b/>
          <w:bCs/>
          <w:noProof/>
          <w:sz w:val="24"/>
          <w:szCs w:val="24"/>
          <w:lang w:eastAsia="id-ID"/>
        </w:rPr>
        <w:t xml:space="preserve"> </w:t>
      </w:r>
      <w:r w:rsidR="003A080D">
        <w:rPr>
          <w:rFonts w:ascii="Times New Roman" w:eastAsia="Times New Roman" w:hAnsi="Times New Roman" w:cs="Times New Roman"/>
          <w:b/>
          <w:bCs/>
          <w:noProof/>
          <w:sz w:val="24"/>
          <w:szCs w:val="24"/>
          <w:lang w:eastAsia="id-ID"/>
        </w:rPr>
        <w:t>M</w:t>
      </w:r>
      <w:r w:rsidR="003A080D" w:rsidRPr="00A769E4">
        <w:rPr>
          <w:rFonts w:ascii="Times New Roman" w:eastAsia="Times New Roman" w:hAnsi="Times New Roman" w:cs="Times New Roman"/>
          <w:b/>
          <w:bCs/>
          <w:noProof/>
          <w:sz w:val="24"/>
          <w:szCs w:val="24"/>
          <w:lang w:val="id-ID" w:eastAsia="id-ID"/>
        </w:rPr>
        <w:t xml:space="preserve">encit </w:t>
      </w:r>
      <w:r w:rsidR="003A080D" w:rsidRPr="00B60CC3">
        <w:rPr>
          <w:rFonts w:ascii="Times New Roman" w:eastAsia="Times New Roman" w:hAnsi="Times New Roman" w:cs="Times New Roman"/>
          <w:b/>
          <w:bCs/>
          <w:noProof/>
          <w:sz w:val="24"/>
          <w:szCs w:val="24"/>
          <w:lang w:val="id-ID" w:eastAsia="id-ID"/>
        </w:rPr>
        <w:t>(</w:t>
      </w:r>
      <w:r w:rsidR="003A080D" w:rsidRPr="00B60CC3">
        <w:rPr>
          <w:rFonts w:ascii="Times New Roman" w:eastAsia="Times New Roman" w:hAnsi="Times New Roman" w:cs="Times New Roman"/>
          <w:b/>
          <w:bCs/>
          <w:i/>
          <w:noProof/>
          <w:sz w:val="24"/>
          <w:szCs w:val="24"/>
          <w:lang w:val="id-ID" w:eastAsia="id-ID"/>
        </w:rPr>
        <w:t>Mus musculus</w:t>
      </w:r>
      <w:r w:rsidR="003A080D" w:rsidRPr="00B60CC3">
        <w:rPr>
          <w:rFonts w:ascii="Times New Roman" w:eastAsia="Times New Roman" w:hAnsi="Times New Roman" w:cs="Times New Roman"/>
          <w:b/>
          <w:bCs/>
          <w:noProof/>
          <w:sz w:val="24"/>
          <w:szCs w:val="24"/>
          <w:lang w:val="id-ID" w:eastAsia="id-ID"/>
        </w:rPr>
        <w:t>)</w:t>
      </w:r>
    </w:p>
    <w:p w14:paraId="0E781C6C" w14:textId="7E1FCB38" w:rsidR="009E013C" w:rsidRPr="003A080D" w:rsidRDefault="00EC7CAD" w:rsidP="00CC4EF6">
      <w:pPr>
        <w:spacing w:line="360" w:lineRule="auto"/>
        <w:ind w:firstLine="720"/>
        <w:contextualSpacing/>
        <w:jc w:val="both"/>
        <w:rPr>
          <w:rFonts w:ascii="Times New Roman" w:eastAsia="Times New Roman" w:hAnsi="Times New Roman" w:cs="Times New Roman"/>
          <w:bCs/>
          <w:noProof/>
          <w:sz w:val="24"/>
          <w:szCs w:val="24"/>
          <w:lang w:eastAsia="id-ID"/>
        </w:rPr>
      </w:pPr>
      <w:r>
        <w:rPr>
          <w:rFonts w:ascii="Times New Roman" w:eastAsia="Times New Roman" w:hAnsi="Times New Roman" w:cs="Times New Roman"/>
          <w:bCs/>
          <w:noProof/>
          <w:sz w:val="24"/>
          <w:szCs w:val="24"/>
          <w:lang w:eastAsia="id-ID"/>
        </w:rPr>
        <w:lastRenderedPageBreak/>
        <w:t xml:space="preserve">Mencit dibagi menjadi tiga kelompok diberi </w:t>
      </w:r>
      <w:r w:rsidR="009E013C">
        <w:rPr>
          <w:rFonts w:ascii="Times New Roman" w:eastAsia="Times New Roman" w:hAnsi="Times New Roman" w:cs="Times New Roman"/>
          <w:bCs/>
          <w:noProof/>
          <w:sz w:val="24"/>
          <w:szCs w:val="24"/>
          <w:lang w:eastAsia="id-ID"/>
        </w:rPr>
        <w:t xml:space="preserve">ekstrak biji pepaya ‘California’ </w:t>
      </w:r>
      <w:r>
        <w:rPr>
          <w:rFonts w:ascii="Times New Roman" w:eastAsia="Times New Roman" w:hAnsi="Times New Roman" w:cs="Times New Roman"/>
          <w:bCs/>
          <w:noProof/>
          <w:sz w:val="24"/>
          <w:szCs w:val="24"/>
          <w:lang w:eastAsia="id-ID"/>
        </w:rPr>
        <w:t>dengan konsentrasi 4, 6, dan 8 % (b/v) secara gavage dengan volume penyuntikan 0,1 mL/10 gram b.b., tiga kelompok diberi  ekstrak biji pepaya</w:t>
      </w:r>
      <w:r w:rsidR="009E013C">
        <w:rPr>
          <w:rFonts w:ascii="Times New Roman" w:eastAsia="Times New Roman" w:hAnsi="Times New Roman" w:cs="Times New Roman"/>
          <w:bCs/>
          <w:noProof/>
          <w:sz w:val="24"/>
          <w:szCs w:val="24"/>
          <w:lang w:eastAsia="id-ID"/>
        </w:rPr>
        <w:t xml:space="preserve"> ‘Bangkok’ </w:t>
      </w:r>
      <w:r>
        <w:rPr>
          <w:rFonts w:ascii="Times New Roman" w:eastAsia="Times New Roman" w:hAnsi="Times New Roman" w:cs="Times New Roman"/>
          <w:bCs/>
          <w:noProof/>
          <w:sz w:val="24"/>
          <w:szCs w:val="24"/>
          <w:lang w:eastAsia="id-ID"/>
        </w:rPr>
        <w:t>dengan cara penyuntikan dan volume yang sama dan satu kelompok hanya diberi pelarutnya saja yaitu</w:t>
      </w:r>
      <w:r w:rsidR="009E013C">
        <w:rPr>
          <w:rFonts w:ascii="Times New Roman" w:eastAsia="Times New Roman" w:hAnsi="Times New Roman" w:cs="Times New Roman"/>
          <w:bCs/>
          <w:noProof/>
          <w:sz w:val="24"/>
          <w:szCs w:val="24"/>
          <w:lang w:eastAsia="id-ID"/>
        </w:rPr>
        <w:t xml:space="preserve"> CMC 1% dengan cara </w:t>
      </w:r>
      <w:r>
        <w:rPr>
          <w:rFonts w:ascii="Times New Roman" w:eastAsia="Times New Roman" w:hAnsi="Times New Roman" w:cs="Times New Roman"/>
          <w:bCs/>
          <w:noProof/>
          <w:sz w:val="24"/>
          <w:szCs w:val="24"/>
          <w:lang w:eastAsia="id-ID"/>
        </w:rPr>
        <w:t xml:space="preserve">dan volume penyuntikan yang sama juga. </w:t>
      </w:r>
      <w:r w:rsidR="00474BB0">
        <w:rPr>
          <w:rFonts w:ascii="Times New Roman" w:eastAsia="Times New Roman" w:hAnsi="Times New Roman" w:cs="Times New Roman"/>
          <w:bCs/>
          <w:noProof/>
          <w:sz w:val="24"/>
          <w:szCs w:val="24"/>
          <w:lang w:eastAsia="id-ID"/>
        </w:rPr>
        <w:t xml:space="preserve">Sebelum mencit disuntik dilakukan penimbangan berat badan. </w:t>
      </w:r>
      <w:r w:rsidR="009E013C">
        <w:rPr>
          <w:rFonts w:ascii="Times New Roman" w:eastAsia="Times New Roman" w:hAnsi="Times New Roman" w:cs="Times New Roman"/>
          <w:sz w:val="24"/>
          <w:szCs w:val="24"/>
        </w:rPr>
        <w:t>Pen</w:t>
      </w:r>
      <w:r>
        <w:rPr>
          <w:rFonts w:ascii="Times New Roman" w:eastAsia="Times New Roman" w:hAnsi="Times New Roman" w:cs="Times New Roman"/>
          <w:sz w:val="24"/>
          <w:szCs w:val="24"/>
        </w:rPr>
        <w:t>yuntikan d</w:t>
      </w:r>
      <w:r w:rsidR="009E013C">
        <w:rPr>
          <w:rFonts w:ascii="Times New Roman" w:eastAsia="Times New Roman" w:hAnsi="Times New Roman" w:cs="Times New Roman"/>
          <w:sz w:val="24"/>
          <w:szCs w:val="24"/>
        </w:rPr>
        <w:t>ilakukan setiap hari selama 28 hari</w:t>
      </w:r>
      <w:r>
        <w:rPr>
          <w:rFonts w:ascii="Times New Roman" w:eastAsia="Times New Roman" w:hAnsi="Times New Roman" w:cs="Times New Roman"/>
          <w:sz w:val="24"/>
          <w:szCs w:val="24"/>
        </w:rPr>
        <w:t xml:space="preserve"> diiringi dengan </w:t>
      </w:r>
      <w:r w:rsidR="009E013C" w:rsidRPr="00A769E4">
        <w:rPr>
          <w:rFonts w:ascii="Times New Roman" w:eastAsia="Times New Roman" w:hAnsi="Times New Roman" w:cs="Times New Roman"/>
          <w:noProof/>
          <w:sz w:val="24"/>
          <w:szCs w:val="24"/>
          <w:lang w:eastAsia="id-ID"/>
        </w:rPr>
        <w:t>pengamatan kondisi fisik</w:t>
      </w:r>
      <w:r w:rsidR="003A080D">
        <w:rPr>
          <w:rFonts w:ascii="Times New Roman" w:eastAsia="Times New Roman" w:hAnsi="Times New Roman" w:cs="Times New Roman"/>
          <w:noProof/>
          <w:sz w:val="24"/>
          <w:szCs w:val="24"/>
          <w:lang w:eastAsia="id-ID"/>
        </w:rPr>
        <w:t>. Pengamatan k</w:t>
      </w:r>
      <w:r w:rsidR="003A080D">
        <w:rPr>
          <w:rFonts w:ascii="Times New Roman" w:hAnsi="Times New Roman" w:cs="Times New Roman"/>
          <w:sz w:val="24"/>
          <w:szCs w:val="24"/>
        </w:rPr>
        <w:t xml:space="preserve">ondisi fisik yang diamati adalah </w:t>
      </w:r>
      <w:r w:rsidR="009E013C">
        <w:rPr>
          <w:rFonts w:ascii="Times New Roman" w:hAnsi="Times New Roman" w:cs="Times New Roman"/>
          <w:sz w:val="24"/>
          <w:szCs w:val="24"/>
        </w:rPr>
        <w:t>kulit dan rambut, mata dan mukosa, pernapasan, aktivitas motorik, tremo</w:t>
      </w:r>
      <w:r w:rsidR="003A080D">
        <w:rPr>
          <w:rFonts w:ascii="Times New Roman" w:hAnsi="Times New Roman" w:cs="Times New Roman"/>
          <w:sz w:val="24"/>
          <w:szCs w:val="24"/>
        </w:rPr>
        <w:t>r, salivasi, diare, dan letargi</w:t>
      </w:r>
      <w:r w:rsidR="009E013C">
        <w:rPr>
          <w:rFonts w:ascii="Times New Roman" w:hAnsi="Times New Roman" w:cs="Times New Roman"/>
          <w:sz w:val="24"/>
          <w:szCs w:val="24"/>
        </w:rPr>
        <w:t xml:space="preserve"> </w:t>
      </w:r>
    </w:p>
    <w:p w14:paraId="30E718E7" w14:textId="77777777" w:rsidR="0050423F" w:rsidRDefault="0050423F" w:rsidP="009E013C">
      <w:pPr>
        <w:spacing w:after="0" w:line="360" w:lineRule="auto"/>
        <w:jc w:val="both"/>
        <w:rPr>
          <w:rFonts w:ascii="Times New Roman" w:hAnsi="Times New Roman" w:cs="Times New Roman"/>
          <w:b/>
          <w:bCs/>
          <w:sz w:val="24"/>
          <w:szCs w:val="24"/>
        </w:rPr>
      </w:pPr>
    </w:p>
    <w:p w14:paraId="6E4DB8E6" w14:textId="3E87AA9F" w:rsidR="009E013C" w:rsidRDefault="009E013C" w:rsidP="009E013C">
      <w:pPr>
        <w:spacing w:after="0" w:line="360" w:lineRule="auto"/>
        <w:jc w:val="both"/>
        <w:rPr>
          <w:rFonts w:ascii="Times New Roman" w:hAnsi="Times New Roman" w:cs="Times New Roman"/>
          <w:sz w:val="24"/>
          <w:szCs w:val="24"/>
          <w:lang w:val="en-GB"/>
        </w:rPr>
      </w:pPr>
      <w:r w:rsidRPr="006639DD">
        <w:rPr>
          <w:rFonts w:ascii="Times New Roman" w:hAnsi="Times New Roman" w:cs="Times New Roman"/>
          <w:b/>
          <w:bCs/>
          <w:sz w:val="24"/>
          <w:szCs w:val="24"/>
        </w:rPr>
        <w:t>Uji</w:t>
      </w:r>
      <w:r w:rsidR="003A080D">
        <w:rPr>
          <w:rFonts w:ascii="Times New Roman" w:hAnsi="Times New Roman" w:cs="Times New Roman"/>
          <w:b/>
          <w:bCs/>
          <w:sz w:val="24"/>
          <w:szCs w:val="24"/>
        </w:rPr>
        <w:t xml:space="preserve"> </w:t>
      </w:r>
      <w:r>
        <w:rPr>
          <w:rFonts w:ascii="Times New Roman" w:hAnsi="Times New Roman" w:cs="Times New Roman"/>
          <w:b/>
          <w:bCs/>
          <w:sz w:val="24"/>
          <w:szCs w:val="24"/>
          <w:lang w:val="en-GB"/>
        </w:rPr>
        <w:t>Aktivitas Enzim SGOT dan SGP</w:t>
      </w:r>
      <w:r w:rsidRPr="006639DD">
        <w:rPr>
          <w:rFonts w:ascii="Times New Roman" w:hAnsi="Times New Roman" w:cs="Times New Roman"/>
          <w:b/>
          <w:bCs/>
          <w:sz w:val="24"/>
          <w:szCs w:val="24"/>
          <w:lang w:val="en-GB"/>
        </w:rPr>
        <w:t xml:space="preserve">T </w:t>
      </w:r>
    </w:p>
    <w:p w14:paraId="36BB50BB" w14:textId="77777777" w:rsidR="009E013C" w:rsidRDefault="009E013C" w:rsidP="001E0D09">
      <w:pPr>
        <w:tabs>
          <w:tab w:val="left" w:pos="720"/>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Uji </w:t>
      </w:r>
      <w:r w:rsidRPr="00685DAC">
        <w:rPr>
          <w:rFonts w:ascii="Times New Roman" w:hAnsi="Times New Roman" w:cs="Times New Roman"/>
          <w:bCs/>
          <w:i/>
          <w:color w:val="000000" w:themeColor="text1"/>
          <w:sz w:val="24"/>
          <w:szCs w:val="24"/>
        </w:rPr>
        <w:t>Serum Glutamat Oxaloasetat Transminase</w:t>
      </w:r>
      <w:r>
        <w:rPr>
          <w:rFonts w:ascii="Times New Roman" w:hAnsi="Times New Roman" w:cs="Times New Roman"/>
          <w:bCs/>
          <w:color w:val="000000" w:themeColor="text1"/>
          <w:sz w:val="24"/>
          <w:szCs w:val="24"/>
        </w:rPr>
        <w:t xml:space="preserve"> (</w:t>
      </w:r>
      <w:r>
        <w:rPr>
          <w:rFonts w:ascii="Times New Roman" w:hAnsi="Times New Roman" w:cs="Times New Roman"/>
          <w:sz w:val="24"/>
          <w:szCs w:val="24"/>
          <w:lang w:val="en-GB"/>
        </w:rPr>
        <w:t xml:space="preserve">SGOT) dan </w:t>
      </w:r>
      <w:r w:rsidRPr="00C104C7">
        <w:rPr>
          <w:rFonts w:ascii="Times New Roman" w:hAnsi="Times New Roman" w:cs="Times New Roman"/>
          <w:bCs/>
          <w:i/>
          <w:color w:val="000000" w:themeColor="text1"/>
          <w:sz w:val="24"/>
          <w:szCs w:val="24"/>
        </w:rPr>
        <w:t>Serum Glutamat Piruvat Transaminase</w:t>
      </w:r>
      <w:r>
        <w:rPr>
          <w:rFonts w:ascii="Times New Roman" w:hAnsi="Times New Roman" w:cs="Times New Roman"/>
          <w:bCs/>
          <w:color w:val="000000" w:themeColor="text1"/>
          <w:sz w:val="24"/>
          <w:szCs w:val="24"/>
        </w:rPr>
        <w:t xml:space="preserve"> (</w:t>
      </w:r>
      <w:r>
        <w:rPr>
          <w:rFonts w:ascii="Times New Roman" w:hAnsi="Times New Roman" w:cs="Times New Roman"/>
          <w:sz w:val="24"/>
          <w:szCs w:val="24"/>
          <w:lang w:val="en-GB"/>
        </w:rPr>
        <w:t xml:space="preserve">SGPT) dilakukan </w:t>
      </w:r>
      <w:r>
        <w:rPr>
          <w:rFonts w:ascii="Times New Roman" w:hAnsi="Times New Roman" w:cs="Times New Roman"/>
          <w:sz w:val="24"/>
          <w:szCs w:val="24"/>
        </w:rPr>
        <w:t>dengan cara mengambil darah mencit melalui retro-orbital</w:t>
      </w:r>
      <w:r w:rsidRPr="006639DD">
        <w:rPr>
          <w:rFonts w:ascii="Times New Roman" w:hAnsi="Times New Roman" w:cs="Times New Roman"/>
          <w:sz w:val="24"/>
          <w:szCs w:val="24"/>
        </w:rPr>
        <w:t xml:space="preserve"> yang terdapat pada sekitar areal mata menggunakan pipa kapiler dan ditampung pada tabung mikro</w:t>
      </w:r>
      <w:r w:rsidRPr="006639DD">
        <w:rPr>
          <w:rFonts w:ascii="Times New Roman" w:hAnsi="Times New Roman" w:cs="Times New Roman"/>
          <w:sz w:val="24"/>
          <w:szCs w:val="24"/>
          <w:lang w:val="en-GB"/>
        </w:rPr>
        <w:t xml:space="preserve"> yang telah disterilisasi</w:t>
      </w:r>
      <w:r>
        <w:rPr>
          <w:rFonts w:ascii="Times New Roman" w:hAnsi="Times New Roman" w:cs="Times New Roman"/>
          <w:sz w:val="24"/>
          <w:szCs w:val="24"/>
        </w:rPr>
        <w:t>. D</w:t>
      </w:r>
      <w:r w:rsidRPr="006639DD">
        <w:rPr>
          <w:rFonts w:ascii="Times New Roman" w:hAnsi="Times New Roman" w:cs="Times New Roman"/>
          <w:sz w:val="24"/>
          <w:szCs w:val="24"/>
        </w:rPr>
        <w:t>arah ya</w:t>
      </w:r>
      <w:r>
        <w:rPr>
          <w:rFonts w:ascii="Times New Roman" w:hAnsi="Times New Roman" w:cs="Times New Roman"/>
          <w:sz w:val="24"/>
          <w:szCs w:val="24"/>
        </w:rPr>
        <w:t>ng diperoleh disentrifugasi</w:t>
      </w:r>
      <w:r w:rsidRPr="006639DD">
        <w:rPr>
          <w:rFonts w:ascii="Times New Roman" w:hAnsi="Times New Roman" w:cs="Times New Roman"/>
          <w:sz w:val="24"/>
          <w:szCs w:val="24"/>
        </w:rPr>
        <w:t xml:space="preserve"> pada kec</w:t>
      </w:r>
      <w:r>
        <w:rPr>
          <w:rFonts w:ascii="Times New Roman" w:hAnsi="Times New Roman" w:cs="Times New Roman"/>
          <w:sz w:val="24"/>
          <w:szCs w:val="24"/>
        </w:rPr>
        <w:t xml:space="preserve">epatan 4000 rpm selama 10 menit (Safwan </w:t>
      </w:r>
      <w:r w:rsidRPr="00757E91">
        <w:rPr>
          <w:rFonts w:ascii="Times New Roman" w:hAnsi="Times New Roman" w:cs="Times New Roman"/>
          <w:sz w:val="24"/>
          <w:szCs w:val="24"/>
        </w:rPr>
        <w:t>et al.</w:t>
      </w:r>
      <w:r>
        <w:rPr>
          <w:rFonts w:ascii="Times New Roman" w:hAnsi="Times New Roman" w:cs="Times New Roman"/>
          <w:sz w:val="24"/>
          <w:szCs w:val="24"/>
        </w:rPr>
        <w:t xml:space="preserve">, </w:t>
      </w:r>
      <w:r w:rsidRPr="001E590B">
        <w:rPr>
          <w:rFonts w:ascii="Times New Roman" w:hAnsi="Times New Roman" w:cs="Times New Roman"/>
          <w:sz w:val="24"/>
          <w:szCs w:val="24"/>
        </w:rPr>
        <w:t>2017</w:t>
      </w:r>
      <w:r>
        <w:rPr>
          <w:rFonts w:ascii="Times New Roman" w:hAnsi="Times New Roman" w:cs="Times New Roman"/>
          <w:sz w:val="24"/>
          <w:szCs w:val="24"/>
        </w:rPr>
        <w:t>).</w:t>
      </w:r>
      <w:r w:rsidR="00C902EC">
        <w:rPr>
          <w:rFonts w:ascii="Times New Roman" w:hAnsi="Times New Roman" w:cs="Times New Roman"/>
          <w:sz w:val="24"/>
          <w:szCs w:val="24"/>
        </w:rPr>
        <w:t xml:space="preserve"> </w:t>
      </w:r>
      <w:r>
        <w:rPr>
          <w:rFonts w:ascii="Times New Roman" w:hAnsi="Times New Roman" w:cs="Times New Roman"/>
          <w:sz w:val="24"/>
          <w:szCs w:val="24"/>
        </w:rPr>
        <w:t>L</w:t>
      </w:r>
      <w:r w:rsidRPr="006639DD">
        <w:rPr>
          <w:rFonts w:ascii="Times New Roman" w:hAnsi="Times New Roman" w:cs="Times New Roman"/>
          <w:sz w:val="24"/>
          <w:szCs w:val="24"/>
        </w:rPr>
        <w:t xml:space="preserve">apisan serum diambil </w:t>
      </w:r>
      <w:r w:rsidRPr="006639DD">
        <w:rPr>
          <w:rFonts w:ascii="Times New Roman" w:hAnsi="Times New Roman" w:cs="Times New Roman"/>
          <w:sz w:val="24"/>
          <w:szCs w:val="24"/>
          <w:lang w:val="en-GB"/>
        </w:rPr>
        <w:t>sebanyak 100 mikrolit</w:t>
      </w:r>
      <w:r w:rsidR="00C902EC">
        <w:rPr>
          <w:rFonts w:ascii="Times New Roman" w:hAnsi="Times New Roman" w:cs="Times New Roman"/>
          <w:sz w:val="24"/>
          <w:szCs w:val="24"/>
          <w:lang w:val="en-GB"/>
        </w:rPr>
        <w:t xml:space="preserve"> </w:t>
      </w:r>
      <w:r>
        <w:rPr>
          <w:rFonts w:ascii="Times New Roman" w:hAnsi="Times New Roman" w:cs="Times New Roman"/>
          <w:sz w:val="24"/>
          <w:szCs w:val="24"/>
        </w:rPr>
        <w:t xml:space="preserve">untuk pengukuran aktivitas </w:t>
      </w:r>
      <w:r w:rsidRPr="00C104C7">
        <w:rPr>
          <w:rFonts w:ascii="Times New Roman" w:hAnsi="Times New Roman" w:cs="Times New Roman"/>
          <w:bCs/>
          <w:i/>
          <w:color w:val="000000" w:themeColor="text1"/>
          <w:sz w:val="24"/>
          <w:szCs w:val="24"/>
        </w:rPr>
        <w:t xml:space="preserve">Serum Glutamat Oxaloasetat Transminase </w:t>
      </w:r>
      <w:r>
        <w:rPr>
          <w:rFonts w:ascii="Times New Roman" w:hAnsi="Times New Roman" w:cs="Times New Roman"/>
          <w:bCs/>
          <w:color w:val="000000" w:themeColor="text1"/>
          <w:sz w:val="24"/>
          <w:szCs w:val="24"/>
        </w:rPr>
        <w:t>(</w:t>
      </w:r>
      <w:r>
        <w:rPr>
          <w:rFonts w:ascii="Times New Roman" w:hAnsi="Times New Roman" w:cs="Times New Roman"/>
          <w:sz w:val="24"/>
          <w:szCs w:val="24"/>
        </w:rPr>
        <w:t xml:space="preserve">SGOT) dan </w:t>
      </w:r>
      <w:r w:rsidRPr="00C104C7">
        <w:rPr>
          <w:rFonts w:ascii="Times New Roman" w:hAnsi="Times New Roman" w:cs="Times New Roman"/>
          <w:bCs/>
          <w:i/>
          <w:color w:val="000000" w:themeColor="text1"/>
          <w:sz w:val="24"/>
          <w:szCs w:val="24"/>
        </w:rPr>
        <w:t>Serum Glutamat Piruvat Transaminase</w:t>
      </w:r>
      <w:r>
        <w:rPr>
          <w:rFonts w:ascii="Times New Roman" w:hAnsi="Times New Roman" w:cs="Times New Roman"/>
          <w:bCs/>
          <w:color w:val="000000" w:themeColor="text1"/>
          <w:sz w:val="24"/>
          <w:szCs w:val="24"/>
        </w:rPr>
        <w:t xml:space="preserve"> (</w:t>
      </w:r>
      <w:r>
        <w:rPr>
          <w:rFonts w:ascii="Times New Roman" w:hAnsi="Times New Roman" w:cs="Times New Roman"/>
          <w:sz w:val="24"/>
          <w:szCs w:val="24"/>
        </w:rPr>
        <w:t>SGP</w:t>
      </w:r>
      <w:r w:rsidRPr="006639DD">
        <w:rPr>
          <w:rFonts w:ascii="Times New Roman" w:hAnsi="Times New Roman" w:cs="Times New Roman"/>
          <w:sz w:val="24"/>
          <w:szCs w:val="24"/>
        </w:rPr>
        <w:t>T</w:t>
      </w:r>
      <w:r>
        <w:rPr>
          <w:rFonts w:ascii="Times New Roman" w:hAnsi="Times New Roman" w:cs="Times New Roman"/>
          <w:sz w:val="24"/>
          <w:szCs w:val="24"/>
        </w:rPr>
        <w:t>)</w:t>
      </w:r>
      <w:r w:rsidRPr="006639DD">
        <w:rPr>
          <w:rFonts w:ascii="Times New Roman" w:hAnsi="Times New Roman" w:cs="Times New Roman"/>
          <w:sz w:val="24"/>
          <w:szCs w:val="24"/>
          <w:lang w:val="en-GB"/>
        </w:rPr>
        <w:t>.</w:t>
      </w:r>
      <w:r w:rsidR="00C902EC">
        <w:rPr>
          <w:rFonts w:ascii="Times New Roman" w:hAnsi="Times New Roman" w:cs="Times New Roman"/>
          <w:sz w:val="24"/>
          <w:szCs w:val="24"/>
          <w:lang w:val="en-GB"/>
        </w:rPr>
        <w:t xml:space="preserve"> </w:t>
      </w:r>
      <w:r>
        <w:rPr>
          <w:rFonts w:ascii="Times New Roman" w:hAnsi="Times New Roman" w:cs="Times New Roman"/>
          <w:sz w:val="24"/>
          <w:szCs w:val="24"/>
          <w:lang w:val="en-GB"/>
        </w:rPr>
        <w:t>S</w:t>
      </w:r>
      <w:r w:rsidRPr="006639DD">
        <w:rPr>
          <w:rFonts w:ascii="Times New Roman" w:hAnsi="Times New Roman" w:cs="Times New Roman"/>
          <w:sz w:val="24"/>
          <w:szCs w:val="24"/>
          <w:lang w:val="en-GB"/>
        </w:rPr>
        <w:t>erum</w:t>
      </w:r>
      <w:r w:rsidR="00C902EC">
        <w:rPr>
          <w:rFonts w:ascii="Times New Roman" w:hAnsi="Times New Roman" w:cs="Times New Roman"/>
          <w:sz w:val="24"/>
          <w:szCs w:val="24"/>
          <w:lang w:val="en-GB"/>
        </w:rPr>
        <w:t xml:space="preserve"> </w:t>
      </w:r>
      <w:r w:rsidRPr="006639DD">
        <w:rPr>
          <w:rFonts w:ascii="Times New Roman" w:hAnsi="Times New Roman" w:cs="Times New Roman"/>
          <w:sz w:val="24"/>
          <w:szCs w:val="24"/>
          <w:lang w:val="en-GB"/>
        </w:rPr>
        <w:t>yang</w:t>
      </w:r>
      <w:r w:rsidR="00C902EC">
        <w:rPr>
          <w:rFonts w:ascii="Times New Roman" w:hAnsi="Times New Roman" w:cs="Times New Roman"/>
          <w:sz w:val="24"/>
          <w:szCs w:val="24"/>
          <w:lang w:val="en-GB"/>
        </w:rPr>
        <w:t xml:space="preserve"> </w:t>
      </w:r>
      <w:r w:rsidRPr="006639DD">
        <w:rPr>
          <w:rFonts w:ascii="Times New Roman" w:hAnsi="Times New Roman" w:cs="Times New Roman"/>
          <w:sz w:val="24"/>
          <w:szCs w:val="24"/>
          <w:lang w:val="en-GB"/>
        </w:rPr>
        <w:t>didapatkan</w:t>
      </w:r>
      <w:r w:rsidR="00C902EC">
        <w:rPr>
          <w:rFonts w:ascii="Times New Roman" w:hAnsi="Times New Roman" w:cs="Times New Roman"/>
          <w:sz w:val="24"/>
          <w:szCs w:val="24"/>
          <w:lang w:val="en-GB"/>
        </w:rPr>
        <w:t xml:space="preserve"> </w:t>
      </w:r>
      <w:r w:rsidRPr="006639DD">
        <w:rPr>
          <w:rFonts w:ascii="Times New Roman" w:hAnsi="Times New Roman" w:cs="Times New Roman"/>
          <w:sz w:val="24"/>
          <w:szCs w:val="24"/>
          <w:lang w:val="en-GB"/>
        </w:rPr>
        <w:t>dimasukkan</w:t>
      </w:r>
      <w:r w:rsidR="00C902EC">
        <w:rPr>
          <w:rFonts w:ascii="Times New Roman" w:hAnsi="Times New Roman" w:cs="Times New Roman"/>
          <w:sz w:val="24"/>
          <w:szCs w:val="24"/>
          <w:lang w:val="en-GB"/>
        </w:rPr>
        <w:t xml:space="preserve"> </w:t>
      </w:r>
      <w:r w:rsidRPr="006639DD">
        <w:rPr>
          <w:rFonts w:ascii="Times New Roman" w:hAnsi="Times New Roman" w:cs="Times New Roman"/>
          <w:sz w:val="24"/>
          <w:szCs w:val="24"/>
          <w:lang w:val="en-GB"/>
        </w:rPr>
        <w:t>ke</w:t>
      </w:r>
      <w:r w:rsidR="00C902EC">
        <w:rPr>
          <w:rFonts w:ascii="Times New Roman" w:hAnsi="Times New Roman" w:cs="Times New Roman"/>
          <w:sz w:val="24"/>
          <w:szCs w:val="24"/>
          <w:lang w:val="en-GB"/>
        </w:rPr>
        <w:t xml:space="preserve"> </w:t>
      </w:r>
      <w:r w:rsidRPr="006639DD">
        <w:rPr>
          <w:rFonts w:ascii="Times New Roman" w:hAnsi="Times New Roman" w:cs="Times New Roman"/>
          <w:sz w:val="24"/>
          <w:szCs w:val="24"/>
          <w:lang w:val="en-GB"/>
        </w:rPr>
        <w:t>dalam</w:t>
      </w:r>
      <w:r w:rsidR="00C902EC">
        <w:rPr>
          <w:rFonts w:ascii="Times New Roman" w:hAnsi="Times New Roman" w:cs="Times New Roman"/>
          <w:sz w:val="24"/>
          <w:szCs w:val="24"/>
          <w:lang w:val="en-GB"/>
        </w:rPr>
        <w:t xml:space="preserve"> </w:t>
      </w:r>
      <w:r w:rsidRPr="006639DD">
        <w:rPr>
          <w:rFonts w:ascii="Times New Roman" w:hAnsi="Times New Roman" w:cs="Times New Roman"/>
          <w:sz w:val="24"/>
          <w:szCs w:val="24"/>
          <w:lang w:val="en-GB"/>
        </w:rPr>
        <w:t>mikrotube</w:t>
      </w:r>
      <w:r>
        <w:rPr>
          <w:rFonts w:ascii="Times New Roman" w:hAnsi="Times New Roman" w:cs="Times New Roman"/>
          <w:sz w:val="24"/>
          <w:szCs w:val="24"/>
          <w:lang w:val="en-GB"/>
        </w:rPr>
        <w:t xml:space="preserve"> baru yang telah disterilisasi dan </w:t>
      </w:r>
      <w:r w:rsidRPr="006639DD">
        <w:rPr>
          <w:rFonts w:ascii="Times New Roman" w:hAnsi="Times New Roman" w:cs="Times New Roman"/>
          <w:sz w:val="24"/>
          <w:szCs w:val="24"/>
          <w:lang w:val="en-GB"/>
        </w:rPr>
        <w:t>dibawa ke suhu kamar (15-30</w:t>
      </w:r>
      <w:r>
        <w:rPr>
          <w:rFonts w:ascii="Times New Roman" w:hAnsi="Times New Roman" w:cs="Times New Roman"/>
          <w:sz w:val="24"/>
          <w:szCs w:val="24"/>
          <w:vertAlign w:val="superscript"/>
          <w:lang w:val="en-GB"/>
        </w:rPr>
        <w:t>0</w:t>
      </w:r>
      <w:r>
        <w:rPr>
          <w:rFonts w:ascii="Times New Roman" w:hAnsi="Times New Roman" w:cs="Times New Roman"/>
          <w:sz w:val="24"/>
          <w:szCs w:val="24"/>
          <w:lang w:val="en-GB"/>
        </w:rPr>
        <w:t>C).</w:t>
      </w:r>
      <w:r w:rsidR="00C902EC">
        <w:rPr>
          <w:rFonts w:ascii="Times New Roman" w:hAnsi="Times New Roman" w:cs="Times New Roman"/>
          <w:sz w:val="24"/>
          <w:szCs w:val="24"/>
          <w:lang w:val="en-GB"/>
        </w:rPr>
        <w:t xml:space="preserve"> </w:t>
      </w:r>
      <w:r>
        <w:rPr>
          <w:rFonts w:ascii="Times New Roman" w:hAnsi="Times New Roman" w:cs="Times New Roman"/>
          <w:sz w:val="24"/>
          <w:szCs w:val="24"/>
          <w:lang w:val="en-GB"/>
        </w:rPr>
        <w:t>S</w:t>
      </w:r>
      <w:r w:rsidRPr="006639DD">
        <w:rPr>
          <w:rFonts w:ascii="Times New Roman" w:hAnsi="Times New Roman" w:cs="Times New Roman"/>
          <w:sz w:val="24"/>
          <w:szCs w:val="24"/>
          <w:lang w:val="en-GB"/>
        </w:rPr>
        <w:t xml:space="preserve">ampel serum </w:t>
      </w:r>
      <w:r>
        <w:rPr>
          <w:rFonts w:ascii="Times New Roman" w:hAnsi="Times New Roman" w:cs="Times New Roman"/>
          <w:sz w:val="24"/>
          <w:szCs w:val="24"/>
          <w:lang w:val="en-GB"/>
        </w:rPr>
        <w:t xml:space="preserve">diambil </w:t>
      </w:r>
      <w:r w:rsidR="000F4912">
        <w:rPr>
          <w:rFonts w:ascii="Times New Roman" w:hAnsi="Times New Roman" w:cs="Times New Roman"/>
          <w:sz w:val="24"/>
          <w:szCs w:val="24"/>
          <w:lang w:val="en-GB"/>
        </w:rPr>
        <w:t>sebanyak 50 µ</w:t>
      </w:r>
      <w:r w:rsidR="000F4912">
        <w:rPr>
          <w:rFonts w:ascii="Times New Roman" w:hAnsi="Times New Roman" w:cs="Times New Roman"/>
          <w:sz w:val="24"/>
          <w:szCs w:val="24"/>
          <w:lang w:val="id-ID"/>
        </w:rPr>
        <w:t>L</w:t>
      </w:r>
      <w:r w:rsidRPr="006639DD">
        <w:rPr>
          <w:rFonts w:ascii="Times New Roman" w:hAnsi="Times New Roman" w:cs="Times New Roman"/>
          <w:sz w:val="24"/>
          <w:szCs w:val="24"/>
          <w:lang w:val="en-GB"/>
        </w:rPr>
        <w:t>,</w:t>
      </w:r>
      <w:r w:rsidR="000F4912">
        <w:rPr>
          <w:rFonts w:ascii="Times New Roman" w:hAnsi="Times New Roman" w:cs="Times New Roman"/>
          <w:sz w:val="24"/>
          <w:szCs w:val="24"/>
          <w:lang w:val="en-GB"/>
        </w:rPr>
        <w:t xml:space="preserve"> reagent 1 sebanyak 400 µ</w:t>
      </w:r>
      <w:r w:rsidR="000F4912">
        <w:rPr>
          <w:rFonts w:ascii="Times New Roman" w:hAnsi="Times New Roman" w:cs="Times New Roman"/>
          <w:sz w:val="24"/>
          <w:szCs w:val="24"/>
          <w:lang w:val="id-ID"/>
        </w:rPr>
        <w:t>L</w:t>
      </w:r>
      <w:r w:rsidRPr="006639DD">
        <w:rPr>
          <w:rFonts w:ascii="Times New Roman" w:hAnsi="Times New Roman" w:cs="Times New Roman"/>
          <w:sz w:val="24"/>
          <w:szCs w:val="24"/>
          <w:lang w:val="en-GB"/>
        </w:rPr>
        <w:t xml:space="preserve"> dan reagent 2 sebanyak </w:t>
      </w:r>
      <w:r w:rsidR="000F4912">
        <w:rPr>
          <w:rFonts w:ascii="Times New Roman" w:hAnsi="Times New Roman" w:cs="Times New Roman"/>
          <w:sz w:val="24"/>
          <w:szCs w:val="24"/>
          <w:lang w:val="en-GB"/>
        </w:rPr>
        <w:t xml:space="preserve">100 </w:t>
      </w:r>
      <w:r w:rsidR="000F4912">
        <w:rPr>
          <w:rFonts w:ascii="Times New Roman" w:hAnsi="Times New Roman" w:cs="Times New Roman"/>
          <w:sz w:val="24"/>
          <w:szCs w:val="24"/>
          <w:lang w:val="id-ID"/>
        </w:rPr>
        <w:t xml:space="preserve"> </w:t>
      </w:r>
      <w:r w:rsidR="000F4912">
        <w:rPr>
          <w:rFonts w:ascii="Times New Roman" w:hAnsi="Times New Roman" w:cs="Times New Roman"/>
          <w:sz w:val="24"/>
          <w:szCs w:val="24"/>
          <w:lang w:val="en-GB"/>
        </w:rPr>
        <w:t>µ</w:t>
      </w:r>
      <w:r w:rsidR="000F4912">
        <w:rPr>
          <w:rFonts w:ascii="Times New Roman" w:hAnsi="Times New Roman" w:cs="Times New Roman"/>
          <w:sz w:val="24"/>
          <w:szCs w:val="24"/>
          <w:lang w:val="id-ID"/>
        </w:rPr>
        <w:t xml:space="preserve">L, </w:t>
      </w:r>
      <w:r w:rsidRPr="006639DD">
        <w:rPr>
          <w:rFonts w:ascii="Times New Roman" w:hAnsi="Times New Roman" w:cs="Times New Roman"/>
          <w:sz w:val="24"/>
          <w:szCs w:val="24"/>
          <w:lang w:val="en-GB"/>
        </w:rPr>
        <w:t>kemu</w:t>
      </w:r>
      <w:r>
        <w:rPr>
          <w:rFonts w:ascii="Times New Roman" w:hAnsi="Times New Roman" w:cs="Times New Roman"/>
          <w:sz w:val="24"/>
          <w:szCs w:val="24"/>
          <w:lang w:val="en-GB"/>
        </w:rPr>
        <w:t>dian dicampur dan inkubasi 37</w:t>
      </w:r>
      <w:r>
        <w:rPr>
          <w:rFonts w:ascii="Times New Roman" w:hAnsi="Times New Roman" w:cs="Times New Roman"/>
          <w:sz w:val="24"/>
          <w:szCs w:val="24"/>
          <w:vertAlign w:val="superscript"/>
          <w:lang w:val="en-GB"/>
        </w:rPr>
        <w:t>0</w:t>
      </w:r>
      <w:r>
        <w:rPr>
          <w:rFonts w:ascii="Times New Roman" w:hAnsi="Times New Roman" w:cs="Times New Roman"/>
          <w:sz w:val="24"/>
          <w:szCs w:val="24"/>
          <w:lang w:val="en-GB"/>
        </w:rPr>
        <w:t>C. Setelah 60 detik, di</w:t>
      </w:r>
      <w:r w:rsidRPr="006639DD">
        <w:rPr>
          <w:rFonts w:ascii="Times New Roman" w:hAnsi="Times New Roman" w:cs="Times New Roman"/>
          <w:sz w:val="24"/>
          <w:szCs w:val="24"/>
          <w:lang w:val="en-GB"/>
        </w:rPr>
        <w:t xml:space="preserve">baca dan </w:t>
      </w:r>
      <w:r>
        <w:rPr>
          <w:rFonts w:ascii="Times New Roman" w:hAnsi="Times New Roman" w:cs="Times New Roman"/>
          <w:sz w:val="24"/>
          <w:szCs w:val="24"/>
          <w:lang w:val="en-GB"/>
        </w:rPr>
        <w:t>di</w:t>
      </w:r>
      <w:r w:rsidRPr="006639DD">
        <w:rPr>
          <w:rFonts w:ascii="Times New Roman" w:hAnsi="Times New Roman" w:cs="Times New Roman"/>
          <w:sz w:val="24"/>
          <w:szCs w:val="24"/>
          <w:lang w:val="en-GB"/>
        </w:rPr>
        <w:t>catat absorbansi</w:t>
      </w:r>
      <w:r>
        <w:rPr>
          <w:rFonts w:ascii="Times New Roman" w:hAnsi="Times New Roman" w:cs="Times New Roman"/>
          <w:sz w:val="24"/>
          <w:szCs w:val="24"/>
          <w:lang w:val="en-GB"/>
        </w:rPr>
        <w:t>nya</w:t>
      </w:r>
      <w:r w:rsidR="001E0D09">
        <w:rPr>
          <w:rFonts w:ascii="Times New Roman" w:hAnsi="Times New Roman" w:cs="Times New Roman"/>
          <w:sz w:val="24"/>
          <w:szCs w:val="24"/>
          <w:lang w:val="id-ID"/>
        </w:rPr>
        <w:t xml:space="preserve"> </w:t>
      </w:r>
      <w:r w:rsidR="001E0D09">
        <w:rPr>
          <w:rFonts w:ascii="Times New Roman" w:hAnsi="Times New Roman" w:cs="Times New Roman"/>
          <w:sz w:val="24"/>
          <w:szCs w:val="24"/>
          <w:lang w:val="en-GB"/>
        </w:rPr>
        <w:t>dengan panjang gelombang 340 nm</w:t>
      </w:r>
      <w:r>
        <w:rPr>
          <w:rFonts w:ascii="Times New Roman" w:hAnsi="Times New Roman" w:cs="Times New Roman"/>
          <w:sz w:val="24"/>
          <w:szCs w:val="24"/>
          <w:lang w:val="en-GB"/>
        </w:rPr>
        <w:t>.</w:t>
      </w:r>
      <w:r w:rsidR="00C902EC">
        <w:rPr>
          <w:rFonts w:ascii="Times New Roman" w:hAnsi="Times New Roman" w:cs="Times New Roman"/>
          <w:sz w:val="24"/>
          <w:szCs w:val="24"/>
          <w:lang w:val="en-GB"/>
        </w:rPr>
        <w:t xml:space="preserve">  </w:t>
      </w:r>
      <w:r>
        <w:rPr>
          <w:rFonts w:ascii="Times New Roman" w:hAnsi="Times New Roman" w:cs="Times New Roman"/>
          <w:sz w:val="24"/>
          <w:szCs w:val="24"/>
          <w:lang w:val="en-GB"/>
        </w:rPr>
        <w:t>Hasil data diperoleh dan</w:t>
      </w:r>
      <w:r w:rsidRPr="006639DD">
        <w:rPr>
          <w:rFonts w:ascii="Times New Roman" w:hAnsi="Times New Roman" w:cs="Times New Roman"/>
          <w:sz w:val="24"/>
          <w:szCs w:val="24"/>
          <w:lang w:val="en-GB"/>
        </w:rPr>
        <w:t xml:space="preserve"> diolah dengan menghitung perbedaan absorbansi rata-rata per</w:t>
      </w:r>
      <w:r>
        <w:rPr>
          <w:rFonts w:ascii="Times New Roman" w:hAnsi="Times New Roman" w:cs="Times New Roman"/>
          <w:sz w:val="24"/>
          <w:szCs w:val="24"/>
          <w:lang w:val="en-GB"/>
        </w:rPr>
        <w:t xml:space="preserve"> menit (Abs/Min). Hasil abs/</w:t>
      </w:r>
      <w:r w:rsidRPr="006639DD">
        <w:rPr>
          <w:rFonts w:ascii="Times New Roman" w:hAnsi="Times New Roman" w:cs="Times New Roman"/>
          <w:sz w:val="24"/>
          <w:szCs w:val="24"/>
          <w:lang w:val="en-GB"/>
        </w:rPr>
        <w:t xml:space="preserve">menit </w:t>
      </w:r>
      <w:r>
        <w:rPr>
          <w:rFonts w:ascii="Times New Roman" w:hAnsi="Times New Roman" w:cs="Times New Roman"/>
          <w:sz w:val="24"/>
          <w:szCs w:val="24"/>
          <w:lang w:val="en-GB"/>
        </w:rPr>
        <w:t xml:space="preserve">yang didapat </w:t>
      </w:r>
      <w:r w:rsidRPr="006639DD">
        <w:rPr>
          <w:rFonts w:ascii="Times New Roman" w:hAnsi="Times New Roman" w:cs="Times New Roman"/>
          <w:sz w:val="24"/>
          <w:szCs w:val="24"/>
          <w:lang w:val="en-GB"/>
        </w:rPr>
        <w:t>dikalikan denga</w:t>
      </w:r>
      <w:r>
        <w:rPr>
          <w:rFonts w:ascii="Times New Roman" w:hAnsi="Times New Roman" w:cs="Times New Roman"/>
          <w:sz w:val="24"/>
          <w:szCs w:val="24"/>
          <w:lang w:val="en-GB"/>
        </w:rPr>
        <w:t>n faktor 1746 (faktor untuk SGOT) sedangkan SGPT</w:t>
      </w:r>
      <w:r w:rsidRPr="006639DD">
        <w:rPr>
          <w:rFonts w:ascii="Times New Roman" w:hAnsi="Times New Roman" w:cs="Times New Roman"/>
          <w:sz w:val="24"/>
          <w:szCs w:val="24"/>
          <w:lang w:val="en-GB"/>
        </w:rPr>
        <w:t xml:space="preserve"> dengan faktor 1768</w:t>
      </w:r>
      <w:r w:rsidR="00C902EC">
        <w:rPr>
          <w:rFonts w:ascii="Times New Roman" w:hAnsi="Times New Roman" w:cs="Times New Roman"/>
          <w:sz w:val="24"/>
          <w:szCs w:val="24"/>
          <w:lang w:val="en-GB"/>
        </w:rPr>
        <w:t xml:space="preserve"> </w:t>
      </w:r>
      <w:r w:rsidRPr="006639DD">
        <w:rPr>
          <w:rFonts w:ascii="Times New Roman" w:hAnsi="Times New Roman" w:cs="Times New Roman"/>
          <w:sz w:val="24"/>
          <w:szCs w:val="24"/>
          <w:lang w:val="en-GB"/>
        </w:rPr>
        <w:t>yang ak</w:t>
      </w:r>
      <w:r>
        <w:rPr>
          <w:rFonts w:ascii="Times New Roman" w:hAnsi="Times New Roman" w:cs="Times New Roman"/>
          <w:sz w:val="24"/>
          <w:szCs w:val="24"/>
          <w:lang w:val="en-GB"/>
        </w:rPr>
        <w:t>an menghasilkan hasil dalam U/L (Bergmeyer, Horder &amp; Rej, 1986).</w:t>
      </w:r>
    </w:p>
    <w:p w14:paraId="4B14F578" w14:textId="77777777" w:rsidR="000F4912" w:rsidRDefault="000F4912" w:rsidP="009E013C">
      <w:pPr>
        <w:tabs>
          <w:tab w:val="left" w:pos="720"/>
        </w:tabs>
        <w:spacing w:after="0" w:line="360" w:lineRule="auto"/>
        <w:jc w:val="both"/>
        <w:rPr>
          <w:rFonts w:ascii="Times New Roman" w:hAnsi="Times New Roman" w:cs="Times New Roman"/>
          <w:sz w:val="24"/>
          <w:szCs w:val="24"/>
          <w:lang w:val="en-GB"/>
        </w:rPr>
      </w:pPr>
    </w:p>
    <w:p w14:paraId="7E19C6C5" w14:textId="77777777" w:rsidR="00E833D8" w:rsidRPr="0004669A" w:rsidRDefault="00E833D8" w:rsidP="00E833D8">
      <w:pPr>
        <w:keepNext/>
        <w:keepLines/>
        <w:spacing w:before="40" w:after="0" w:line="360" w:lineRule="auto"/>
        <w:jc w:val="both"/>
        <w:outlineLvl w:val="2"/>
        <w:rPr>
          <w:rFonts w:ascii="Times New Roman" w:eastAsia="Times New Roman" w:hAnsi="Times New Roman" w:cs="Times New Roman"/>
          <w:bCs/>
          <w:noProof/>
          <w:sz w:val="24"/>
          <w:szCs w:val="24"/>
          <w:lang w:eastAsia="id-ID"/>
        </w:rPr>
      </w:pPr>
      <w:r>
        <w:rPr>
          <w:rFonts w:ascii="Times New Roman" w:eastAsia="Times New Roman" w:hAnsi="Times New Roman" w:cs="Times New Roman"/>
          <w:b/>
          <w:bCs/>
          <w:noProof/>
          <w:sz w:val="24"/>
          <w:szCs w:val="24"/>
          <w:lang w:eastAsia="id-ID"/>
        </w:rPr>
        <w:t>Pembedahan dan Pengamatan Organ Viseral M</w:t>
      </w:r>
      <w:r w:rsidRPr="0004669A">
        <w:rPr>
          <w:rFonts w:ascii="Times New Roman" w:eastAsia="Times New Roman" w:hAnsi="Times New Roman" w:cs="Times New Roman"/>
          <w:b/>
          <w:bCs/>
          <w:noProof/>
          <w:sz w:val="24"/>
          <w:szCs w:val="24"/>
          <w:lang w:eastAsia="id-ID"/>
        </w:rPr>
        <w:t>encit</w:t>
      </w:r>
      <w:r w:rsidR="00C902EC">
        <w:rPr>
          <w:rFonts w:ascii="Times New Roman" w:eastAsia="Times New Roman" w:hAnsi="Times New Roman" w:cs="Times New Roman"/>
          <w:b/>
          <w:bCs/>
          <w:noProof/>
          <w:sz w:val="24"/>
          <w:szCs w:val="24"/>
          <w:lang w:eastAsia="id-ID"/>
        </w:rPr>
        <w:t xml:space="preserve"> </w:t>
      </w:r>
      <w:r w:rsidRPr="00B60CC3">
        <w:rPr>
          <w:rFonts w:ascii="Times New Roman" w:eastAsia="Times New Roman" w:hAnsi="Times New Roman" w:cs="Times New Roman"/>
          <w:b/>
          <w:bCs/>
          <w:noProof/>
          <w:sz w:val="24"/>
          <w:szCs w:val="24"/>
          <w:lang w:eastAsia="id-ID"/>
        </w:rPr>
        <w:t>(</w:t>
      </w:r>
      <w:r w:rsidRPr="00B60CC3">
        <w:rPr>
          <w:rFonts w:ascii="Times New Roman" w:eastAsia="Times New Roman" w:hAnsi="Times New Roman" w:cs="Times New Roman"/>
          <w:b/>
          <w:bCs/>
          <w:i/>
          <w:noProof/>
          <w:sz w:val="24"/>
          <w:szCs w:val="24"/>
          <w:lang w:eastAsia="id-ID"/>
        </w:rPr>
        <w:t>Mus musculus)</w:t>
      </w:r>
    </w:p>
    <w:p w14:paraId="3DEB6D07" w14:textId="68C4E7D3" w:rsidR="00FB01F8" w:rsidRDefault="00F03065" w:rsidP="00A953BD">
      <w:pPr>
        <w:spacing w:after="0" w:line="360" w:lineRule="auto"/>
        <w:contextualSpacing/>
        <w:jc w:val="both"/>
        <w:rPr>
          <w:rFonts w:ascii="Times New Roman" w:eastAsia="Times New Roman" w:hAnsi="Times New Roman" w:cs="Times New Roman"/>
          <w:bCs/>
          <w:noProof/>
          <w:sz w:val="24"/>
          <w:szCs w:val="24"/>
          <w:lang w:eastAsia="id-ID"/>
        </w:rPr>
      </w:pPr>
      <w:r>
        <w:rPr>
          <w:rFonts w:ascii="Times New Roman" w:eastAsia="Times New Roman" w:hAnsi="Times New Roman" w:cs="Times New Roman"/>
          <w:bCs/>
          <w:noProof/>
          <w:sz w:val="24"/>
          <w:szCs w:val="24"/>
          <w:lang w:eastAsia="id-ID"/>
        </w:rPr>
        <w:t xml:space="preserve">Mencit yang telah diambil serumnya kemudian didislokasi leher. Mencit dibedah dan dilakukan pengamatan kondisi makroskopis organ viseral berupa warna dan tekstur, </w:t>
      </w:r>
      <w:r>
        <w:rPr>
          <w:rFonts w:ascii="Times New Roman" w:eastAsia="Times New Roman" w:hAnsi="Times New Roman" w:cs="Times New Roman"/>
          <w:bCs/>
          <w:noProof/>
          <w:sz w:val="24"/>
          <w:szCs w:val="24"/>
          <w:lang w:eastAsia="id-ID"/>
        </w:rPr>
        <w:lastRenderedPageBreak/>
        <w:t xml:space="preserve">kemudian organ viseral diisolasi dan ditimbang beratnya. </w:t>
      </w:r>
      <w:r w:rsidR="00E833D8">
        <w:rPr>
          <w:rFonts w:ascii="Times New Roman" w:eastAsia="Times New Roman" w:hAnsi="Times New Roman" w:cs="Times New Roman"/>
          <w:bCs/>
          <w:noProof/>
          <w:sz w:val="24"/>
          <w:szCs w:val="24"/>
          <w:lang w:eastAsia="id-ID"/>
        </w:rPr>
        <w:t xml:space="preserve">Organ viseral </w:t>
      </w:r>
      <w:r w:rsidR="00E833D8" w:rsidRPr="0004669A">
        <w:rPr>
          <w:rFonts w:ascii="Times New Roman" w:eastAsia="Times New Roman" w:hAnsi="Times New Roman" w:cs="Times New Roman"/>
          <w:bCs/>
          <w:noProof/>
          <w:sz w:val="24"/>
          <w:szCs w:val="24"/>
          <w:lang w:eastAsia="id-ID"/>
        </w:rPr>
        <w:t xml:space="preserve">yang diamati </w:t>
      </w:r>
      <w:r>
        <w:rPr>
          <w:rFonts w:ascii="Times New Roman" w:eastAsia="Times New Roman" w:hAnsi="Times New Roman" w:cs="Times New Roman"/>
          <w:bCs/>
          <w:noProof/>
          <w:sz w:val="24"/>
          <w:szCs w:val="24"/>
          <w:lang w:eastAsia="id-ID"/>
        </w:rPr>
        <w:t xml:space="preserve">dan diisolasi </w:t>
      </w:r>
      <w:r w:rsidR="00E833D8" w:rsidRPr="0004669A">
        <w:rPr>
          <w:rFonts w:ascii="Times New Roman" w:eastAsia="Times New Roman" w:hAnsi="Times New Roman" w:cs="Times New Roman"/>
          <w:bCs/>
          <w:noProof/>
          <w:sz w:val="24"/>
          <w:szCs w:val="24"/>
          <w:lang w:eastAsia="id-ID"/>
        </w:rPr>
        <w:t>adalah</w:t>
      </w:r>
      <w:r w:rsidR="00E833D8">
        <w:rPr>
          <w:rFonts w:ascii="Times New Roman" w:eastAsia="Times New Roman" w:hAnsi="Times New Roman" w:cs="Times New Roman"/>
          <w:bCs/>
          <w:noProof/>
          <w:sz w:val="24"/>
          <w:szCs w:val="24"/>
          <w:lang w:eastAsia="id-ID"/>
        </w:rPr>
        <w:t xml:space="preserve"> jantung, paru-paru, lambung, usus, hati pankreas, ginjal, limpa.</w:t>
      </w:r>
      <w:r w:rsidR="00E833D8" w:rsidRPr="0004669A">
        <w:rPr>
          <w:rFonts w:ascii="Times New Roman" w:eastAsia="Times New Roman" w:hAnsi="Times New Roman" w:cs="Times New Roman"/>
          <w:bCs/>
          <w:noProof/>
          <w:sz w:val="24"/>
          <w:szCs w:val="24"/>
          <w:lang w:eastAsia="id-ID"/>
        </w:rPr>
        <w:t xml:space="preserve"> </w:t>
      </w:r>
    </w:p>
    <w:p w14:paraId="64FE7912" w14:textId="77777777" w:rsidR="00F03065" w:rsidRDefault="00F03065" w:rsidP="00362EDC">
      <w:pPr>
        <w:spacing w:line="360" w:lineRule="auto"/>
        <w:contextualSpacing/>
        <w:jc w:val="both"/>
        <w:rPr>
          <w:rFonts w:ascii="Times New Roman" w:hAnsi="Times New Roman" w:cs="Times New Roman"/>
          <w:b/>
          <w:bCs/>
          <w:sz w:val="24"/>
          <w:szCs w:val="24"/>
          <w:lang w:val="en-GB"/>
        </w:rPr>
      </w:pPr>
    </w:p>
    <w:p w14:paraId="0BC269F5" w14:textId="77777777" w:rsidR="00362EDC" w:rsidRPr="00285930" w:rsidRDefault="00362EDC" w:rsidP="00362EDC">
      <w:pPr>
        <w:spacing w:line="360" w:lineRule="auto"/>
        <w:contextualSpacing/>
        <w:jc w:val="both"/>
        <w:rPr>
          <w:rFonts w:ascii="Times New Roman" w:hAnsi="Times New Roman" w:cs="Times New Roman"/>
          <w:sz w:val="24"/>
          <w:szCs w:val="24"/>
        </w:rPr>
      </w:pPr>
      <w:r w:rsidRPr="006639DD">
        <w:rPr>
          <w:rFonts w:ascii="Times New Roman" w:hAnsi="Times New Roman" w:cs="Times New Roman"/>
          <w:b/>
          <w:bCs/>
          <w:sz w:val="24"/>
          <w:szCs w:val="24"/>
          <w:lang w:val="en-GB"/>
        </w:rPr>
        <w:t xml:space="preserve">Analisis Data </w:t>
      </w:r>
    </w:p>
    <w:p w14:paraId="3C678943" w14:textId="77777777" w:rsidR="009E013C" w:rsidRDefault="00362EDC" w:rsidP="00362EDC">
      <w:pPr>
        <w:spacing w:line="360" w:lineRule="auto"/>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Data </w:t>
      </w:r>
      <w:r w:rsidRPr="00C104C7">
        <w:rPr>
          <w:rFonts w:ascii="Times New Roman" w:hAnsi="Times New Roman" w:cs="Times New Roman"/>
          <w:bCs/>
          <w:i/>
          <w:color w:val="000000" w:themeColor="text1"/>
          <w:sz w:val="24"/>
          <w:szCs w:val="24"/>
        </w:rPr>
        <w:t>Serum Glutamat Oxaloasetat Transminase</w:t>
      </w:r>
      <w:r>
        <w:rPr>
          <w:rFonts w:ascii="Times New Roman" w:hAnsi="Times New Roman" w:cs="Times New Roman"/>
          <w:bCs/>
          <w:color w:val="000000" w:themeColor="text1"/>
          <w:sz w:val="24"/>
          <w:szCs w:val="24"/>
        </w:rPr>
        <w:t xml:space="preserve"> (</w:t>
      </w:r>
      <w:r>
        <w:rPr>
          <w:rFonts w:ascii="Times New Roman" w:hAnsi="Times New Roman" w:cs="Times New Roman"/>
          <w:sz w:val="24"/>
          <w:szCs w:val="24"/>
          <w:lang w:val="en-GB"/>
        </w:rPr>
        <w:t xml:space="preserve">SGOT) dan </w:t>
      </w:r>
      <w:r w:rsidRPr="00C104C7">
        <w:rPr>
          <w:rFonts w:ascii="Times New Roman" w:hAnsi="Times New Roman" w:cs="Times New Roman"/>
          <w:bCs/>
          <w:i/>
          <w:color w:val="000000" w:themeColor="text1"/>
          <w:sz w:val="24"/>
          <w:szCs w:val="24"/>
        </w:rPr>
        <w:t>Serum Glutamat Piruvat Transaminase</w:t>
      </w:r>
      <w:r>
        <w:rPr>
          <w:rFonts w:ascii="Times New Roman" w:hAnsi="Times New Roman" w:cs="Times New Roman"/>
          <w:bCs/>
          <w:color w:val="000000" w:themeColor="text1"/>
          <w:sz w:val="24"/>
          <w:szCs w:val="24"/>
        </w:rPr>
        <w:t xml:space="preserve"> (</w:t>
      </w:r>
      <w:r>
        <w:rPr>
          <w:rFonts w:ascii="Times New Roman" w:hAnsi="Times New Roman" w:cs="Times New Roman"/>
          <w:sz w:val="24"/>
          <w:szCs w:val="24"/>
          <w:lang w:val="en-GB"/>
        </w:rPr>
        <w:t>SGP</w:t>
      </w:r>
      <w:r w:rsidRPr="006639DD">
        <w:rPr>
          <w:rFonts w:ascii="Times New Roman" w:hAnsi="Times New Roman" w:cs="Times New Roman"/>
          <w:sz w:val="24"/>
          <w:szCs w:val="24"/>
          <w:lang w:val="en-GB"/>
        </w:rPr>
        <w:t>T</w:t>
      </w:r>
      <w:r>
        <w:rPr>
          <w:rFonts w:ascii="Times New Roman" w:hAnsi="Times New Roman" w:cs="Times New Roman"/>
          <w:sz w:val="24"/>
          <w:szCs w:val="24"/>
          <w:lang w:val="en-GB"/>
        </w:rPr>
        <w:t>)</w:t>
      </w:r>
      <w:r w:rsidRPr="006639DD">
        <w:rPr>
          <w:rFonts w:ascii="Times New Roman" w:hAnsi="Times New Roman" w:cs="Times New Roman"/>
          <w:sz w:val="24"/>
          <w:szCs w:val="24"/>
          <w:lang w:val="en-GB"/>
        </w:rPr>
        <w:t xml:space="preserve"> yang telah diperoleh kemudian diolah dengan</w:t>
      </w:r>
      <w:r w:rsidR="000F4912">
        <w:rPr>
          <w:rFonts w:ascii="Times New Roman" w:hAnsi="Times New Roman" w:cs="Times New Roman"/>
          <w:sz w:val="24"/>
          <w:szCs w:val="24"/>
          <w:lang w:val="id-ID"/>
        </w:rPr>
        <w:t xml:space="preserve"> </w:t>
      </w:r>
      <w:r w:rsidRPr="006639DD">
        <w:rPr>
          <w:rFonts w:ascii="Times New Roman" w:hAnsi="Times New Roman" w:cs="Times New Roman"/>
          <w:sz w:val="24"/>
          <w:szCs w:val="24"/>
          <w:lang w:val="en-GB"/>
        </w:rPr>
        <w:t>program SPSS (</w:t>
      </w:r>
      <w:r w:rsidRPr="00342672">
        <w:rPr>
          <w:rFonts w:ascii="Times New Roman" w:hAnsi="Times New Roman" w:cs="Times New Roman"/>
          <w:i/>
          <w:sz w:val="24"/>
          <w:szCs w:val="24"/>
          <w:lang w:val="en-GB"/>
        </w:rPr>
        <w:t>Statistical Product and Service Solution</w:t>
      </w:r>
      <w:r w:rsidRPr="006639D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25.0 </w:t>
      </w:r>
      <w:r w:rsidRPr="00342672">
        <w:rPr>
          <w:rFonts w:ascii="Times New Roman" w:hAnsi="Times New Roman" w:cs="Times New Roman"/>
          <w:i/>
          <w:sz w:val="24"/>
          <w:szCs w:val="24"/>
          <w:lang w:val="en-GB"/>
        </w:rPr>
        <w:t>for windows</w:t>
      </w:r>
      <w:r w:rsidR="00353481">
        <w:rPr>
          <w:rFonts w:ascii="Times New Roman" w:hAnsi="Times New Roman" w:cs="Times New Roman"/>
          <w:i/>
          <w:sz w:val="24"/>
          <w:szCs w:val="24"/>
          <w:lang w:val="en-GB"/>
        </w:rPr>
        <w:t xml:space="preserve"> </w:t>
      </w:r>
      <w:r w:rsidRPr="006639DD">
        <w:rPr>
          <w:rFonts w:ascii="Times New Roman" w:hAnsi="Times New Roman" w:cs="Times New Roman"/>
          <w:sz w:val="24"/>
          <w:szCs w:val="24"/>
          <w:lang w:val="en-GB"/>
        </w:rPr>
        <w:t xml:space="preserve">dengan menggunakan </w:t>
      </w:r>
      <w:r>
        <w:rPr>
          <w:rFonts w:ascii="Times New Roman" w:hAnsi="Times New Roman" w:cs="Times New Roman"/>
          <w:sz w:val="24"/>
          <w:szCs w:val="24"/>
          <w:lang w:val="en-GB"/>
        </w:rPr>
        <w:t xml:space="preserve">uji </w:t>
      </w:r>
      <w:r w:rsidRPr="00F90E36">
        <w:rPr>
          <w:rFonts w:ascii="Times New Roman" w:hAnsi="Times New Roman" w:cs="Times New Roman"/>
          <w:sz w:val="24"/>
          <w:szCs w:val="24"/>
          <w:lang w:val="en-GB"/>
        </w:rPr>
        <w:t>Paramet</w:t>
      </w:r>
      <w:r>
        <w:rPr>
          <w:rFonts w:ascii="Times New Roman" w:hAnsi="Times New Roman" w:cs="Times New Roman"/>
          <w:sz w:val="24"/>
          <w:szCs w:val="24"/>
          <w:lang w:val="en-GB"/>
        </w:rPr>
        <w:t>r</w:t>
      </w:r>
      <w:r w:rsidRPr="00F90E36">
        <w:rPr>
          <w:rFonts w:ascii="Times New Roman" w:hAnsi="Times New Roman" w:cs="Times New Roman"/>
          <w:sz w:val="24"/>
          <w:szCs w:val="24"/>
          <w:lang w:val="en-GB"/>
        </w:rPr>
        <w:t>ik</w:t>
      </w:r>
      <w:r>
        <w:rPr>
          <w:rFonts w:ascii="Times New Roman" w:hAnsi="Times New Roman" w:cs="Times New Roman"/>
          <w:sz w:val="24"/>
          <w:szCs w:val="24"/>
          <w:lang w:val="en-GB"/>
        </w:rPr>
        <w:t xml:space="preserve"> An</w:t>
      </w:r>
      <w:r w:rsidRPr="006639DD">
        <w:rPr>
          <w:rFonts w:ascii="Times New Roman" w:hAnsi="Times New Roman" w:cs="Times New Roman"/>
          <w:sz w:val="24"/>
          <w:szCs w:val="24"/>
          <w:lang w:val="en-GB"/>
        </w:rPr>
        <w:t>ova</w:t>
      </w:r>
      <w:r>
        <w:rPr>
          <w:rFonts w:ascii="Times New Roman" w:hAnsi="Times New Roman" w:cs="Times New Roman"/>
          <w:sz w:val="24"/>
          <w:szCs w:val="24"/>
          <w:lang w:val="en-GB"/>
        </w:rPr>
        <w:t>.</w:t>
      </w:r>
      <w:r w:rsidR="00353481">
        <w:rPr>
          <w:rFonts w:ascii="Times New Roman" w:hAnsi="Times New Roman" w:cs="Times New Roman"/>
          <w:sz w:val="24"/>
          <w:szCs w:val="24"/>
          <w:lang w:val="en-GB"/>
        </w:rPr>
        <w:t xml:space="preserve"> </w:t>
      </w:r>
    </w:p>
    <w:p w14:paraId="71F3CD57" w14:textId="77777777" w:rsidR="00472213" w:rsidRDefault="00472213" w:rsidP="00362EDC">
      <w:pPr>
        <w:spacing w:line="360" w:lineRule="auto"/>
        <w:contextualSpacing/>
        <w:jc w:val="both"/>
        <w:rPr>
          <w:rFonts w:ascii="Times New Roman" w:hAnsi="Times New Roman" w:cs="Times New Roman"/>
          <w:sz w:val="24"/>
          <w:szCs w:val="24"/>
          <w:lang w:val="en-GB"/>
        </w:rPr>
      </w:pPr>
    </w:p>
    <w:bookmarkEnd w:id="1"/>
    <w:bookmarkEnd w:id="2"/>
    <w:p w14:paraId="6B02AE85" w14:textId="15015F9A" w:rsidR="005208BF" w:rsidRDefault="00C2585F" w:rsidP="005208BF">
      <w:pPr>
        <w:spacing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HASIL</w:t>
      </w:r>
      <w:r w:rsidR="00845092">
        <w:rPr>
          <w:rFonts w:ascii="Times New Roman" w:hAnsi="Times New Roman" w:cs="Times New Roman"/>
          <w:b/>
          <w:sz w:val="24"/>
          <w:szCs w:val="24"/>
          <w:lang w:val="en-ID"/>
        </w:rPr>
        <w:t xml:space="preserve"> </w:t>
      </w:r>
    </w:p>
    <w:p w14:paraId="7A9C204A" w14:textId="4ECAD603" w:rsidR="00353481" w:rsidRPr="00845092" w:rsidRDefault="00115DC0" w:rsidP="00845092">
      <w:pPr>
        <w:spacing w:line="360" w:lineRule="auto"/>
        <w:contextualSpacing/>
        <w:jc w:val="both"/>
        <w:rPr>
          <w:rFonts w:ascii="Times New Roman" w:hAnsi="Times New Roman" w:cs="Times New Roman"/>
          <w:b/>
          <w:sz w:val="24"/>
          <w:szCs w:val="24"/>
        </w:rPr>
      </w:pPr>
      <w:r w:rsidRPr="00115DC0">
        <w:rPr>
          <w:rFonts w:ascii="Times New Roman" w:hAnsi="Times New Roman" w:cs="Times New Roman"/>
          <w:b/>
          <w:sz w:val="24"/>
          <w:szCs w:val="24"/>
        </w:rPr>
        <w:t>Uji Toksisitas Subakut dan Pengamatan Kondisi Fisik Mencit</w:t>
      </w:r>
      <w:r w:rsidR="00353481">
        <w:rPr>
          <w:rFonts w:ascii="Times New Roman" w:hAnsi="Times New Roman" w:cs="Times New Roman"/>
          <w:sz w:val="24"/>
          <w:szCs w:val="24"/>
        </w:rPr>
        <w:t xml:space="preserve">  </w:t>
      </w:r>
    </w:p>
    <w:p w14:paraId="4450849D" w14:textId="58C69D98" w:rsidR="00FB01F8" w:rsidRDefault="00115DC0" w:rsidP="00845092">
      <w:pPr>
        <w:spacing w:line="360" w:lineRule="auto"/>
        <w:ind w:firstLine="720"/>
        <w:contextualSpacing/>
        <w:jc w:val="both"/>
        <w:rPr>
          <w:rFonts w:ascii="Times New Roman" w:hAnsi="Times New Roman" w:cs="Times New Roman"/>
          <w:sz w:val="24"/>
          <w:szCs w:val="24"/>
        </w:rPr>
        <w:sectPr w:rsidR="00FB01F8" w:rsidSect="00EC15BC">
          <w:type w:val="continuous"/>
          <w:pgSz w:w="12240" w:h="15840" w:code="1"/>
          <w:pgMar w:top="1701" w:right="1701" w:bottom="1701" w:left="2268" w:header="708" w:footer="708" w:gutter="0"/>
          <w:cols w:space="708"/>
          <w:docGrid w:linePitch="360"/>
        </w:sectPr>
      </w:pPr>
      <w:r w:rsidRPr="00115DC0">
        <w:rPr>
          <w:rFonts w:ascii="Times New Roman" w:hAnsi="Times New Roman" w:cs="Times New Roman"/>
          <w:sz w:val="24"/>
          <w:szCs w:val="24"/>
        </w:rPr>
        <w:t>H</w:t>
      </w:r>
      <w:r w:rsidR="00353481">
        <w:rPr>
          <w:rFonts w:ascii="Times New Roman" w:hAnsi="Times New Roman" w:cs="Times New Roman"/>
          <w:sz w:val="24"/>
          <w:szCs w:val="24"/>
        </w:rPr>
        <w:t>asil peng</w:t>
      </w:r>
      <w:r w:rsidR="001E0D09">
        <w:rPr>
          <w:rFonts w:ascii="Times New Roman" w:hAnsi="Times New Roman" w:cs="Times New Roman"/>
          <w:sz w:val="24"/>
          <w:szCs w:val="24"/>
        </w:rPr>
        <w:t xml:space="preserve">ukuran berat badan </w:t>
      </w:r>
      <w:r>
        <w:rPr>
          <w:rFonts w:ascii="Times New Roman" w:hAnsi="Times New Roman" w:cs="Times New Roman"/>
          <w:sz w:val="24"/>
          <w:szCs w:val="24"/>
        </w:rPr>
        <w:t xml:space="preserve">ditampilkan </w:t>
      </w:r>
      <w:r w:rsidR="001E0D09">
        <w:rPr>
          <w:rFonts w:ascii="Times New Roman" w:hAnsi="Times New Roman" w:cs="Times New Roman"/>
          <w:sz w:val="24"/>
          <w:szCs w:val="24"/>
        </w:rPr>
        <w:t xml:space="preserve">pada Gambar </w:t>
      </w:r>
      <w:r w:rsidR="001E0D09">
        <w:rPr>
          <w:rFonts w:ascii="Times New Roman" w:hAnsi="Times New Roman" w:cs="Times New Roman"/>
          <w:sz w:val="24"/>
          <w:szCs w:val="24"/>
          <w:lang w:val="id-ID"/>
        </w:rPr>
        <w:t>1</w:t>
      </w:r>
      <w:r w:rsidR="00CC4EF6">
        <w:rPr>
          <w:rFonts w:ascii="Times New Roman" w:hAnsi="Times New Roman" w:cs="Times New Roman"/>
          <w:sz w:val="24"/>
          <w:szCs w:val="24"/>
          <w:lang w:val="en-GB"/>
        </w:rPr>
        <w:t xml:space="preserve"> dan</w:t>
      </w:r>
      <w:r>
        <w:rPr>
          <w:rFonts w:ascii="Times New Roman" w:hAnsi="Times New Roman" w:cs="Times New Roman"/>
          <w:sz w:val="24"/>
          <w:szCs w:val="24"/>
          <w:lang w:val="en-GB"/>
        </w:rPr>
        <w:t xml:space="preserve"> 2</w:t>
      </w:r>
      <w:r>
        <w:rPr>
          <w:rFonts w:ascii="Times New Roman" w:hAnsi="Times New Roman" w:cs="Times New Roman"/>
          <w:sz w:val="24"/>
          <w:szCs w:val="24"/>
        </w:rPr>
        <w:t xml:space="preserve">, tampak bahwa semakin tinggi konsentrasi ekstrak papaya </w:t>
      </w:r>
      <w:r w:rsidR="00CC4EF6">
        <w:rPr>
          <w:rFonts w:ascii="Times New Roman" w:hAnsi="Times New Roman" w:cs="Times New Roman"/>
          <w:sz w:val="24"/>
          <w:szCs w:val="24"/>
          <w:lang w:val="id-ID"/>
        </w:rPr>
        <w:t>‘</w:t>
      </w:r>
      <w:r>
        <w:rPr>
          <w:rFonts w:ascii="Times New Roman" w:hAnsi="Times New Roman" w:cs="Times New Roman"/>
          <w:sz w:val="24"/>
          <w:szCs w:val="24"/>
        </w:rPr>
        <w:t>California</w:t>
      </w:r>
      <w:r w:rsidR="00CC4EF6">
        <w:rPr>
          <w:rFonts w:ascii="Times New Roman" w:hAnsi="Times New Roman" w:cs="Times New Roman"/>
          <w:sz w:val="24"/>
          <w:szCs w:val="24"/>
          <w:lang w:val="id-ID"/>
        </w:rPr>
        <w:t>’</w:t>
      </w:r>
      <w:r>
        <w:rPr>
          <w:rFonts w:ascii="Times New Roman" w:hAnsi="Times New Roman" w:cs="Times New Roman"/>
          <w:sz w:val="24"/>
          <w:szCs w:val="24"/>
        </w:rPr>
        <w:t xml:space="preserve"> dan </w:t>
      </w:r>
      <w:r w:rsidR="00CC4EF6">
        <w:rPr>
          <w:rFonts w:ascii="Times New Roman" w:hAnsi="Times New Roman" w:cs="Times New Roman"/>
          <w:sz w:val="24"/>
          <w:szCs w:val="24"/>
          <w:lang w:val="id-ID"/>
        </w:rPr>
        <w:t>‘</w:t>
      </w:r>
      <w:r>
        <w:rPr>
          <w:rFonts w:ascii="Times New Roman" w:hAnsi="Times New Roman" w:cs="Times New Roman"/>
          <w:sz w:val="24"/>
          <w:szCs w:val="24"/>
        </w:rPr>
        <w:t>Bangkok</w:t>
      </w:r>
      <w:r w:rsidR="00CC4EF6">
        <w:rPr>
          <w:rFonts w:ascii="Times New Roman" w:hAnsi="Times New Roman" w:cs="Times New Roman"/>
          <w:sz w:val="24"/>
          <w:szCs w:val="24"/>
          <w:lang w:val="id-ID"/>
        </w:rPr>
        <w:t>’</w:t>
      </w:r>
      <w:r>
        <w:rPr>
          <w:rFonts w:ascii="Times New Roman" w:hAnsi="Times New Roman" w:cs="Times New Roman"/>
          <w:sz w:val="24"/>
          <w:szCs w:val="24"/>
        </w:rPr>
        <w:t xml:space="preserve"> maka berat badan semakin meningkat namun masih dalam kisaran berat badan di bawah 20% dari berat badan rata-rata. </w:t>
      </w:r>
    </w:p>
    <w:p w14:paraId="5FFC4D61" w14:textId="77777777" w:rsidR="00353481" w:rsidRDefault="00353481" w:rsidP="00353481">
      <w:pPr>
        <w:spacing w:line="360" w:lineRule="auto"/>
        <w:contextualSpacing/>
        <w:jc w:val="both"/>
        <w:rPr>
          <w:rFonts w:ascii="Times New Roman" w:hAnsi="Times New Roman" w:cs="Times New Roman"/>
          <w:sz w:val="24"/>
          <w:szCs w:val="24"/>
        </w:rPr>
      </w:pPr>
      <w:r w:rsidRPr="00353481">
        <w:rPr>
          <w:rFonts w:ascii="Times New Roman" w:hAnsi="Times New Roman" w:cs="Times New Roman"/>
          <w:noProof/>
          <w:sz w:val="24"/>
          <w:szCs w:val="24"/>
          <w:lang w:val="en-GB" w:eastAsia="en-GB"/>
        </w:rPr>
        <w:drawing>
          <wp:inline distT="0" distB="0" distL="0" distR="0" wp14:anchorId="1D1DC2C0" wp14:editId="19C4FBC5">
            <wp:extent cx="5252085" cy="1809750"/>
            <wp:effectExtent l="19050" t="0" r="24765"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3173FA" w14:textId="29FF6ED3" w:rsidR="00353481" w:rsidRDefault="000F4912" w:rsidP="00353481">
      <w:pPr>
        <w:spacing w:line="240" w:lineRule="auto"/>
        <w:ind w:left="1170" w:hanging="1170"/>
        <w:contextualSpacing/>
        <w:jc w:val="both"/>
        <w:rPr>
          <w:rFonts w:ascii="Times New Roman" w:hAnsi="Times New Roman" w:cs="Times New Roman"/>
          <w:sz w:val="24"/>
          <w:szCs w:val="24"/>
        </w:rPr>
      </w:pPr>
      <w:r w:rsidRPr="00CC4EF6">
        <w:rPr>
          <w:rFonts w:ascii="Times New Roman" w:hAnsi="Times New Roman" w:cs="Times New Roman"/>
          <w:b/>
          <w:bCs/>
          <w:sz w:val="24"/>
          <w:szCs w:val="24"/>
        </w:rPr>
        <w:t xml:space="preserve">Gambar </w:t>
      </w:r>
      <w:r w:rsidRPr="00CC4EF6">
        <w:rPr>
          <w:rFonts w:ascii="Times New Roman" w:hAnsi="Times New Roman" w:cs="Times New Roman"/>
          <w:b/>
          <w:bCs/>
          <w:sz w:val="24"/>
          <w:szCs w:val="24"/>
          <w:lang w:val="id-ID"/>
        </w:rPr>
        <w:t>1</w:t>
      </w:r>
      <w:r w:rsidR="00353481" w:rsidRPr="00CC4EF6">
        <w:rPr>
          <w:rFonts w:ascii="Times New Roman" w:hAnsi="Times New Roman" w:cs="Times New Roman"/>
          <w:b/>
          <w:bCs/>
          <w:sz w:val="24"/>
          <w:szCs w:val="24"/>
        </w:rPr>
        <w:t>.</w:t>
      </w:r>
      <w:r w:rsidR="00353481" w:rsidRPr="00AD60FA">
        <w:rPr>
          <w:rFonts w:ascii="Times New Roman" w:hAnsi="Times New Roman" w:cs="Times New Roman"/>
          <w:sz w:val="24"/>
          <w:szCs w:val="24"/>
        </w:rPr>
        <w:t xml:space="preserve"> Berat badan </w:t>
      </w:r>
      <w:r w:rsidR="00115DC0">
        <w:rPr>
          <w:rFonts w:ascii="Times New Roman" w:hAnsi="Times New Roman" w:cs="Times New Roman"/>
          <w:sz w:val="24"/>
          <w:szCs w:val="24"/>
        </w:rPr>
        <w:t xml:space="preserve">kelompok mencit yang diberi ekstrak biji papaya </w:t>
      </w:r>
      <w:r w:rsidR="00CC4EF6">
        <w:rPr>
          <w:rFonts w:ascii="Times New Roman" w:hAnsi="Times New Roman" w:cs="Times New Roman"/>
          <w:sz w:val="24"/>
          <w:szCs w:val="24"/>
          <w:lang w:val="id-ID"/>
        </w:rPr>
        <w:t>‘</w:t>
      </w:r>
      <w:r w:rsidR="00115DC0">
        <w:rPr>
          <w:rFonts w:ascii="Times New Roman" w:hAnsi="Times New Roman" w:cs="Times New Roman"/>
          <w:sz w:val="24"/>
          <w:szCs w:val="24"/>
        </w:rPr>
        <w:t>California</w:t>
      </w:r>
      <w:r w:rsidR="00CC4EF6">
        <w:rPr>
          <w:rFonts w:ascii="Times New Roman" w:hAnsi="Times New Roman" w:cs="Times New Roman"/>
          <w:sz w:val="24"/>
          <w:szCs w:val="24"/>
          <w:lang w:val="id-ID"/>
        </w:rPr>
        <w:t>’</w:t>
      </w:r>
      <w:r w:rsidR="00115DC0">
        <w:rPr>
          <w:rFonts w:ascii="Times New Roman" w:hAnsi="Times New Roman" w:cs="Times New Roman"/>
          <w:sz w:val="24"/>
          <w:szCs w:val="24"/>
        </w:rPr>
        <w:t xml:space="preserve"> </w:t>
      </w:r>
      <w:r w:rsidR="00353481" w:rsidRPr="00AD60FA">
        <w:rPr>
          <w:rFonts w:ascii="Times New Roman" w:hAnsi="Times New Roman" w:cs="Times New Roman"/>
          <w:sz w:val="24"/>
          <w:szCs w:val="24"/>
        </w:rPr>
        <w:t>selama 28 hari</w:t>
      </w:r>
      <w:r w:rsidR="00353481">
        <w:rPr>
          <w:rFonts w:ascii="Times New Roman" w:hAnsi="Times New Roman" w:cs="Times New Roman"/>
          <w:sz w:val="24"/>
          <w:szCs w:val="24"/>
        </w:rPr>
        <w:t xml:space="preserve"> </w:t>
      </w:r>
    </w:p>
    <w:p w14:paraId="1D3B33AF" w14:textId="77777777" w:rsidR="00353481" w:rsidRDefault="00353481" w:rsidP="00353481">
      <w:pPr>
        <w:pStyle w:val="ListParagraph"/>
        <w:spacing w:line="360" w:lineRule="auto"/>
        <w:ind w:left="0"/>
        <w:jc w:val="both"/>
        <w:rPr>
          <w:rFonts w:ascii="Times New Roman" w:hAnsi="Times New Roman" w:cs="Times New Roman"/>
          <w:sz w:val="24"/>
          <w:szCs w:val="24"/>
        </w:rPr>
      </w:pPr>
      <w:r w:rsidRPr="00353481">
        <w:rPr>
          <w:rFonts w:ascii="Times New Roman" w:hAnsi="Times New Roman" w:cs="Times New Roman"/>
          <w:b/>
          <w:noProof/>
          <w:sz w:val="24"/>
          <w:szCs w:val="24"/>
          <w:lang w:val="en-GB" w:eastAsia="en-GB"/>
        </w:rPr>
        <w:lastRenderedPageBreak/>
        <w:drawing>
          <wp:inline distT="0" distB="0" distL="0" distR="0" wp14:anchorId="34FB7B00" wp14:editId="2EAA7EF3">
            <wp:extent cx="5252085" cy="2152650"/>
            <wp:effectExtent l="19050" t="0" r="24765" b="0"/>
            <wp:docPr id="47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AA788A" w14:textId="499DBD31" w:rsidR="00FB01F8" w:rsidRPr="00115DC0" w:rsidRDefault="000F4912" w:rsidP="00115DC0">
      <w:pPr>
        <w:pStyle w:val="ListParagraph"/>
        <w:spacing w:line="240" w:lineRule="auto"/>
        <w:ind w:left="1170" w:hanging="1170"/>
        <w:jc w:val="both"/>
        <w:rPr>
          <w:rFonts w:ascii="Times New Roman" w:hAnsi="Times New Roman" w:cs="Times New Roman"/>
          <w:b/>
          <w:sz w:val="24"/>
          <w:szCs w:val="24"/>
          <w:lang w:val="en-ID"/>
        </w:rPr>
        <w:sectPr w:rsidR="00FB01F8" w:rsidRPr="00115DC0" w:rsidSect="007923E4">
          <w:type w:val="continuous"/>
          <w:pgSz w:w="12240" w:h="15840" w:code="1"/>
          <w:pgMar w:top="1701" w:right="1701" w:bottom="1701" w:left="2268" w:header="708" w:footer="708" w:gutter="0"/>
          <w:cols w:space="708"/>
          <w:docGrid w:linePitch="360"/>
        </w:sectPr>
      </w:pPr>
      <w:r w:rsidRPr="00CC4EF6">
        <w:rPr>
          <w:rFonts w:ascii="Times New Roman" w:hAnsi="Times New Roman" w:cs="Times New Roman"/>
          <w:b/>
          <w:bCs/>
          <w:sz w:val="24"/>
          <w:szCs w:val="24"/>
        </w:rPr>
        <w:t xml:space="preserve">Gambar </w:t>
      </w:r>
      <w:r w:rsidRPr="00CC4EF6">
        <w:rPr>
          <w:rFonts w:ascii="Times New Roman" w:hAnsi="Times New Roman" w:cs="Times New Roman"/>
          <w:b/>
          <w:bCs/>
          <w:sz w:val="24"/>
          <w:szCs w:val="24"/>
          <w:lang w:val="id-ID"/>
        </w:rPr>
        <w:t>2</w:t>
      </w:r>
      <w:r w:rsidR="00353481" w:rsidRPr="006F21D7">
        <w:rPr>
          <w:rFonts w:ascii="Times New Roman" w:hAnsi="Times New Roman" w:cs="Times New Roman"/>
          <w:sz w:val="24"/>
          <w:szCs w:val="24"/>
        </w:rPr>
        <w:t>.</w:t>
      </w:r>
      <w:r w:rsidR="00353481" w:rsidRPr="00AD60FA">
        <w:rPr>
          <w:rFonts w:ascii="Times New Roman" w:hAnsi="Times New Roman" w:cs="Times New Roman"/>
          <w:sz w:val="24"/>
          <w:szCs w:val="24"/>
        </w:rPr>
        <w:t xml:space="preserve"> </w:t>
      </w:r>
      <w:r w:rsidR="00115DC0" w:rsidRPr="00AD60FA">
        <w:rPr>
          <w:rFonts w:ascii="Times New Roman" w:hAnsi="Times New Roman" w:cs="Times New Roman"/>
          <w:sz w:val="24"/>
          <w:szCs w:val="24"/>
        </w:rPr>
        <w:t xml:space="preserve">Berat badan </w:t>
      </w:r>
      <w:r w:rsidR="00115DC0">
        <w:rPr>
          <w:rFonts w:ascii="Times New Roman" w:hAnsi="Times New Roman" w:cs="Times New Roman"/>
          <w:sz w:val="24"/>
          <w:szCs w:val="24"/>
        </w:rPr>
        <w:t xml:space="preserve">kelompok mencit yang diberi ekstrak biji papaya </w:t>
      </w:r>
      <w:r w:rsidR="00CC4EF6">
        <w:rPr>
          <w:rFonts w:ascii="Times New Roman" w:hAnsi="Times New Roman" w:cs="Times New Roman"/>
          <w:sz w:val="24"/>
          <w:szCs w:val="24"/>
          <w:lang w:val="id-ID"/>
        </w:rPr>
        <w:t>‘</w:t>
      </w:r>
      <w:r w:rsidR="00115DC0">
        <w:rPr>
          <w:rFonts w:ascii="Times New Roman" w:hAnsi="Times New Roman" w:cs="Times New Roman"/>
          <w:sz w:val="24"/>
          <w:szCs w:val="24"/>
        </w:rPr>
        <w:t>Bangkok</w:t>
      </w:r>
      <w:r w:rsidR="00CC4EF6">
        <w:rPr>
          <w:rFonts w:ascii="Times New Roman" w:hAnsi="Times New Roman" w:cs="Times New Roman"/>
          <w:sz w:val="24"/>
          <w:szCs w:val="24"/>
          <w:lang w:val="id-ID"/>
        </w:rPr>
        <w:t>’</w:t>
      </w:r>
      <w:r w:rsidR="00115DC0">
        <w:rPr>
          <w:rFonts w:ascii="Times New Roman" w:hAnsi="Times New Roman" w:cs="Times New Roman"/>
          <w:sz w:val="24"/>
          <w:szCs w:val="24"/>
        </w:rPr>
        <w:t xml:space="preserve"> </w:t>
      </w:r>
      <w:r w:rsidR="00115DC0" w:rsidRPr="00AD60FA">
        <w:rPr>
          <w:rFonts w:ascii="Times New Roman" w:hAnsi="Times New Roman" w:cs="Times New Roman"/>
          <w:sz w:val="24"/>
          <w:szCs w:val="24"/>
        </w:rPr>
        <w:t>selama 28 hari</w:t>
      </w:r>
    </w:p>
    <w:p w14:paraId="7A15D4E9" w14:textId="77777777" w:rsidR="001E0D09" w:rsidRPr="00282F42" w:rsidRDefault="001E0D09" w:rsidP="00282F42">
      <w:pPr>
        <w:spacing w:line="360" w:lineRule="auto"/>
        <w:ind w:hanging="547"/>
        <w:contextualSpacing/>
        <w:jc w:val="both"/>
        <w:rPr>
          <w:rFonts w:ascii="Times New Roman" w:eastAsia="Times New Roman" w:hAnsi="Times New Roman" w:cs="Times New Roman"/>
          <w:sz w:val="24"/>
          <w:szCs w:val="24"/>
        </w:rPr>
      </w:pPr>
    </w:p>
    <w:p w14:paraId="2AE474AA" w14:textId="77777777" w:rsidR="001E2E78" w:rsidRDefault="001E2E78" w:rsidP="001E2E78">
      <w:pPr>
        <w:spacing w:after="0" w:line="360" w:lineRule="auto"/>
        <w:jc w:val="both"/>
        <w:rPr>
          <w:rFonts w:ascii="Times New Roman" w:hAnsi="Times New Roman" w:cs="Times New Roman"/>
          <w:sz w:val="24"/>
          <w:szCs w:val="24"/>
          <w:lang w:val="en-GB"/>
        </w:rPr>
      </w:pPr>
      <w:r w:rsidRPr="006639DD">
        <w:rPr>
          <w:rFonts w:ascii="Times New Roman" w:hAnsi="Times New Roman" w:cs="Times New Roman"/>
          <w:b/>
          <w:bCs/>
          <w:sz w:val="24"/>
          <w:szCs w:val="24"/>
        </w:rPr>
        <w:t>Uji</w:t>
      </w:r>
      <w:r>
        <w:rPr>
          <w:rFonts w:ascii="Times New Roman" w:hAnsi="Times New Roman" w:cs="Times New Roman"/>
          <w:b/>
          <w:bCs/>
          <w:sz w:val="24"/>
          <w:szCs w:val="24"/>
        </w:rPr>
        <w:t xml:space="preserve"> </w:t>
      </w:r>
      <w:r>
        <w:rPr>
          <w:rFonts w:ascii="Times New Roman" w:hAnsi="Times New Roman" w:cs="Times New Roman"/>
          <w:b/>
          <w:bCs/>
          <w:sz w:val="24"/>
          <w:szCs w:val="24"/>
          <w:lang w:val="en-GB"/>
        </w:rPr>
        <w:t>Aktivitas Enzim SGOT dan SGP</w:t>
      </w:r>
      <w:r w:rsidRPr="006639DD">
        <w:rPr>
          <w:rFonts w:ascii="Times New Roman" w:hAnsi="Times New Roman" w:cs="Times New Roman"/>
          <w:b/>
          <w:bCs/>
          <w:sz w:val="24"/>
          <w:szCs w:val="24"/>
          <w:lang w:val="en-GB"/>
        </w:rPr>
        <w:t xml:space="preserve">T </w:t>
      </w:r>
    </w:p>
    <w:p w14:paraId="4F728E37" w14:textId="0EC0BE3B" w:rsidR="00FB01F8" w:rsidRDefault="00353481" w:rsidP="001E2E78">
      <w:pPr>
        <w:spacing w:line="360" w:lineRule="auto"/>
        <w:contextualSpacing/>
        <w:jc w:val="both"/>
        <w:rPr>
          <w:rFonts w:ascii="Times New Roman" w:hAnsi="Times New Roman" w:cs="Times New Roman"/>
          <w:sz w:val="24"/>
          <w:szCs w:val="24"/>
        </w:rPr>
        <w:sectPr w:rsidR="00FB01F8" w:rsidSect="00EC15BC">
          <w:type w:val="continuous"/>
          <w:pgSz w:w="12240" w:h="15840" w:code="1"/>
          <w:pgMar w:top="1701" w:right="1701" w:bottom="1701" w:left="2268" w:header="708" w:footer="708" w:gutter="0"/>
          <w:cols w:space="708"/>
          <w:docGrid w:linePitch="360"/>
        </w:sectPr>
      </w:pPr>
      <w:r>
        <w:rPr>
          <w:rFonts w:ascii="Times New Roman" w:hAnsi="Times New Roman" w:cs="Times New Roman"/>
          <w:b/>
          <w:sz w:val="24"/>
          <w:szCs w:val="24"/>
        </w:rPr>
        <w:tab/>
      </w:r>
      <w:r w:rsidR="001E0D09">
        <w:rPr>
          <w:rFonts w:ascii="Times New Roman" w:hAnsi="Times New Roman" w:cs="Times New Roman"/>
          <w:sz w:val="24"/>
          <w:szCs w:val="24"/>
          <w:lang w:val="id-ID"/>
        </w:rPr>
        <w:t>H</w:t>
      </w:r>
      <w:r>
        <w:rPr>
          <w:rFonts w:ascii="Times New Roman" w:hAnsi="Times New Roman" w:cs="Times New Roman"/>
          <w:sz w:val="24"/>
          <w:szCs w:val="24"/>
        </w:rPr>
        <w:t xml:space="preserve">asil </w:t>
      </w:r>
      <w:r w:rsidR="001E2E78">
        <w:rPr>
          <w:rFonts w:ascii="Times New Roman" w:hAnsi="Times New Roman" w:cs="Times New Roman"/>
          <w:sz w:val="24"/>
          <w:szCs w:val="24"/>
        </w:rPr>
        <w:t>uji aktivitas enzim SGPT dan SGOT menunjukkan bahwa baik mencit yang diberi</w:t>
      </w:r>
      <w:r>
        <w:rPr>
          <w:rFonts w:ascii="Times New Roman" w:hAnsi="Times New Roman" w:cs="Times New Roman"/>
          <w:sz w:val="24"/>
          <w:szCs w:val="24"/>
        </w:rPr>
        <w:t xml:space="preserve"> ekstrak biji pepaya ‘California’ maupun ‘Bangkok’ mengalami peningkatan pada semua kelompok perlakuan jika dibandingkan dengan kelompok kontrol. Hasil aktivitas enzim </w:t>
      </w:r>
      <w:r w:rsidRPr="008B4002">
        <w:rPr>
          <w:rFonts w:ascii="Times New Roman" w:hAnsi="Times New Roman" w:cs="Times New Roman"/>
          <w:i/>
          <w:color w:val="000000" w:themeColor="text1"/>
          <w:sz w:val="24"/>
          <w:szCs w:val="24"/>
        </w:rPr>
        <w:t>Serum Glutamic Oxalosetic Transaminase</w:t>
      </w:r>
      <w:r>
        <w:rPr>
          <w:rFonts w:ascii="Times New Roman" w:hAnsi="Times New Roman" w:cs="Times New Roman"/>
          <w:sz w:val="24"/>
          <w:szCs w:val="24"/>
        </w:rPr>
        <w:t xml:space="preserve"> (SGOT) dan </w:t>
      </w:r>
      <w:r w:rsidRPr="00ED5CCF">
        <w:rPr>
          <w:rFonts w:ascii="Times New Roman" w:hAnsi="Times New Roman" w:cs="Times New Roman"/>
          <w:i/>
          <w:iCs/>
          <w:sz w:val="24"/>
          <w:szCs w:val="24"/>
        </w:rPr>
        <w:t>Serum Glutamic Pyruvic Transminase</w:t>
      </w:r>
      <w:r w:rsidR="001E0D09">
        <w:rPr>
          <w:rFonts w:ascii="Times New Roman" w:hAnsi="Times New Roman" w:cs="Times New Roman"/>
          <w:i/>
          <w:iCs/>
          <w:sz w:val="24"/>
          <w:szCs w:val="24"/>
          <w:lang w:val="id-ID"/>
        </w:rPr>
        <w:t xml:space="preserve"> </w:t>
      </w:r>
      <w:r>
        <w:rPr>
          <w:rFonts w:ascii="Times New Roman" w:hAnsi="Times New Roman" w:cs="Times New Roman"/>
          <w:iCs/>
          <w:sz w:val="24"/>
          <w:szCs w:val="24"/>
        </w:rPr>
        <w:t>(</w:t>
      </w:r>
      <w:r>
        <w:rPr>
          <w:rFonts w:ascii="Times New Roman" w:hAnsi="Times New Roman" w:cs="Times New Roman"/>
          <w:sz w:val="24"/>
          <w:szCs w:val="24"/>
        </w:rPr>
        <w:t>SGPT) pada penelitia</w:t>
      </w:r>
      <w:r w:rsidR="001E0D09">
        <w:rPr>
          <w:rFonts w:ascii="Times New Roman" w:hAnsi="Times New Roman" w:cs="Times New Roman"/>
          <w:sz w:val="24"/>
          <w:szCs w:val="24"/>
        </w:rPr>
        <w:t xml:space="preserve">n ini ditampilkan </w:t>
      </w:r>
      <w:r w:rsidR="001E0D09">
        <w:rPr>
          <w:rFonts w:ascii="Times New Roman" w:hAnsi="Times New Roman" w:cs="Times New Roman"/>
          <w:sz w:val="24"/>
          <w:szCs w:val="24"/>
          <w:lang w:val="id-ID"/>
        </w:rPr>
        <w:t xml:space="preserve">pada gambar </w:t>
      </w:r>
      <w:r w:rsidR="001E2E78">
        <w:rPr>
          <w:rFonts w:ascii="Times New Roman" w:hAnsi="Times New Roman" w:cs="Times New Roman"/>
          <w:sz w:val="24"/>
          <w:szCs w:val="24"/>
          <w:lang w:val="en-GB"/>
        </w:rPr>
        <w:t>3</w:t>
      </w:r>
      <w:r w:rsidR="00FD79F9">
        <w:rPr>
          <w:rFonts w:ascii="Times New Roman" w:hAnsi="Times New Roman" w:cs="Times New Roman"/>
          <w:sz w:val="24"/>
          <w:szCs w:val="24"/>
          <w:lang w:val="en-GB"/>
        </w:rPr>
        <w:t>,4,5 dan 6</w:t>
      </w:r>
      <w:r w:rsidR="001E2E78">
        <w:rPr>
          <w:rFonts w:ascii="Times New Roman" w:hAnsi="Times New Roman" w:cs="Times New Roman"/>
          <w:sz w:val="24"/>
          <w:szCs w:val="24"/>
          <w:lang w:val="en-GB"/>
        </w:rPr>
        <w:t xml:space="preserve">. </w:t>
      </w:r>
    </w:p>
    <w:p w14:paraId="78C6A8B9" w14:textId="77777777" w:rsidR="00FB01F8" w:rsidRDefault="00FB01F8" w:rsidP="0039007F">
      <w:pPr>
        <w:spacing w:line="240" w:lineRule="auto"/>
        <w:contextualSpacing/>
        <w:jc w:val="both"/>
        <w:rPr>
          <w:rFonts w:ascii="Times New Roman" w:hAnsi="Times New Roman" w:cs="Times New Roman"/>
          <w:sz w:val="24"/>
          <w:szCs w:val="24"/>
        </w:rPr>
      </w:pPr>
    </w:p>
    <w:p w14:paraId="7843ABC1" w14:textId="77777777" w:rsidR="00FB01F8" w:rsidRDefault="00FB01F8" w:rsidP="0039007F">
      <w:pPr>
        <w:spacing w:line="24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58240" behindDoc="0" locked="0" layoutInCell="1" allowOverlap="1" wp14:anchorId="5DD502D9" wp14:editId="3A030338">
            <wp:simplePos x="0" y="0"/>
            <wp:positionH relativeFrom="column">
              <wp:posOffset>17145</wp:posOffset>
            </wp:positionH>
            <wp:positionV relativeFrom="paragraph">
              <wp:posOffset>111125</wp:posOffset>
            </wp:positionV>
            <wp:extent cx="5172075" cy="1905000"/>
            <wp:effectExtent l="0" t="0" r="9525" b="0"/>
            <wp:wrapTopAndBottom/>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hAnsi="Times New Roman" w:cs="Times New Roman"/>
          <w:sz w:val="24"/>
          <w:szCs w:val="24"/>
        </w:rPr>
        <w:t xml:space="preserve"> </w:t>
      </w:r>
    </w:p>
    <w:p w14:paraId="5720F057" w14:textId="394EC3E5" w:rsidR="0039007F" w:rsidRPr="00FB01F8" w:rsidRDefault="000445A3" w:rsidP="0039007F">
      <w:pPr>
        <w:spacing w:line="240" w:lineRule="auto"/>
        <w:contextualSpacing/>
        <w:jc w:val="both"/>
        <w:rPr>
          <w:rFonts w:ascii="Times New Roman" w:hAnsi="Times New Roman" w:cs="Times New Roman"/>
          <w:sz w:val="24"/>
          <w:szCs w:val="24"/>
        </w:rPr>
      </w:pPr>
      <w:r w:rsidRPr="00CC4EF6">
        <w:rPr>
          <w:rFonts w:ascii="Times New Roman" w:hAnsi="Times New Roman" w:cs="Times New Roman"/>
          <w:b/>
          <w:bCs/>
          <w:sz w:val="24"/>
          <w:szCs w:val="24"/>
        </w:rPr>
        <w:t xml:space="preserve">Gambar </w:t>
      </w:r>
      <w:r w:rsidR="000F4912" w:rsidRPr="00CC4EF6">
        <w:rPr>
          <w:rFonts w:ascii="Times New Roman" w:hAnsi="Times New Roman" w:cs="Times New Roman"/>
          <w:b/>
          <w:bCs/>
          <w:sz w:val="24"/>
          <w:szCs w:val="24"/>
          <w:lang w:val="id-ID"/>
        </w:rPr>
        <w:t>3</w:t>
      </w:r>
      <w:r w:rsidR="0039007F" w:rsidRPr="00E545AC">
        <w:rPr>
          <w:rFonts w:ascii="Times New Roman" w:hAnsi="Times New Roman" w:cs="Times New Roman"/>
          <w:sz w:val="24"/>
          <w:szCs w:val="24"/>
        </w:rPr>
        <w:t>.</w:t>
      </w:r>
      <w:r w:rsidR="0039007F">
        <w:rPr>
          <w:rFonts w:ascii="Times New Roman" w:hAnsi="Times New Roman" w:cs="Times New Roman"/>
          <w:sz w:val="24"/>
          <w:szCs w:val="24"/>
        </w:rPr>
        <w:t xml:space="preserve"> </w:t>
      </w:r>
      <w:r w:rsidR="0039007F" w:rsidRPr="007D1D4A">
        <w:rPr>
          <w:rFonts w:ascii="Times New Roman" w:hAnsi="Times New Roman" w:cs="Times New Roman"/>
          <w:sz w:val="24"/>
          <w:szCs w:val="24"/>
        </w:rPr>
        <w:t xml:space="preserve">Rata-rata kadar </w:t>
      </w:r>
      <w:r w:rsidR="001E2E78">
        <w:rPr>
          <w:rFonts w:ascii="Times New Roman" w:hAnsi="Times New Roman" w:cs="Times New Roman"/>
          <w:sz w:val="24"/>
          <w:szCs w:val="24"/>
        </w:rPr>
        <w:t>S</w:t>
      </w:r>
      <w:r w:rsidR="0039007F" w:rsidRPr="007D1D4A">
        <w:rPr>
          <w:rFonts w:ascii="Times New Roman" w:hAnsi="Times New Roman" w:cs="Times New Roman"/>
          <w:sz w:val="24"/>
          <w:szCs w:val="24"/>
        </w:rPr>
        <w:t xml:space="preserve">GOT (U/I) serum mencit setelah dipaparkan ekstrak </w:t>
      </w:r>
      <w:r w:rsidR="0039007F">
        <w:rPr>
          <w:rFonts w:ascii="Times New Roman" w:hAnsi="Times New Roman" w:cs="Times New Roman"/>
          <w:sz w:val="24"/>
          <w:szCs w:val="24"/>
        </w:rPr>
        <w:tab/>
      </w:r>
      <w:r w:rsidR="0039007F">
        <w:rPr>
          <w:rFonts w:ascii="Times New Roman" w:hAnsi="Times New Roman" w:cs="Times New Roman"/>
          <w:sz w:val="24"/>
          <w:szCs w:val="24"/>
        </w:rPr>
        <w:tab/>
        <w:t xml:space="preserve">      </w:t>
      </w:r>
      <w:r w:rsidR="0039007F" w:rsidRPr="007D1D4A">
        <w:rPr>
          <w:rFonts w:ascii="Times New Roman" w:hAnsi="Times New Roman" w:cs="Times New Roman"/>
          <w:sz w:val="24"/>
          <w:szCs w:val="24"/>
        </w:rPr>
        <w:t xml:space="preserve">biji pepaya </w:t>
      </w:r>
      <w:r w:rsidR="0039007F">
        <w:rPr>
          <w:rFonts w:ascii="Times New Roman" w:hAnsi="Times New Roman" w:cs="Times New Roman"/>
          <w:sz w:val="24"/>
          <w:szCs w:val="24"/>
        </w:rPr>
        <w:t>‘</w:t>
      </w:r>
      <w:r w:rsidR="0039007F" w:rsidRPr="007D1D4A">
        <w:rPr>
          <w:rFonts w:ascii="Times New Roman" w:hAnsi="Times New Roman" w:cs="Times New Roman"/>
          <w:sz w:val="24"/>
          <w:szCs w:val="24"/>
        </w:rPr>
        <w:t>California</w:t>
      </w:r>
      <w:r w:rsidR="0039007F">
        <w:rPr>
          <w:rFonts w:ascii="Times New Roman" w:hAnsi="Times New Roman" w:cs="Times New Roman"/>
          <w:sz w:val="24"/>
          <w:szCs w:val="24"/>
        </w:rPr>
        <w:t>’</w:t>
      </w:r>
      <w:r w:rsidR="0039007F" w:rsidRPr="007D1D4A">
        <w:rPr>
          <w:rFonts w:ascii="Times New Roman" w:hAnsi="Times New Roman" w:cs="Times New Roman"/>
          <w:sz w:val="24"/>
          <w:szCs w:val="24"/>
        </w:rPr>
        <w:t xml:space="preserve"> selama 28 hari secara </w:t>
      </w:r>
      <w:r w:rsidR="0039007F" w:rsidRPr="007D1D4A">
        <w:rPr>
          <w:rFonts w:ascii="Times New Roman" w:hAnsi="Times New Roman" w:cs="Times New Roman"/>
          <w:i/>
          <w:sz w:val="24"/>
          <w:szCs w:val="24"/>
        </w:rPr>
        <w:t>gavage</w:t>
      </w:r>
    </w:p>
    <w:p w14:paraId="25B122BB" w14:textId="77777777" w:rsidR="0039007F" w:rsidRDefault="0039007F" w:rsidP="0039007F">
      <w:pPr>
        <w:pStyle w:val="ListParagraph"/>
        <w:spacing w:line="360" w:lineRule="auto"/>
        <w:ind w:left="0"/>
        <w:jc w:val="both"/>
        <w:rPr>
          <w:rFonts w:ascii="Times New Roman" w:hAnsi="Times New Roman" w:cs="Times New Roman"/>
          <w:sz w:val="24"/>
          <w:szCs w:val="24"/>
        </w:rPr>
      </w:pPr>
      <w:r w:rsidRPr="0039007F">
        <w:rPr>
          <w:rFonts w:ascii="Times New Roman" w:hAnsi="Times New Roman" w:cs="Times New Roman"/>
          <w:b/>
          <w:noProof/>
          <w:sz w:val="24"/>
          <w:szCs w:val="24"/>
          <w:lang w:val="en-GB" w:eastAsia="en-GB"/>
        </w:rPr>
        <w:lastRenderedPageBreak/>
        <w:drawing>
          <wp:inline distT="0" distB="0" distL="0" distR="0" wp14:anchorId="24458509" wp14:editId="097E2334">
            <wp:extent cx="5172075" cy="2076450"/>
            <wp:effectExtent l="0" t="0" r="9525"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8E33B5" w14:textId="65FB7681" w:rsidR="0039007F" w:rsidRDefault="00EF6500" w:rsidP="0039007F">
      <w:pPr>
        <w:pStyle w:val="ListParagraph"/>
        <w:spacing w:line="240" w:lineRule="auto"/>
        <w:ind w:left="0"/>
        <w:jc w:val="both"/>
        <w:rPr>
          <w:rFonts w:ascii="Times New Roman" w:hAnsi="Times New Roman" w:cs="Times New Roman"/>
          <w:i/>
          <w:sz w:val="24"/>
          <w:szCs w:val="24"/>
        </w:rPr>
      </w:pPr>
      <w:r>
        <w:rPr>
          <w:rFonts w:ascii="Times New Roman" w:hAnsi="Times New Roman" w:cs="Times New Roman"/>
          <w:sz w:val="24"/>
          <w:szCs w:val="24"/>
        </w:rPr>
        <w:t xml:space="preserve"> </w:t>
      </w:r>
      <w:r w:rsidR="000445A3" w:rsidRPr="00CC4EF6">
        <w:rPr>
          <w:rFonts w:ascii="Times New Roman" w:hAnsi="Times New Roman" w:cs="Times New Roman"/>
          <w:b/>
          <w:bCs/>
          <w:sz w:val="24"/>
          <w:szCs w:val="24"/>
        </w:rPr>
        <w:t xml:space="preserve">Gambar </w:t>
      </w:r>
      <w:r w:rsidR="0056248F" w:rsidRPr="00CC4EF6">
        <w:rPr>
          <w:rFonts w:ascii="Times New Roman" w:hAnsi="Times New Roman" w:cs="Times New Roman"/>
          <w:b/>
          <w:bCs/>
          <w:sz w:val="24"/>
          <w:szCs w:val="24"/>
          <w:lang w:val="id-ID"/>
        </w:rPr>
        <w:t>4</w:t>
      </w:r>
      <w:r w:rsidR="0039007F" w:rsidRPr="00E545AC">
        <w:rPr>
          <w:rFonts w:ascii="Times New Roman" w:hAnsi="Times New Roman" w:cs="Times New Roman"/>
          <w:sz w:val="24"/>
          <w:szCs w:val="24"/>
        </w:rPr>
        <w:t>.</w:t>
      </w:r>
      <w:r w:rsidR="0039007F">
        <w:rPr>
          <w:rFonts w:ascii="Times New Roman" w:hAnsi="Times New Roman" w:cs="Times New Roman"/>
          <w:sz w:val="24"/>
          <w:szCs w:val="24"/>
        </w:rPr>
        <w:t xml:space="preserve"> </w:t>
      </w:r>
      <w:r w:rsidR="0039007F" w:rsidRPr="007D1D4A">
        <w:rPr>
          <w:rFonts w:ascii="Times New Roman" w:hAnsi="Times New Roman" w:cs="Times New Roman"/>
          <w:sz w:val="24"/>
          <w:szCs w:val="24"/>
        </w:rPr>
        <w:t xml:space="preserve">Rata-rata kadar </w:t>
      </w:r>
      <w:r w:rsidR="001E2E78">
        <w:rPr>
          <w:rFonts w:ascii="Times New Roman" w:hAnsi="Times New Roman" w:cs="Times New Roman"/>
          <w:sz w:val="24"/>
          <w:szCs w:val="24"/>
        </w:rPr>
        <w:t>S</w:t>
      </w:r>
      <w:r w:rsidR="0039007F" w:rsidRPr="007D1D4A">
        <w:rPr>
          <w:rFonts w:ascii="Times New Roman" w:hAnsi="Times New Roman" w:cs="Times New Roman"/>
          <w:sz w:val="24"/>
          <w:szCs w:val="24"/>
        </w:rPr>
        <w:t>GOT (U/I) serum me</w:t>
      </w:r>
      <w:r w:rsidR="0039007F">
        <w:rPr>
          <w:rFonts w:ascii="Times New Roman" w:hAnsi="Times New Roman" w:cs="Times New Roman"/>
          <w:sz w:val="24"/>
          <w:szCs w:val="24"/>
        </w:rPr>
        <w:t>ncit sete</w:t>
      </w:r>
      <w:r w:rsidR="00CC4EF6">
        <w:rPr>
          <w:rFonts w:ascii="Times New Roman" w:hAnsi="Times New Roman" w:cs="Times New Roman"/>
          <w:sz w:val="24"/>
          <w:szCs w:val="24"/>
        </w:rPr>
        <w:t xml:space="preserve">lah dipaparkan ekstrak  </w:t>
      </w:r>
      <w:r w:rsidR="00CC4EF6">
        <w:rPr>
          <w:rFonts w:ascii="Times New Roman" w:hAnsi="Times New Roman" w:cs="Times New Roman"/>
          <w:sz w:val="24"/>
          <w:szCs w:val="24"/>
        </w:rPr>
        <w:tab/>
      </w:r>
      <w:r w:rsidR="00CC4EF6">
        <w:rPr>
          <w:rFonts w:ascii="Times New Roman" w:hAnsi="Times New Roman" w:cs="Times New Roman"/>
          <w:sz w:val="24"/>
          <w:szCs w:val="24"/>
        </w:rPr>
        <w:tab/>
      </w:r>
      <w:r w:rsidR="0039007F" w:rsidRPr="007D1D4A">
        <w:rPr>
          <w:rFonts w:ascii="Times New Roman" w:hAnsi="Times New Roman" w:cs="Times New Roman"/>
          <w:sz w:val="24"/>
          <w:szCs w:val="24"/>
        </w:rPr>
        <w:t xml:space="preserve">biji pepaya </w:t>
      </w:r>
      <w:r w:rsidR="0039007F">
        <w:rPr>
          <w:rFonts w:ascii="Times New Roman" w:hAnsi="Times New Roman" w:cs="Times New Roman"/>
          <w:sz w:val="24"/>
          <w:szCs w:val="24"/>
        </w:rPr>
        <w:t>‘</w:t>
      </w:r>
      <w:r w:rsidR="0039007F" w:rsidRPr="007D1D4A">
        <w:rPr>
          <w:rFonts w:ascii="Times New Roman" w:hAnsi="Times New Roman" w:cs="Times New Roman"/>
          <w:sz w:val="24"/>
          <w:szCs w:val="24"/>
        </w:rPr>
        <w:t>Bangkok</w:t>
      </w:r>
      <w:r w:rsidR="0039007F">
        <w:rPr>
          <w:rFonts w:ascii="Times New Roman" w:hAnsi="Times New Roman" w:cs="Times New Roman"/>
          <w:sz w:val="24"/>
          <w:szCs w:val="24"/>
        </w:rPr>
        <w:t>’</w:t>
      </w:r>
      <w:r w:rsidR="0039007F" w:rsidRPr="007D1D4A">
        <w:rPr>
          <w:rFonts w:ascii="Times New Roman" w:hAnsi="Times New Roman" w:cs="Times New Roman"/>
          <w:sz w:val="24"/>
          <w:szCs w:val="24"/>
        </w:rPr>
        <w:t xml:space="preserve"> selama 28 hari secara </w:t>
      </w:r>
      <w:r w:rsidR="0039007F" w:rsidRPr="007D1D4A">
        <w:rPr>
          <w:rFonts w:ascii="Times New Roman" w:hAnsi="Times New Roman" w:cs="Times New Roman"/>
          <w:i/>
          <w:sz w:val="24"/>
          <w:szCs w:val="24"/>
        </w:rPr>
        <w:t>gavage</w:t>
      </w:r>
    </w:p>
    <w:p w14:paraId="45625D14" w14:textId="77777777" w:rsidR="000445A3" w:rsidRPr="0039007F" w:rsidRDefault="000445A3" w:rsidP="0039007F">
      <w:pPr>
        <w:pStyle w:val="ListParagraph"/>
        <w:spacing w:line="240" w:lineRule="auto"/>
        <w:ind w:left="0"/>
        <w:jc w:val="both"/>
        <w:rPr>
          <w:rFonts w:ascii="Times New Roman" w:hAnsi="Times New Roman" w:cs="Times New Roman"/>
          <w:b/>
          <w:sz w:val="24"/>
          <w:szCs w:val="24"/>
          <w:lang w:val="en-ID"/>
        </w:rPr>
      </w:pPr>
    </w:p>
    <w:p w14:paraId="69999630" w14:textId="77777777" w:rsidR="0039007F" w:rsidRDefault="0039007F" w:rsidP="0039007F">
      <w:pPr>
        <w:pStyle w:val="ListParagraph"/>
        <w:spacing w:line="240" w:lineRule="auto"/>
        <w:ind w:left="0"/>
        <w:jc w:val="both"/>
        <w:rPr>
          <w:rFonts w:ascii="Times New Roman" w:hAnsi="Times New Roman" w:cs="Times New Roman"/>
          <w:b/>
          <w:sz w:val="24"/>
          <w:szCs w:val="24"/>
          <w:lang w:val="en-ID"/>
        </w:rPr>
      </w:pPr>
      <w:r w:rsidRPr="0039007F">
        <w:rPr>
          <w:rFonts w:ascii="Times New Roman" w:hAnsi="Times New Roman" w:cs="Times New Roman"/>
          <w:b/>
          <w:noProof/>
          <w:sz w:val="24"/>
          <w:szCs w:val="24"/>
          <w:lang w:val="en-GB" w:eastAsia="en-GB"/>
        </w:rPr>
        <w:drawing>
          <wp:inline distT="0" distB="0" distL="0" distR="0" wp14:anchorId="12220867" wp14:editId="3EA900DB">
            <wp:extent cx="4838700" cy="1800225"/>
            <wp:effectExtent l="19050" t="0" r="1905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23AC0B" w14:textId="19E5B223" w:rsidR="0039007F" w:rsidRPr="00EF6500" w:rsidRDefault="0039007F" w:rsidP="00CC4EF6">
      <w:pPr>
        <w:tabs>
          <w:tab w:val="left" w:pos="5610"/>
        </w:tabs>
        <w:spacing w:line="240" w:lineRule="auto"/>
        <w:ind w:left="1350" w:hanging="1350"/>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0445A3" w:rsidRPr="00CC4EF6">
        <w:rPr>
          <w:rFonts w:ascii="Times New Roman" w:hAnsi="Times New Roman" w:cs="Times New Roman"/>
          <w:b/>
          <w:bCs/>
          <w:sz w:val="24"/>
          <w:szCs w:val="24"/>
        </w:rPr>
        <w:t xml:space="preserve">Gambar </w:t>
      </w:r>
      <w:r w:rsidR="0056248F" w:rsidRPr="00CC4EF6">
        <w:rPr>
          <w:rFonts w:ascii="Times New Roman" w:hAnsi="Times New Roman" w:cs="Times New Roman"/>
          <w:b/>
          <w:bCs/>
          <w:sz w:val="24"/>
          <w:szCs w:val="24"/>
          <w:lang w:val="id-ID"/>
        </w:rPr>
        <w:t>5</w:t>
      </w:r>
      <w:r w:rsidRPr="00E545AC">
        <w:rPr>
          <w:rFonts w:ascii="Times New Roman" w:hAnsi="Times New Roman" w:cs="Times New Roman"/>
          <w:sz w:val="24"/>
          <w:szCs w:val="24"/>
        </w:rPr>
        <w:t>.</w:t>
      </w:r>
      <w:r w:rsidRPr="000D637C">
        <w:rPr>
          <w:rFonts w:ascii="Times New Roman" w:hAnsi="Times New Roman" w:cs="Times New Roman"/>
          <w:sz w:val="24"/>
          <w:szCs w:val="24"/>
        </w:rPr>
        <w:t xml:space="preserve"> Rata-rata kadar </w:t>
      </w:r>
      <w:r w:rsidR="001E2E78">
        <w:rPr>
          <w:rFonts w:ascii="Times New Roman" w:hAnsi="Times New Roman" w:cs="Times New Roman"/>
          <w:sz w:val="24"/>
          <w:szCs w:val="24"/>
        </w:rPr>
        <w:t>S</w:t>
      </w:r>
      <w:r w:rsidRPr="000D637C">
        <w:rPr>
          <w:rFonts w:ascii="Times New Roman" w:hAnsi="Times New Roman" w:cs="Times New Roman"/>
          <w:sz w:val="24"/>
          <w:szCs w:val="24"/>
        </w:rPr>
        <w:t>GPT (U/I) serum me</w:t>
      </w:r>
      <w:r>
        <w:rPr>
          <w:rFonts w:ascii="Times New Roman" w:hAnsi="Times New Roman" w:cs="Times New Roman"/>
          <w:sz w:val="24"/>
          <w:szCs w:val="24"/>
        </w:rPr>
        <w:t xml:space="preserve">ncit setelah dipaparkan ekstrak     </w:t>
      </w:r>
      <w:r w:rsidRPr="000D637C">
        <w:rPr>
          <w:rFonts w:ascii="Times New Roman" w:hAnsi="Times New Roman" w:cs="Times New Roman"/>
          <w:sz w:val="24"/>
          <w:szCs w:val="24"/>
        </w:rPr>
        <w:t xml:space="preserve">biji pepaya </w:t>
      </w:r>
      <w:r>
        <w:rPr>
          <w:rFonts w:ascii="Times New Roman" w:hAnsi="Times New Roman" w:cs="Times New Roman"/>
          <w:sz w:val="24"/>
          <w:szCs w:val="24"/>
        </w:rPr>
        <w:t>‘</w:t>
      </w:r>
      <w:r w:rsidRPr="000D637C">
        <w:rPr>
          <w:rFonts w:ascii="Times New Roman" w:hAnsi="Times New Roman" w:cs="Times New Roman"/>
          <w:sz w:val="24"/>
          <w:szCs w:val="24"/>
        </w:rPr>
        <w:t>California</w:t>
      </w:r>
      <w:r>
        <w:rPr>
          <w:rFonts w:ascii="Times New Roman" w:hAnsi="Times New Roman" w:cs="Times New Roman"/>
          <w:sz w:val="24"/>
          <w:szCs w:val="24"/>
        </w:rPr>
        <w:t>’</w:t>
      </w:r>
      <w:r w:rsidRPr="000D637C">
        <w:rPr>
          <w:rFonts w:ascii="Times New Roman" w:hAnsi="Times New Roman" w:cs="Times New Roman"/>
          <w:sz w:val="24"/>
          <w:szCs w:val="24"/>
        </w:rPr>
        <w:t xml:space="preserve"> selama 28 hari secara </w:t>
      </w:r>
      <w:r w:rsidRPr="000D637C">
        <w:rPr>
          <w:rFonts w:ascii="Times New Roman" w:hAnsi="Times New Roman" w:cs="Times New Roman"/>
          <w:i/>
          <w:sz w:val="24"/>
          <w:szCs w:val="24"/>
        </w:rPr>
        <w:t>gavage</w:t>
      </w:r>
    </w:p>
    <w:p w14:paraId="278BFE76" w14:textId="77777777" w:rsidR="0039007F" w:rsidRDefault="0039007F" w:rsidP="00046D14">
      <w:pPr>
        <w:pStyle w:val="ListParagraph"/>
        <w:spacing w:line="360" w:lineRule="auto"/>
        <w:ind w:left="0"/>
        <w:jc w:val="both"/>
        <w:rPr>
          <w:rFonts w:ascii="Times New Roman" w:hAnsi="Times New Roman" w:cs="Times New Roman"/>
          <w:b/>
          <w:sz w:val="24"/>
          <w:szCs w:val="24"/>
          <w:lang w:val="en-ID"/>
        </w:rPr>
      </w:pPr>
      <w:r w:rsidRPr="0039007F">
        <w:rPr>
          <w:rFonts w:ascii="Times New Roman" w:hAnsi="Times New Roman" w:cs="Times New Roman"/>
          <w:b/>
          <w:noProof/>
          <w:sz w:val="24"/>
          <w:szCs w:val="24"/>
          <w:lang w:val="en-GB" w:eastAsia="en-GB"/>
        </w:rPr>
        <w:drawing>
          <wp:inline distT="0" distB="0" distL="0" distR="0" wp14:anchorId="74929631" wp14:editId="3698BE54">
            <wp:extent cx="4900295" cy="1885950"/>
            <wp:effectExtent l="19050" t="0" r="14605"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F4C012" w14:textId="78F7D10A" w:rsidR="00FB01F8" w:rsidRPr="00284C19" w:rsidRDefault="0039007F" w:rsidP="00284C19">
      <w:pPr>
        <w:tabs>
          <w:tab w:val="left" w:pos="180"/>
          <w:tab w:val="left" w:pos="5610"/>
        </w:tabs>
        <w:spacing w:line="240" w:lineRule="auto"/>
        <w:ind w:left="1260" w:hanging="1440"/>
        <w:contextualSpacing/>
        <w:jc w:val="both"/>
        <w:rPr>
          <w:rFonts w:ascii="Times New Roman" w:hAnsi="Times New Roman" w:cs="Times New Roman"/>
          <w:b/>
          <w:sz w:val="24"/>
          <w:szCs w:val="24"/>
        </w:rPr>
        <w:sectPr w:rsidR="00FB01F8" w:rsidRPr="00284C19" w:rsidSect="007923E4">
          <w:type w:val="continuous"/>
          <w:pgSz w:w="12240" w:h="15840" w:code="1"/>
          <w:pgMar w:top="1701" w:right="1701" w:bottom="1701" w:left="2268" w:header="708" w:footer="708" w:gutter="0"/>
          <w:cols w:space="708"/>
          <w:docGrid w:linePitch="360"/>
        </w:sectPr>
      </w:pPr>
      <w:r>
        <w:rPr>
          <w:rFonts w:ascii="Times New Roman" w:hAnsi="Times New Roman" w:cs="Times New Roman"/>
          <w:sz w:val="24"/>
          <w:szCs w:val="24"/>
        </w:rPr>
        <w:t xml:space="preserve"> </w:t>
      </w:r>
      <w:r w:rsidR="00EF65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4EF6">
        <w:rPr>
          <w:rFonts w:ascii="Times New Roman" w:hAnsi="Times New Roman" w:cs="Times New Roman"/>
          <w:b/>
          <w:bCs/>
          <w:sz w:val="24"/>
          <w:szCs w:val="24"/>
        </w:rPr>
        <w:t xml:space="preserve">Gambar </w:t>
      </w:r>
      <w:r w:rsidR="0056248F" w:rsidRPr="00CC4EF6">
        <w:rPr>
          <w:rFonts w:ascii="Times New Roman" w:hAnsi="Times New Roman" w:cs="Times New Roman"/>
          <w:b/>
          <w:bCs/>
          <w:sz w:val="24"/>
          <w:szCs w:val="24"/>
          <w:lang w:val="id-ID"/>
        </w:rPr>
        <w:t>6</w:t>
      </w:r>
      <w:r w:rsidRPr="00E545AC">
        <w:rPr>
          <w:rFonts w:ascii="Times New Roman" w:hAnsi="Times New Roman" w:cs="Times New Roman"/>
          <w:sz w:val="24"/>
          <w:szCs w:val="24"/>
        </w:rPr>
        <w:t>.</w:t>
      </w:r>
      <w:r>
        <w:rPr>
          <w:rFonts w:ascii="Times New Roman" w:hAnsi="Times New Roman" w:cs="Times New Roman"/>
          <w:sz w:val="24"/>
          <w:szCs w:val="24"/>
        </w:rPr>
        <w:t xml:space="preserve"> </w:t>
      </w:r>
      <w:r w:rsidRPr="000D637C">
        <w:rPr>
          <w:rFonts w:ascii="Times New Roman" w:hAnsi="Times New Roman" w:cs="Times New Roman"/>
          <w:sz w:val="24"/>
          <w:szCs w:val="24"/>
        </w:rPr>
        <w:t xml:space="preserve">Rata-rata kadar </w:t>
      </w:r>
      <w:r w:rsidR="001E2E78">
        <w:rPr>
          <w:rFonts w:ascii="Times New Roman" w:hAnsi="Times New Roman" w:cs="Times New Roman"/>
          <w:sz w:val="24"/>
          <w:szCs w:val="24"/>
        </w:rPr>
        <w:t>S</w:t>
      </w:r>
      <w:r w:rsidRPr="000D637C">
        <w:rPr>
          <w:rFonts w:ascii="Times New Roman" w:hAnsi="Times New Roman" w:cs="Times New Roman"/>
          <w:sz w:val="24"/>
          <w:szCs w:val="24"/>
        </w:rPr>
        <w:t>GPT (U/I) serum me</w:t>
      </w:r>
      <w:r>
        <w:rPr>
          <w:rFonts w:ascii="Times New Roman" w:hAnsi="Times New Roman" w:cs="Times New Roman"/>
          <w:sz w:val="24"/>
          <w:szCs w:val="24"/>
        </w:rPr>
        <w:t xml:space="preserve">ncit setelah dipaparkan ekstrak biji </w:t>
      </w:r>
      <w:r w:rsidRPr="000D637C">
        <w:rPr>
          <w:rFonts w:ascii="Times New Roman" w:hAnsi="Times New Roman" w:cs="Times New Roman"/>
          <w:sz w:val="24"/>
          <w:szCs w:val="24"/>
        </w:rPr>
        <w:t xml:space="preserve">pepaya </w:t>
      </w:r>
      <w:r>
        <w:rPr>
          <w:rFonts w:ascii="Times New Roman" w:hAnsi="Times New Roman" w:cs="Times New Roman"/>
          <w:sz w:val="24"/>
          <w:szCs w:val="24"/>
        </w:rPr>
        <w:t>‘</w:t>
      </w:r>
      <w:r w:rsidRPr="000D637C">
        <w:rPr>
          <w:rFonts w:ascii="Times New Roman" w:hAnsi="Times New Roman" w:cs="Times New Roman"/>
          <w:sz w:val="24"/>
          <w:szCs w:val="24"/>
        </w:rPr>
        <w:t>Bangkok</w:t>
      </w:r>
      <w:r>
        <w:rPr>
          <w:rFonts w:ascii="Times New Roman" w:hAnsi="Times New Roman" w:cs="Times New Roman"/>
          <w:sz w:val="24"/>
          <w:szCs w:val="24"/>
        </w:rPr>
        <w:t>’</w:t>
      </w:r>
      <w:r w:rsidRPr="000D637C">
        <w:rPr>
          <w:rFonts w:ascii="Times New Roman" w:hAnsi="Times New Roman" w:cs="Times New Roman"/>
          <w:sz w:val="24"/>
          <w:szCs w:val="24"/>
        </w:rPr>
        <w:t xml:space="preserve"> selama 28 hari secara </w:t>
      </w:r>
      <w:r w:rsidRPr="000D637C">
        <w:rPr>
          <w:rFonts w:ascii="Times New Roman" w:hAnsi="Times New Roman" w:cs="Times New Roman"/>
          <w:i/>
          <w:sz w:val="24"/>
          <w:szCs w:val="24"/>
        </w:rPr>
        <w:t>gavage</w:t>
      </w:r>
    </w:p>
    <w:p w14:paraId="501A4970" w14:textId="5158200A" w:rsidR="005C3A40" w:rsidRPr="00284C19" w:rsidRDefault="005C3A40" w:rsidP="00284C19">
      <w:pPr>
        <w:spacing w:before="240" w:line="360" w:lineRule="auto"/>
        <w:contextualSpacing/>
        <w:jc w:val="both"/>
        <w:rPr>
          <w:rFonts w:ascii="Times New Roman" w:hAnsi="Times New Roman" w:cs="Times New Roman"/>
          <w:sz w:val="24"/>
          <w:szCs w:val="24"/>
        </w:rPr>
      </w:pPr>
    </w:p>
    <w:p w14:paraId="5D6A08EA" w14:textId="380D00BF" w:rsidR="003F635E" w:rsidRPr="00CC4EF6" w:rsidRDefault="00E25892" w:rsidP="00CC4EF6">
      <w:pPr>
        <w:keepNext/>
        <w:keepLines/>
        <w:spacing w:before="40" w:after="0" w:line="360" w:lineRule="auto"/>
        <w:jc w:val="both"/>
        <w:outlineLvl w:val="2"/>
        <w:rPr>
          <w:rFonts w:ascii="Times New Roman" w:eastAsia="Times New Roman" w:hAnsi="Times New Roman" w:cs="Times New Roman"/>
          <w:bCs/>
          <w:noProof/>
          <w:sz w:val="24"/>
          <w:szCs w:val="24"/>
          <w:lang w:eastAsia="id-ID"/>
        </w:rPr>
      </w:pPr>
      <w:r>
        <w:rPr>
          <w:rFonts w:ascii="Times New Roman" w:eastAsia="Times New Roman" w:hAnsi="Times New Roman" w:cs="Times New Roman"/>
          <w:b/>
          <w:bCs/>
          <w:noProof/>
          <w:sz w:val="24"/>
          <w:szCs w:val="24"/>
          <w:lang w:eastAsia="id-ID"/>
        </w:rPr>
        <w:lastRenderedPageBreak/>
        <w:t xml:space="preserve">Pengamatan Organ </w:t>
      </w:r>
      <w:r>
        <w:rPr>
          <w:rFonts w:ascii="Times New Roman" w:eastAsia="Times New Roman" w:hAnsi="Times New Roman" w:cs="Times New Roman"/>
          <w:bCs/>
          <w:noProof/>
          <w:sz w:val="24"/>
          <w:szCs w:val="24"/>
          <w:lang w:eastAsia="id-ID"/>
        </w:rPr>
        <w:t xml:space="preserve">dan </w:t>
      </w:r>
      <w:r w:rsidR="0039007F">
        <w:rPr>
          <w:rFonts w:ascii="Times New Roman" w:hAnsi="Times New Roman" w:cs="Times New Roman"/>
          <w:b/>
          <w:sz w:val="24"/>
          <w:szCs w:val="24"/>
        </w:rPr>
        <w:t>B</w:t>
      </w:r>
      <w:r w:rsidR="0039007F" w:rsidRPr="0066017E">
        <w:rPr>
          <w:rFonts w:ascii="Times New Roman" w:hAnsi="Times New Roman" w:cs="Times New Roman"/>
          <w:b/>
          <w:sz w:val="24"/>
          <w:szCs w:val="24"/>
        </w:rPr>
        <w:t xml:space="preserve">erat organ </w:t>
      </w:r>
      <w:r>
        <w:rPr>
          <w:rFonts w:ascii="Times New Roman" w:eastAsia="Times New Roman" w:hAnsi="Times New Roman" w:cs="Times New Roman"/>
          <w:b/>
          <w:bCs/>
          <w:noProof/>
          <w:sz w:val="24"/>
          <w:szCs w:val="24"/>
          <w:lang w:eastAsia="id-ID"/>
        </w:rPr>
        <w:t>Viseral M</w:t>
      </w:r>
      <w:r w:rsidRPr="0004669A">
        <w:rPr>
          <w:rFonts w:ascii="Times New Roman" w:eastAsia="Times New Roman" w:hAnsi="Times New Roman" w:cs="Times New Roman"/>
          <w:b/>
          <w:bCs/>
          <w:noProof/>
          <w:sz w:val="24"/>
          <w:szCs w:val="24"/>
          <w:lang w:eastAsia="id-ID"/>
        </w:rPr>
        <w:t>encit</w:t>
      </w:r>
      <w:r>
        <w:rPr>
          <w:rFonts w:ascii="Times New Roman" w:eastAsia="Times New Roman" w:hAnsi="Times New Roman" w:cs="Times New Roman"/>
          <w:b/>
          <w:bCs/>
          <w:noProof/>
          <w:sz w:val="24"/>
          <w:szCs w:val="24"/>
          <w:lang w:eastAsia="id-ID"/>
        </w:rPr>
        <w:t xml:space="preserve"> </w:t>
      </w:r>
      <w:r w:rsidRPr="00B60CC3">
        <w:rPr>
          <w:rFonts w:ascii="Times New Roman" w:eastAsia="Times New Roman" w:hAnsi="Times New Roman" w:cs="Times New Roman"/>
          <w:b/>
          <w:bCs/>
          <w:noProof/>
          <w:sz w:val="24"/>
          <w:szCs w:val="24"/>
          <w:lang w:eastAsia="id-ID"/>
        </w:rPr>
        <w:t>(</w:t>
      </w:r>
      <w:r w:rsidRPr="00B60CC3">
        <w:rPr>
          <w:rFonts w:ascii="Times New Roman" w:eastAsia="Times New Roman" w:hAnsi="Times New Roman" w:cs="Times New Roman"/>
          <w:b/>
          <w:bCs/>
          <w:i/>
          <w:noProof/>
          <w:sz w:val="24"/>
          <w:szCs w:val="24"/>
          <w:lang w:eastAsia="id-ID"/>
        </w:rPr>
        <w:t>Mus musculus)</w:t>
      </w:r>
      <w:r>
        <w:rPr>
          <w:rFonts w:ascii="Times New Roman" w:eastAsia="Times New Roman" w:hAnsi="Times New Roman" w:cs="Times New Roman"/>
          <w:bCs/>
          <w:noProof/>
          <w:sz w:val="24"/>
          <w:szCs w:val="24"/>
          <w:lang w:eastAsia="id-ID"/>
        </w:rPr>
        <w:t xml:space="preserve"> </w:t>
      </w:r>
    </w:p>
    <w:p w14:paraId="585089DD" w14:textId="51581C9F" w:rsidR="00284C19" w:rsidRPr="004226A5" w:rsidRDefault="00CC4EF6" w:rsidP="004226A5">
      <w:pPr>
        <w:spacing w:after="0" w:line="360" w:lineRule="auto"/>
        <w:ind w:firstLine="720"/>
        <w:jc w:val="both"/>
        <w:rPr>
          <w:rFonts w:ascii="Times New Roman" w:hAnsi="Times New Roman" w:cs="Times New Roman"/>
          <w:sz w:val="24"/>
          <w:szCs w:val="24"/>
        </w:rPr>
        <w:sectPr w:rsidR="00284C19" w:rsidRPr="004226A5" w:rsidSect="00EC15BC">
          <w:type w:val="continuous"/>
          <w:pgSz w:w="12240" w:h="15840" w:code="1"/>
          <w:pgMar w:top="1701" w:right="1701" w:bottom="1701" w:left="2268" w:header="708" w:footer="708" w:gutter="0"/>
          <w:cols w:space="708"/>
          <w:docGrid w:linePitch="360"/>
        </w:sectPr>
      </w:pPr>
      <w:r>
        <w:rPr>
          <w:rFonts w:ascii="Times New Roman" w:hAnsi="Times New Roman" w:cs="Times New Roman"/>
          <w:sz w:val="24"/>
          <w:szCs w:val="24"/>
        </w:rPr>
        <w:t xml:space="preserve">Berdasarkan hasil tabel </w:t>
      </w:r>
      <w:r>
        <w:rPr>
          <w:rFonts w:ascii="Times New Roman" w:hAnsi="Times New Roman" w:cs="Times New Roman"/>
          <w:sz w:val="24"/>
          <w:szCs w:val="24"/>
          <w:lang w:val="id-ID"/>
        </w:rPr>
        <w:t>1</w:t>
      </w:r>
      <w:r>
        <w:rPr>
          <w:rFonts w:ascii="Times New Roman" w:hAnsi="Times New Roman" w:cs="Times New Roman"/>
          <w:sz w:val="24"/>
          <w:szCs w:val="24"/>
        </w:rPr>
        <w:t xml:space="preserve"> dan  </w:t>
      </w:r>
      <w:r>
        <w:rPr>
          <w:rFonts w:ascii="Times New Roman" w:hAnsi="Times New Roman" w:cs="Times New Roman"/>
          <w:sz w:val="24"/>
          <w:szCs w:val="24"/>
          <w:lang w:val="id-ID"/>
        </w:rPr>
        <w:t>2</w:t>
      </w:r>
      <w:r>
        <w:rPr>
          <w:rFonts w:ascii="Times New Roman" w:hAnsi="Times New Roman" w:cs="Times New Roman"/>
          <w:sz w:val="24"/>
          <w:szCs w:val="24"/>
        </w:rPr>
        <w:t xml:space="preserve"> bahwa berat organ viseral setelah dipaparkan ekstrak biji pepaya ‘California’ maupun Bangkok selama 28 hari menunjukkan bahwa adanya perbedaan dari masing-masing kelompok perlakuan terhadap control namun masih dalam kisaran normal. </w:t>
      </w:r>
    </w:p>
    <w:p w14:paraId="47E4E8BA" w14:textId="77777777" w:rsidR="00FB01F8" w:rsidRDefault="00FB01F8" w:rsidP="00014166">
      <w:pPr>
        <w:spacing w:after="0" w:line="240" w:lineRule="auto"/>
        <w:ind w:left="990" w:hanging="1080"/>
        <w:contextualSpacing/>
        <w:jc w:val="both"/>
        <w:rPr>
          <w:rFonts w:ascii="Times New Roman" w:hAnsi="Times New Roman" w:cs="Times New Roman"/>
          <w:sz w:val="24"/>
          <w:szCs w:val="24"/>
        </w:rPr>
        <w:sectPr w:rsidR="00FB01F8" w:rsidSect="00FB01F8">
          <w:type w:val="continuous"/>
          <w:pgSz w:w="12240" w:h="15840" w:code="1"/>
          <w:pgMar w:top="1701" w:right="1701" w:bottom="1701" w:left="2268" w:header="708" w:footer="708" w:gutter="0"/>
          <w:cols w:num="2" w:space="708"/>
          <w:docGrid w:linePitch="360"/>
        </w:sectPr>
      </w:pPr>
    </w:p>
    <w:p w14:paraId="33C0FABE" w14:textId="77777777" w:rsidR="00014166" w:rsidRPr="003460FF" w:rsidRDefault="007B6B66" w:rsidP="00014166">
      <w:pPr>
        <w:spacing w:after="0" w:line="240" w:lineRule="auto"/>
        <w:ind w:left="990" w:hanging="108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14166" w:rsidRPr="00CC4EF6">
        <w:rPr>
          <w:rFonts w:ascii="Times New Roman" w:hAnsi="Times New Roman" w:cs="Times New Roman"/>
          <w:b/>
          <w:bCs/>
          <w:sz w:val="24"/>
          <w:szCs w:val="24"/>
        </w:rPr>
        <w:t xml:space="preserve">Tabel </w:t>
      </w:r>
      <w:r w:rsidR="00F9156B" w:rsidRPr="00CC4EF6">
        <w:rPr>
          <w:rFonts w:ascii="Times New Roman" w:hAnsi="Times New Roman" w:cs="Times New Roman"/>
          <w:b/>
          <w:bCs/>
          <w:sz w:val="24"/>
          <w:szCs w:val="24"/>
          <w:lang w:val="id-ID"/>
        </w:rPr>
        <w:t>1</w:t>
      </w:r>
      <w:r w:rsidR="00014166" w:rsidRPr="0096047F">
        <w:rPr>
          <w:rFonts w:ascii="Times New Roman" w:hAnsi="Times New Roman" w:cs="Times New Roman"/>
          <w:sz w:val="24"/>
          <w:szCs w:val="24"/>
        </w:rPr>
        <w:t>.</w:t>
      </w:r>
      <w:r w:rsidR="00182B4B">
        <w:rPr>
          <w:rFonts w:ascii="Times New Roman" w:hAnsi="Times New Roman" w:cs="Times New Roman"/>
          <w:sz w:val="24"/>
          <w:szCs w:val="24"/>
        </w:rPr>
        <w:t xml:space="preserve"> </w:t>
      </w:r>
      <w:r w:rsidR="00014166" w:rsidRPr="0066017E">
        <w:rPr>
          <w:rFonts w:ascii="Times New Roman" w:hAnsi="Times New Roman" w:cs="Times New Roman"/>
          <w:sz w:val="24"/>
          <w:szCs w:val="24"/>
        </w:rPr>
        <w:t>Berat organ viseral mencit setelah dipaparkan ekstrak biji p</w:t>
      </w:r>
      <w:r w:rsidR="00014166">
        <w:rPr>
          <w:rFonts w:ascii="Times New Roman" w:hAnsi="Times New Roman" w:cs="Times New Roman"/>
          <w:sz w:val="24"/>
          <w:szCs w:val="24"/>
        </w:rPr>
        <w:t>epaya ‘California’ selama 28 hari</w:t>
      </w:r>
    </w:p>
    <w:p w14:paraId="0D601654" w14:textId="77777777" w:rsidR="00FB01F8" w:rsidRDefault="00FB01F8" w:rsidP="0028177C">
      <w:pPr>
        <w:jc w:val="center"/>
        <w:rPr>
          <w:rFonts w:ascii="Times New Roman" w:hAnsi="Times New Roman" w:cs="Times New Roman"/>
          <w:b/>
        </w:rPr>
        <w:sectPr w:rsidR="00FB01F8" w:rsidSect="00FB01F8">
          <w:type w:val="continuous"/>
          <w:pgSz w:w="12240" w:h="15840" w:code="1"/>
          <w:pgMar w:top="1701" w:right="1701" w:bottom="1701" w:left="2268" w:header="708" w:footer="708" w:gutter="0"/>
          <w:cols w:space="708"/>
          <w:docGrid w:linePitch="360"/>
        </w:sectPr>
      </w:pPr>
    </w:p>
    <w:tbl>
      <w:tblPr>
        <w:tblStyle w:val="TableGrid"/>
        <w:tblW w:w="8190" w:type="dxa"/>
        <w:tblInd w:w="108" w:type="dxa"/>
        <w:tblLayout w:type="fixed"/>
        <w:tblLook w:val="04A0" w:firstRow="1" w:lastRow="0" w:firstColumn="1" w:lastColumn="0" w:noHBand="0" w:noVBand="1"/>
      </w:tblPr>
      <w:tblGrid>
        <w:gridCol w:w="1170"/>
        <w:gridCol w:w="630"/>
        <w:gridCol w:w="900"/>
        <w:gridCol w:w="990"/>
        <w:gridCol w:w="630"/>
        <w:gridCol w:w="1080"/>
        <w:gridCol w:w="1080"/>
        <w:gridCol w:w="990"/>
        <w:gridCol w:w="720"/>
      </w:tblGrid>
      <w:tr w:rsidR="00014166" w:rsidRPr="005C46B8" w14:paraId="742CD494" w14:textId="77777777" w:rsidTr="00182B4B">
        <w:trPr>
          <w:trHeight w:val="532"/>
        </w:trPr>
        <w:tc>
          <w:tcPr>
            <w:tcW w:w="1170" w:type="dxa"/>
            <w:vMerge w:val="restart"/>
          </w:tcPr>
          <w:p w14:paraId="3A455D0C"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 xml:space="preserve">Konsentrasi ekstrak biji pepaya </w:t>
            </w:r>
            <w:r>
              <w:rPr>
                <w:rFonts w:ascii="Times New Roman" w:hAnsi="Times New Roman" w:cs="Times New Roman"/>
                <w:b/>
              </w:rPr>
              <w:t>‘</w:t>
            </w:r>
            <w:r w:rsidRPr="005375E5">
              <w:rPr>
                <w:rFonts w:ascii="Times New Roman" w:hAnsi="Times New Roman" w:cs="Times New Roman"/>
                <w:b/>
              </w:rPr>
              <w:t>California</w:t>
            </w:r>
            <w:r>
              <w:rPr>
                <w:rFonts w:ascii="Times New Roman" w:hAnsi="Times New Roman" w:cs="Times New Roman"/>
                <w:b/>
              </w:rPr>
              <w:t>’</w:t>
            </w:r>
            <w:r w:rsidRPr="005375E5">
              <w:rPr>
                <w:rFonts w:ascii="Times New Roman" w:hAnsi="Times New Roman" w:cs="Times New Roman"/>
                <w:b/>
              </w:rPr>
              <w:t xml:space="preserve"> (%)(b/v)</w:t>
            </w:r>
          </w:p>
        </w:tc>
        <w:tc>
          <w:tcPr>
            <w:tcW w:w="7020" w:type="dxa"/>
            <w:gridSpan w:val="8"/>
          </w:tcPr>
          <w:p w14:paraId="120F689C"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Organ viseral (g)</w:t>
            </w:r>
          </w:p>
        </w:tc>
      </w:tr>
      <w:tr w:rsidR="00014166" w:rsidRPr="005C46B8" w14:paraId="6B5CF4E4" w14:textId="77777777" w:rsidTr="00182B4B">
        <w:trPr>
          <w:trHeight w:val="712"/>
        </w:trPr>
        <w:tc>
          <w:tcPr>
            <w:tcW w:w="1170" w:type="dxa"/>
            <w:vMerge/>
          </w:tcPr>
          <w:p w14:paraId="76E41C89" w14:textId="77777777" w:rsidR="00014166" w:rsidRPr="005375E5" w:rsidRDefault="00014166" w:rsidP="0028177C">
            <w:pPr>
              <w:rPr>
                <w:rFonts w:ascii="Times New Roman" w:hAnsi="Times New Roman" w:cs="Times New Roman"/>
                <w:b/>
              </w:rPr>
            </w:pPr>
          </w:p>
        </w:tc>
        <w:tc>
          <w:tcPr>
            <w:tcW w:w="630" w:type="dxa"/>
          </w:tcPr>
          <w:p w14:paraId="2827ADD4"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Hati</w:t>
            </w:r>
          </w:p>
        </w:tc>
        <w:tc>
          <w:tcPr>
            <w:tcW w:w="900" w:type="dxa"/>
          </w:tcPr>
          <w:p w14:paraId="154473D0"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Ginjal</w:t>
            </w:r>
          </w:p>
        </w:tc>
        <w:tc>
          <w:tcPr>
            <w:tcW w:w="990" w:type="dxa"/>
          </w:tcPr>
          <w:p w14:paraId="7E1BA536"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Limpa</w:t>
            </w:r>
          </w:p>
        </w:tc>
        <w:tc>
          <w:tcPr>
            <w:tcW w:w="630" w:type="dxa"/>
          </w:tcPr>
          <w:p w14:paraId="059E00BB"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Usus</w:t>
            </w:r>
          </w:p>
        </w:tc>
        <w:tc>
          <w:tcPr>
            <w:tcW w:w="1080" w:type="dxa"/>
          </w:tcPr>
          <w:p w14:paraId="198EC001"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Lambung</w:t>
            </w:r>
          </w:p>
        </w:tc>
        <w:tc>
          <w:tcPr>
            <w:tcW w:w="1080" w:type="dxa"/>
          </w:tcPr>
          <w:p w14:paraId="1468B770"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Pankreas</w:t>
            </w:r>
          </w:p>
        </w:tc>
        <w:tc>
          <w:tcPr>
            <w:tcW w:w="990" w:type="dxa"/>
          </w:tcPr>
          <w:p w14:paraId="10520BB2"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Jantung</w:t>
            </w:r>
          </w:p>
        </w:tc>
        <w:tc>
          <w:tcPr>
            <w:tcW w:w="720" w:type="dxa"/>
          </w:tcPr>
          <w:p w14:paraId="3697747F"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Paru-paru</w:t>
            </w:r>
          </w:p>
        </w:tc>
      </w:tr>
      <w:tr w:rsidR="00014166" w:rsidRPr="005C46B8" w14:paraId="320F12E2" w14:textId="77777777" w:rsidTr="00182B4B">
        <w:trPr>
          <w:trHeight w:val="253"/>
        </w:trPr>
        <w:tc>
          <w:tcPr>
            <w:tcW w:w="1170" w:type="dxa"/>
          </w:tcPr>
          <w:p w14:paraId="682BB6FA"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w:t>
            </w:r>
          </w:p>
        </w:tc>
        <w:tc>
          <w:tcPr>
            <w:tcW w:w="630" w:type="dxa"/>
          </w:tcPr>
          <w:p w14:paraId="7017813D"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1.18</w:t>
            </w:r>
          </w:p>
        </w:tc>
        <w:tc>
          <w:tcPr>
            <w:tcW w:w="900" w:type="dxa"/>
          </w:tcPr>
          <w:p w14:paraId="50C5FAFE"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0.49</w:t>
            </w:r>
          </w:p>
        </w:tc>
        <w:tc>
          <w:tcPr>
            <w:tcW w:w="990" w:type="dxa"/>
          </w:tcPr>
          <w:p w14:paraId="563AC999" w14:textId="77777777" w:rsidR="00014166" w:rsidRPr="005375E5" w:rsidRDefault="00014166" w:rsidP="0028177C">
            <w:pPr>
              <w:jc w:val="center"/>
              <w:rPr>
                <w:rFonts w:ascii="Times New Roman" w:hAnsi="Times New Roman" w:cs="Times New Roman"/>
                <w:bCs/>
                <w:color w:val="000000"/>
              </w:rPr>
            </w:pPr>
            <w:r w:rsidRPr="005375E5">
              <w:rPr>
                <w:rFonts w:ascii="Times New Roman" w:hAnsi="Times New Roman" w:cs="Times New Roman"/>
                <w:bCs/>
                <w:color w:val="000000"/>
              </w:rPr>
              <w:t>0.12</w:t>
            </w:r>
          </w:p>
        </w:tc>
        <w:tc>
          <w:tcPr>
            <w:tcW w:w="630" w:type="dxa"/>
          </w:tcPr>
          <w:p w14:paraId="2854DEEE"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2.45</w:t>
            </w:r>
          </w:p>
        </w:tc>
        <w:tc>
          <w:tcPr>
            <w:tcW w:w="1080" w:type="dxa"/>
          </w:tcPr>
          <w:p w14:paraId="5AF91CF6"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0.25</w:t>
            </w:r>
          </w:p>
        </w:tc>
        <w:tc>
          <w:tcPr>
            <w:tcW w:w="1080" w:type="dxa"/>
          </w:tcPr>
          <w:p w14:paraId="21D8F4AB"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0.16</w:t>
            </w:r>
          </w:p>
        </w:tc>
        <w:tc>
          <w:tcPr>
            <w:tcW w:w="990" w:type="dxa"/>
          </w:tcPr>
          <w:p w14:paraId="1B2EFBCC" w14:textId="77777777" w:rsidR="00014166" w:rsidRPr="005375E5" w:rsidRDefault="00014166" w:rsidP="0028177C">
            <w:pPr>
              <w:jc w:val="center"/>
              <w:rPr>
                <w:rFonts w:ascii="Times New Roman" w:hAnsi="Times New Roman" w:cs="Times New Roman"/>
              </w:rPr>
            </w:pPr>
            <w:r w:rsidRPr="005375E5">
              <w:rPr>
                <w:rFonts w:ascii="Times New Roman" w:eastAsia="Times New Roman" w:hAnsi="Times New Roman" w:cs="Times New Roman"/>
                <w:bCs/>
                <w:color w:val="000000"/>
                <w:lang w:eastAsia="id-ID"/>
              </w:rPr>
              <w:t>0.13</w:t>
            </w:r>
          </w:p>
        </w:tc>
        <w:tc>
          <w:tcPr>
            <w:tcW w:w="720" w:type="dxa"/>
          </w:tcPr>
          <w:p w14:paraId="747E7302"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0.15</w:t>
            </w:r>
          </w:p>
        </w:tc>
      </w:tr>
      <w:tr w:rsidR="00014166" w:rsidRPr="005C46B8" w14:paraId="428A8CE5" w14:textId="77777777" w:rsidTr="00182B4B">
        <w:trPr>
          <w:trHeight w:val="253"/>
        </w:trPr>
        <w:tc>
          <w:tcPr>
            <w:tcW w:w="1170" w:type="dxa"/>
          </w:tcPr>
          <w:p w14:paraId="07542506"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4</w:t>
            </w:r>
          </w:p>
        </w:tc>
        <w:tc>
          <w:tcPr>
            <w:tcW w:w="630" w:type="dxa"/>
          </w:tcPr>
          <w:p w14:paraId="421CFE25" w14:textId="77777777" w:rsidR="00014166" w:rsidRPr="005375E5" w:rsidRDefault="00014166" w:rsidP="0028177C">
            <w:pPr>
              <w:jc w:val="center"/>
              <w:rPr>
                <w:rFonts w:ascii="Times New Roman" w:hAnsi="Times New Roman" w:cs="Times New Roman"/>
              </w:rPr>
            </w:pPr>
            <w:r w:rsidRPr="005375E5">
              <w:rPr>
                <w:rFonts w:ascii="Times New Roman" w:eastAsia="Times New Roman" w:hAnsi="Times New Roman" w:cs="Times New Roman"/>
                <w:bCs/>
                <w:color w:val="000000"/>
                <w:lang w:eastAsia="id-ID"/>
              </w:rPr>
              <w:t>1.52</w:t>
            </w:r>
          </w:p>
        </w:tc>
        <w:tc>
          <w:tcPr>
            <w:tcW w:w="900" w:type="dxa"/>
          </w:tcPr>
          <w:p w14:paraId="6D4E964C" w14:textId="77777777" w:rsidR="00014166" w:rsidRPr="005375E5" w:rsidRDefault="00014166" w:rsidP="0028177C">
            <w:pPr>
              <w:jc w:val="center"/>
              <w:rPr>
                <w:rFonts w:ascii="Times New Roman" w:hAnsi="Times New Roman" w:cs="Times New Roman"/>
              </w:rPr>
            </w:pPr>
            <w:r w:rsidRPr="005375E5">
              <w:rPr>
                <w:rFonts w:ascii="Times New Roman" w:eastAsia="Times New Roman" w:hAnsi="Times New Roman" w:cs="Times New Roman"/>
                <w:bCs/>
                <w:color w:val="000000"/>
                <w:lang w:eastAsia="id-ID"/>
              </w:rPr>
              <w:t>0.41</w:t>
            </w:r>
          </w:p>
        </w:tc>
        <w:tc>
          <w:tcPr>
            <w:tcW w:w="990" w:type="dxa"/>
          </w:tcPr>
          <w:p w14:paraId="7AE8DF09" w14:textId="77777777" w:rsidR="00014166" w:rsidRPr="005375E5" w:rsidRDefault="00014166" w:rsidP="0028177C">
            <w:pPr>
              <w:jc w:val="center"/>
              <w:rPr>
                <w:rFonts w:ascii="Times New Roman" w:hAnsi="Times New Roman" w:cs="Times New Roman"/>
              </w:rPr>
            </w:pPr>
            <w:r w:rsidRPr="005375E5">
              <w:rPr>
                <w:rFonts w:ascii="Times New Roman" w:eastAsia="Times New Roman" w:hAnsi="Times New Roman" w:cs="Times New Roman"/>
                <w:bCs/>
                <w:color w:val="000000"/>
                <w:lang w:eastAsia="id-ID"/>
              </w:rPr>
              <w:t>0.07</w:t>
            </w:r>
          </w:p>
        </w:tc>
        <w:tc>
          <w:tcPr>
            <w:tcW w:w="630" w:type="dxa"/>
          </w:tcPr>
          <w:p w14:paraId="52C15F2B" w14:textId="77777777" w:rsidR="00014166" w:rsidRPr="005375E5" w:rsidRDefault="00014166" w:rsidP="0028177C">
            <w:pPr>
              <w:jc w:val="center"/>
              <w:rPr>
                <w:rFonts w:ascii="Times New Roman" w:hAnsi="Times New Roman" w:cs="Times New Roman"/>
              </w:rPr>
            </w:pPr>
            <w:r w:rsidRPr="005375E5">
              <w:rPr>
                <w:rFonts w:ascii="Times New Roman" w:eastAsia="Times New Roman" w:hAnsi="Times New Roman" w:cs="Times New Roman"/>
                <w:bCs/>
                <w:color w:val="000000"/>
                <w:lang w:eastAsia="id-ID"/>
              </w:rPr>
              <w:t>3.45</w:t>
            </w:r>
          </w:p>
        </w:tc>
        <w:tc>
          <w:tcPr>
            <w:tcW w:w="1080" w:type="dxa"/>
          </w:tcPr>
          <w:p w14:paraId="5F6CDB0C" w14:textId="77777777" w:rsidR="00014166" w:rsidRPr="005375E5" w:rsidRDefault="00014166" w:rsidP="0028177C">
            <w:pPr>
              <w:jc w:val="center"/>
              <w:rPr>
                <w:rFonts w:ascii="Times New Roman" w:hAnsi="Times New Roman" w:cs="Times New Roman"/>
              </w:rPr>
            </w:pPr>
            <w:r w:rsidRPr="005375E5">
              <w:rPr>
                <w:rFonts w:ascii="Times New Roman" w:eastAsia="Times New Roman" w:hAnsi="Times New Roman" w:cs="Times New Roman"/>
                <w:bCs/>
                <w:color w:val="000000"/>
                <w:lang w:eastAsia="id-ID"/>
              </w:rPr>
              <w:t>0.47</w:t>
            </w:r>
          </w:p>
        </w:tc>
        <w:tc>
          <w:tcPr>
            <w:tcW w:w="1080" w:type="dxa"/>
          </w:tcPr>
          <w:p w14:paraId="6E1C40CF" w14:textId="77777777" w:rsidR="00014166" w:rsidRPr="005375E5" w:rsidRDefault="00014166" w:rsidP="0028177C">
            <w:pPr>
              <w:jc w:val="center"/>
              <w:rPr>
                <w:rFonts w:ascii="Times New Roman" w:hAnsi="Times New Roman" w:cs="Times New Roman"/>
              </w:rPr>
            </w:pPr>
            <w:r w:rsidRPr="005375E5">
              <w:rPr>
                <w:rFonts w:ascii="Times New Roman" w:eastAsia="Times New Roman" w:hAnsi="Times New Roman" w:cs="Times New Roman"/>
                <w:bCs/>
                <w:color w:val="000000"/>
                <w:lang w:eastAsia="id-ID"/>
              </w:rPr>
              <w:t>0.29</w:t>
            </w:r>
          </w:p>
        </w:tc>
        <w:tc>
          <w:tcPr>
            <w:tcW w:w="990" w:type="dxa"/>
          </w:tcPr>
          <w:p w14:paraId="4CEF4327" w14:textId="77777777" w:rsidR="00014166" w:rsidRPr="005375E5" w:rsidRDefault="00014166" w:rsidP="0028177C">
            <w:pPr>
              <w:jc w:val="center"/>
              <w:rPr>
                <w:rFonts w:ascii="Times New Roman" w:hAnsi="Times New Roman" w:cs="Times New Roman"/>
              </w:rPr>
            </w:pPr>
            <w:r w:rsidRPr="005375E5">
              <w:rPr>
                <w:rFonts w:ascii="Times New Roman" w:eastAsia="Times New Roman" w:hAnsi="Times New Roman" w:cs="Times New Roman"/>
                <w:bCs/>
                <w:color w:val="000000"/>
                <w:lang w:eastAsia="id-ID"/>
              </w:rPr>
              <w:t>0.12</w:t>
            </w:r>
          </w:p>
        </w:tc>
        <w:tc>
          <w:tcPr>
            <w:tcW w:w="720" w:type="dxa"/>
          </w:tcPr>
          <w:p w14:paraId="11F0160C" w14:textId="77777777" w:rsidR="00014166" w:rsidRPr="005375E5" w:rsidRDefault="00014166" w:rsidP="0028177C">
            <w:pPr>
              <w:jc w:val="center"/>
              <w:rPr>
                <w:rFonts w:ascii="Times New Roman" w:hAnsi="Times New Roman" w:cs="Times New Roman"/>
              </w:rPr>
            </w:pPr>
            <w:r w:rsidRPr="005375E5">
              <w:rPr>
                <w:rFonts w:ascii="Times New Roman" w:eastAsia="Times New Roman" w:hAnsi="Times New Roman" w:cs="Times New Roman"/>
                <w:bCs/>
                <w:color w:val="000000"/>
                <w:lang w:eastAsia="id-ID"/>
              </w:rPr>
              <w:t>0.1</w:t>
            </w:r>
            <w:r>
              <w:rPr>
                <w:rFonts w:ascii="Times New Roman" w:eastAsia="Times New Roman" w:hAnsi="Times New Roman" w:cs="Times New Roman"/>
                <w:bCs/>
                <w:color w:val="000000"/>
                <w:lang w:eastAsia="id-ID"/>
              </w:rPr>
              <w:t>1</w:t>
            </w:r>
          </w:p>
        </w:tc>
      </w:tr>
      <w:tr w:rsidR="00014166" w:rsidRPr="005C46B8" w14:paraId="1058AC01" w14:textId="77777777" w:rsidTr="00182B4B">
        <w:trPr>
          <w:trHeight w:val="262"/>
        </w:trPr>
        <w:tc>
          <w:tcPr>
            <w:tcW w:w="1170" w:type="dxa"/>
          </w:tcPr>
          <w:p w14:paraId="584C126B"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6</w:t>
            </w:r>
          </w:p>
        </w:tc>
        <w:tc>
          <w:tcPr>
            <w:tcW w:w="630" w:type="dxa"/>
          </w:tcPr>
          <w:p w14:paraId="796B7BEB"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1.41</w:t>
            </w:r>
          </w:p>
        </w:tc>
        <w:tc>
          <w:tcPr>
            <w:tcW w:w="900" w:type="dxa"/>
          </w:tcPr>
          <w:p w14:paraId="2B7DD98A"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0.38</w:t>
            </w:r>
          </w:p>
        </w:tc>
        <w:tc>
          <w:tcPr>
            <w:tcW w:w="990" w:type="dxa"/>
          </w:tcPr>
          <w:p w14:paraId="160F3DA8"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0.05</w:t>
            </w:r>
          </w:p>
        </w:tc>
        <w:tc>
          <w:tcPr>
            <w:tcW w:w="630" w:type="dxa"/>
          </w:tcPr>
          <w:p w14:paraId="61BD042F" w14:textId="77777777" w:rsidR="00014166" w:rsidRPr="005375E5" w:rsidRDefault="00014166" w:rsidP="0028177C">
            <w:pPr>
              <w:jc w:val="center"/>
              <w:rPr>
                <w:rFonts w:ascii="Times New Roman" w:hAnsi="Times New Roman" w:cs="Times New Roman"/>
              </w:rPr>
            </w:pPr>
            <w:r>
              <w:rPr>
                <w:rFonts w:ascii="Times New Roman" w:hAnsi="Times New Roman" w:cs="Times New Roman"/>
                <w:bCs/>
                <w:color w:val="000000"/>
              </w:rPr>
              <w:t>2</w:t>
            </w:r>
            <w:r w:rsidRPr="005375E5">
              <w:rPr>
                <w:rFonts w:ascii="Times New Roman" w:hAnsi="Times New Roman" w:cs="Times New Roman"/>
                <w:bCs/>
                <w:color w:val="000000"/>
              </w:rPr>
              <w:t>.58</w:t>
            </w:r>
          </w:p>
        </w:tc>
        <w:tc>
          <w:tcPr>
            <w:tcW w:w="1080" w:type="dxa"/>
          </w:tcPr>
          <w:p w14:paraId="2B567B15"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0.33</w:t>
            </w:r>
          </w:p>
        </w:tc>
        <w:tc>
          <w:tcPr>
            <w:tcW w:w="1080" w:type="dxa"/>
          </w:tcPr>
          <w:p w14:paraId="2FBC9FB5"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0.26</w:t>
            </w:r>
          </w:p>
        </w:tc>
        <w:tc>
          <w:tcPr>
            <w:tcW w:w="990" w:type="dxa"/>
          </w:tcPr>
          <w:p w14:paraId="7247BCBD" w14:textId="77777777" w:rsidR="00014166" w:rsidRPr="005375E5" w:rsidRDefault="00014166" w:rsidP="0028177C">
            <w:pPr>
              <w:jc w:val="center"/>
              <w:rPr>
                <w:rFonts w:ascii="Times New Roman" w:hAnsi="Times New Roman" w:cs="Times New Roman"/>
                <w:bCs/>
                <w:color w:val="000000"/>
              </w:rPr>
            </w:pPr>
            <w:r w:rsidRPr="005375E5">
              <w:rPr>
                <w:rFonts w:ascii="Times New Roman" w:hAnsi="Times New Roman" w:cs="Times New Roman"/>
                <w:bCs/>
                <w:color w:val="000000"/>
              </w:rPr>
              <w:t>0.12</w:t>
            </w:r>
          </w:p>
        </w:tc>
        <w:tc>
          <w:tcPr>
            <w:tcW w:w="720" w:type="dxa"/>
          </w:tcPr>
          <w:p w14:paraId="4520A4A2" w14:textId="77777777" w:rsidR="00014166" w:rsidRPr="005375E5" w:rsidRDefault="00014166" w:rsidP="0028177C">
            <w:pPr>
              <w:jc w:val="center"/>
              <w:rPr>
                <w:rFonts w:ascii="Times New Roman" w:hAnsi="Times New Roman" w:cs="Times New Roman"/>
                <w:bCs/>
                <w:color w:val="000000"/>
              </w:rPr>
            </w:pPr>
            <w:r>
              <w:rPr>
                <w:rFonts w:ascii="Times New Roman" w:hAnsi="Times New Roman" w:cs="Times New Roman"/>
                <w:bCs/>
                <w:color w:val="000000"/>
              </w:rPr>
              <w:t>0.13</w:t>
            </w:r>
          </w:p>
        </w:tc>
      </w:tr>
      <w:tr w:rsidR="00014166" w:rsidRPr="005C46B8" w14:paraId="515D15B9" w14:textId="77777777" w:rsidTr="00182B4B">
        <w:trPr>
          <w:trHeight w:val="163"/>
        </w:trPr>
        <w:tc>
          <w:tcPr>
            <w:tcW w:w="1170" w:type="dxa"/>
          </w:tcPr>
          <w:p w14:paraId="34CB4AFA"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8</w:t>
            </w:r>
          </w:p>
        </w:tc>
        <w:tc>
          <w:tcPr>
            <w:tcW w:w="630" w:type="dxa"/>
          </w:tcPr>
          <w:p w14:paraId="76081D87"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1.52</w:t>
            </w:r>
          </w:p>
        </w:tc>
        <w:tc>
          <w:tcPr>
            <w:tcW w:w="900" w:type="dxa"/>
          </w:tcPr>
          <w:p w14:paraId="3061B38A"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0.41</w:t>
            </w:r>
          </w:p>
        </w:tc>
        <w:tc>
          <w:tcPr>
            <w:tcW w:w="990" w:type="dxa"/>
          </w:tcPr>
          <w:p w14:paraId="2F317366"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0.07</w:t>
            </w:r>
          </w:p>
        </w:tc>
        <w:tc>
          <w:tcPr>
            <w:tcW w:w="630" w:type="dxa"/>
          </w:tcPr>
          <w:p w14:paraId="1724E7B9"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3.4</w:t>
            </w:r>
            <w:r>
              <w:rPr>
                <w:rFonts w:ascii="Times New Roman" w:hAnsi="Times New Roman" w:cs="Times New Roman"/>
                <w:bCs/>
                <w:color w:val="000000"/>
              </w:rPr>
              <w:t>7</w:t>
            </w:r>
          </w:p>
        </w:tc>
        <w:tc>
          <w:tcPr>
            <w:tcW w:w="1080" w:type="dxa"/>
          </w:tcPr>
          <w:p w14:paraId="7DDA6B9C"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0.47</w:t>
            </w:r>
          </w:p>
        </w:tc>
        <w:tc>
          <w:tcPr>
            <w:tcW w:w="1080" w:type="dxa"/>
          </w:tcPr>
          <w:p w14:paraId="3F5F43D9"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0.29</w:t>
            </w:r>
          </w:p>
        </w:tc>
        <w:tc>
          <w:tcPr>
            <w:tcW w:w="990" w:type="dxa"/>
          </w:tcPr>
          <w:p w14:paraId="44BA9F31"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0.12</w:t>
            </w:r>
          </w:p>
        </w:tc>
        <w:tc>
          <w:tcPr>
            <w:tcW w:w="720" w:type="dxa"/>
          </w:tcPr>
          <w:p w14:paraId="4679FFF4"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bCs/>
                <w:color w:val="000000"/>
              </w:rPr>
              <w:t>0.1</w:t>
            </w:r>
            <w:r>
              <w:rPr>
                <w:rFonts w:ascii="Times New Roman" w:hAnsi="Times New Roman" w:cs="Times New Roman"/>
                <w:bCs/>
                <w:color w:val="000000"/>
              </w:rPr>
              <w:t>3</w:t>
            </w:r>
          </w:p>
        </w:tc>
      </w:tr>
    </w:tbl>
    <w:p w14:paraId="41E24318" w14:textId="77777777" w:rsidR="00CC4EF6" w:rsidRDefault="00182B4B" w:rsidP="00014166">
      <w:pPr>
        <w:tabs>
          <w:tab w:val="left" w:pos="990"/>
        </w:tabs>
        <w:spacing w:line="240" w:lineRule="auto"/>
        <w:ind w:left="990" w:hanging="1076"/>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B172B20" w14:textId="2034BE9F" w:rsidR="00014166" w:rsidRPr="003460FF" w:rsidRDefault="00F9156B" w:rsidP="00CC4EF6">
      <w:pPr>
        <w:tabs>
          <w:tab w:val="left" w:pos="851"/>
        </w:tabs>
        <w:spacing w:line="240" w:lineRule="auto"/>
        <w:ind w:left="990" w:hanging="990"/>
        <w:contextualSpacing/>
        <w:jc w:val="both"/>
        <w:rPr>
          <w:rFonts w:ascii="Times New Roman" w:hAnsi="Times New Roman" w:cs="Times New Roman"/>
          <w:sz w:val="24"/>
          <w:szCs w:val="24"/>
        </w:rPr>
      </w:pPr>
      <w:r w:rsidRPr="00CC4EF6">
        <w:rPr>
          <w:rFonts w:ascii="Times New Roman" w:hAnsi="Times New Roman" w:cs="Times New Roman"/>
          <w:b/>
          <w:bCs/>
          <w:sz w:val="24"/>
          <w:szCs w:val="24"/>
        </w:rPr>
        <w:t xml:space="preserve">Tabel </w:t>
      </w:r>
      <w:r w:rsidRPr="00CC4EF6">
        <w:rPr>
          <w:rFonts w:ascii="Times New Roman" w:hAnsi="Times New Roman" w:cs="Times New Roman"/>
          <w:b/>
          <w:bCs/>
          <w:sz w:val="24"/>
          <w:szCs w:val="24"/>
          <w:lang w:val="id-ID"/>
        </w:rPr>
        <w:t>2</w:t>
      </w:r>
      <w:r w:rsidR="00014166" w:rsidRPr="0096047F">
        <w:rPr>
          <w:rFonts w:ascii="Times New Roman" w:hAnsi="Times New Roman" w:cs="Times New Roman"/>
          <w:sz w:val="24"/>
          <w:szCs w:val="24"/>
        </w:rPr>
        <w:t>.</w:t>
      </w:r>
      <w:r w:rsidR="00014166" w:rsidRPr="00044D54">
        <w:rPr>
          <w:rFonts w:ascii="Times New Roman" w:hAnsi="Times New Roman" w:cs="Times New Roman"/>
          <w:sz w:val="24"/>
          <w:szCs w:val="24"/>
        </w:rPr>
        <w:t xml:space="preserve"> Berat organ viseral mencit setelah dipapar</w:t>
      </w:r>
      <w:r w:rsidR="00014166">
        <w:rPr>
          <w:rFonts w:ascii="Times New Roman" w:hAnsi="Times New Roman" w:cs="Times New Roman"/>
          <w:sz w:val="24"/>
          <w:szCs w:val="24"/>
        </w:rPr>
        <w:t xml:space="preserve">kan ekstrak biji pepaya   </w:t>
      </w:r>
      <w:r w:rsidR="00182B4B">
        <w:rPr>
          <w:rFonts w:ascii="Times New Roman" w:hAnsi="Times New Roman" w:cs="Times New Roman"/>
          <w:sz w:val="24"/>
          <w:szCs w:val="24"/>
        </w:rPr>
        <w:t xml:space="preserve"> </w:t>
      </w:r>
      <w:r w:rsidR="00014166">
        <w:rPr>
          <w:rFonts w:ascii="Times New Roman" w:hAnsi="Times New Roman" w:cs="Times New Roman"/>
          <w:sz w:val="24"/>
          <w:szCs w:val="24"/>
        </w:rPr>
        <w:t xml:space="preserve">‘Bangkok’ </w:t>
      </w:r>
      <w:r w:rsidR="00014166" w:rsidRPr="00044D54">
        <w:rPr>
          <w:rFonts w:ascii="Times New Roman" w:hAnsi="Times New Roman" w:cs="Times New Roman"/>
          <w:sz w:val="24"/>
          <w:szCs w:val="24"/>
        </w:rPr>
        <w:t xml:space="preserve">selama 28 hari </w:t>
      </w:r>
    </w:p>
    <w:tbl>
      <w:tblPr>
        <w:tblStyle w:val="TableGrid"/>
        <w:tblW w:w="8100" w:type="dxa"/>
        <w:tblInd w:w="108" w:type="dxa"/>
        <w:tblLayout w:type="fixed"/>
        <w:tblLook w:val="04A0" w:firstRow="1" w:lastRow="0" w:firstColumn="1" w:lastColumn="0" w:noHBand="0" w:noVBand="1"/>
      </w:tblPr>
      <w:tblGrid>
        <w:gridCol w:w="1167"/>
        <w:gridCol w:w="651"/>
        <w:gridCol w:w="917"/>
        <w:gridCol w:w="927"/>
        <w:gridCol w:w="676"/>
        <w:gridCol w:w="1062"/>
        <w:gridCol w:w="1037"/>
        <w:gridCol w:w="917"/>
        <w:gridCol w:w="746"/>
      </w:tblGrid>
      <w:tr w:rsidR="00014166" w:rsidRPr="005C46B8" w14:paraId="4BB83793" w14:textId="77777777" w:rsidTr="00182B4B">
        <w:trPr>
          <w:trHeight w:val="496"/>
        </w:trPr>
        <w:tc>
          <w:tcPr>
            <w:tcW w:w="1167" w:type="dxa"/>
            <w:vMerge w:val="restart"/>
          </w:tcPr>
          <w:p w14:paraId="42DE716C"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 xml:space="preserve">Konsentrasi ekstrak biji pepaya </w:t>
            </w:r>
            <w:r>
              <w:rPr>
                <w:rFonts w:ascii="Times New Roman" w:hAnsi="Times New Roman" w:cs="Times New Roman"/>
                <w:b/>
              </w:rPr>
              <w:t>‘</w:t>
            </w:r>
            <w:r w:rsidRPr="005375E5">
              <w:rPr>
                <w:rFonts w:ascii="Times New Roman" w:hAnsi="Times New Roman" w:cs="Times New Roman"/>
                <w:b/>
              </w:rPr>
              <w:t>Bangkok</w:t>
            </w:r>
            <w:r>
              <w:rPr>
                <w:rFonts w:ascii="Times New Roman" w:hAnsi="Times New Roman" w:cs="Times New Roman"/>
                <w:b/>
              </w:rPr>
              <w:t>’</w:t>
            </w:r>
            <w:r w:rsidRPr="005375E5">
              <w:rPr>
                <w:rFonts w:ascii="Times New Roman" w:hAnsi="Times New Roman" w:cs="Times New Roman"/>
                <w:b/>
              </w:rPr>
              <w:t xml:space="preserve"> (%)(b/v)</w:t>
            </w:r>
          </w:p>
        </w:tc>
        <w:tc>
          <w:tcPr>
            <w:tcW w:w="6933" w:type="dxa"/>
            <w:gridSpan w:val="8"/>
          </w:tcPr>
          <w:p w14:paraId="6AB20D61"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Organ viseral (g)</w:t>
            </w:r>
          </w:p>
        </w:tc>
      </w:tr>
      <w:tr w:rsidR="00014166" w:rsidRPr="005C46B8" w14:paraId="6FB7C179" w14:textId="77777777" w:rsidTr="00182B4B">
        <w:trPr>
          <w:trHeight w:val="1000"/>
        </w:trPr>
        <w:tc>
          <w:tcPr>
            <w:tcW w:w="1167" w:type="dxa"/>
            <w:vMerge/>
          </w:tcPr>
          <w:p w14:paraId="7538ED79" w14:textId="77777777" w:rsidR="00014166" w:rsidRPr="005375E5" w:rsidRDefault="00014166" w:rsidP="0028177C">
            <w:pPr>
              <w:jc w:val="center"/>
              <w:rPr>
                <w:rFonts w:ascii="Times New Roman" w:hAnsi="Times New Roman" w:cs="Times New Roman"/>
                <w:b/>
              </w:rPr>
            </w:pPr>
          </w:p>
        </w:tc>
        <w:tc>
          <w:tcPr>
            <w:tcW w:w="651" w:type="dxa"/>
          </w:tcPr>
          <w:p w14:paraId="23FB2A74"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Hati</w:t>
            </w:r>
          </w:p>
        </w:tc>
        <w:tc>
          <w:tcPr>
            <w:tcW w:w="917" w:type="dxa"/>
          </w:tcPr>
          <w:p w14:paraId="75986267"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Ginjal</w:t>
            </w:r>
          </w:p>
        </w:tc>
        <w:tc>
          <w:tcPr>
            <w:tcW w:w="927" w:type="dxa"/>
          </w:tcPr>
          <w:p w14:paraId="72040772"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Limpa</w:t>
            </w:r>
          </w:p>
        </w:tc>
        <w:tc>
          <w:tcPr>
            <w:tcW w:w="676" w:type="dxa"/>
          </w:tcPr>
          <w:p w14:paraId="1F9E8E56"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Usus</w:t>
            </w:r>
          </w:p>
        </w:tc>
        <w:tc>
          <w:tcPr>
            <w:tcW w:w="1062" w:type="dxa"/>
          </w:tcPr>
          <w:p w14:paraId="20C73EB4" w14:textId="77777777" w:rsidR="00014166" w:rsidRPr="005375E5" w:rsidRDefault="00014166" w:rsidP="0028177C">
            <w:pPr>
              <w:jc w:val="center"/>
              <w:rPr>
                <w:rFonts w:ascii="Times New Roman" w:hAnsi="Times New Roman" w:cs="Times New Roman"/>
                <w:b/>
              </w:rPr>
            </w:pPr>
            <w:r>
              <w:rPr>
                <w:rFonts w:ascii="Times New Roman" w:hAnsi="Times New Roman" w:cs="Times New Roman"/>
                <w:b/>
              </w:rPr>
              <w:t>Lambung</w:t>
            </w:r>
          </w:p>
        </w:tc>
        <w:tc>
          <w:tcPr>
            <w:tcW w:w="1037" w:type="dxa"/>
          </w:tcPr>
          <w:p w14:paraId="16BD417B"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Pankreas</w:t>
            </w:r>
          </w:p>
        </w:tc>
        <w:tc>
          <w:tcPr>
            <w:tcW w:w="917" w:type="dxa"/>
          </w:tcPr>
          <w:p w14:paraId="7585C719"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Jantung</w:t>
            </w:r>
          </w:p>
        </w:tc>
        <w:tc>
          <w:tcPr>
            <w:tcW w:w="746" w:type="dxa"/>
          </w:tcPr>
          <w:p w14:paraId="28340BDC" w14:textId="77777777" w:rsidR="00014166" w:rsidRPr="005375E5" w:rsidRDefault="00014166" w:rsidP="0028177C">
            <w:pPr>
              <w:jc w:val="center"/>
              <w:rPr>
                <w:rFonts w:ascii="Times New Roman" w:hAnsi="Times New Roman" w:cs="Times New Roman"/>
                <w:b/>
              </w:rPr>
            </w:pPr>
            <w:r w:rsidRPr="005375E5">
              <w:rPr>
                <w:rFonts w:ascii="Times New Roman" w:hAnsi="Times New Roman" w:cs="Times New Roman"/>
                <w:b/>
              </w:rPr>
              <w:t>Paru-paru</w:t>
            </w:r>
          </w:p>
        </w:tc>
      </w:tr>
      <w:tr w:rsidR="00014166" w:rsidRPr="005C46B8" w14:paraId="40389F71" w14:textId="77777777" w:rsidTr="00182B4B">
        <w:trPr>
          <w:trHeight w:val="307"/>
        </w:trPr>
        <w:tc>
          <w:tcPr>
            <w:tcW w:w="1167" w:type="dxa"/>
          </w:tcPr>
          <w:p w14:paraId="778634E4"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w:t>
            </w:r>
          </w:p>
        </w:tc>
        <w:tc>
          <w:tcPr>
            <w:tcW w:w="651" w:type="dxa"/>
          </w:tcPr>
          <w:p w14:paraId="72A80B6E"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1.18</w:t>
            </w:r>
          </w:p>
        </w:tc>
        <w:tc>
          <w:tcPr>
            <w:tcW w:w="917" w:type="dxa"/>
          </w:tcPr>
          <w:p w14:paraId="33CB7DDD"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0.49</w:t>
            </w:r>
          </w:p>
        </w:tc>
        <w:tc>
          <w:tcPr>
            <w:tcW w:w="927" w:type="dxa"/>
          </w:tcPr>
          <w:p w14:paraId="20A8475A" w14:textId="77777777" w:rsidR="00014166" w:rsidRPr="005375E5" w:rsidRDefault="00014166" w:rsidP="0028177C">
            <w:pPr>
              <w:jc w:val="center"/>
              <w:rPr>
                <w:rFonts w:ascii="Times New Roman" w:hAnsi="Times New Roman" w:cs="Times New Roman"/>
                <w:bCs/>
                <w:color w:val="000000"/>
              </w:rPr>
            </w:pPr>
            <w:r w:rsidRPr="005375E5">
              <w:rPr>
                <w:rFonts w:ascii="Times New Roman" w:hAnsi="Times New Roman" w:cs="Times New Roman"/>
                <w:bCs/>
                <w:color w:val="000000"/>
              </w:rPr>
              <w:t>0.12</w:t>
            </w:r>
          </w:p>
        </w:tc>
        <w:tc>
          <w:tcPr>
            <w:tcW w:w="676" w:type="dxa"/>
          </w:tcPr>
          <w:p w14:paraId="72C606C8"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2.45</w:t>
            </w:r>
          </w:p>
        </w:tc>
        <w:tc>
          <w:tcPr>
            <w:tcW w:w="1062" w:type="dxa"/>
          </w:tcPr>
          <w:p w14:paraId="31FF249D" w14:textId="77777777" w:rsidR="00014166" w:rsidRPr="005375E5" w:rsidRDefault="00014166" w:rsidP="0028177C">
            <w:pPr>
              <w:jc w:val="center"/>
              <w:rPr>
                <w:rFonts w:ascii="Times New Roman" w:eastAsia="Times New Roman" w:hAnsi="Times New Roman" w:cs="Times New Roman"/>
                <w:bCs/>
                <w:color w:val="000000"/>
                <w:lang w:eastAsia="id-ID"/>
              </w:rPr>
            </w:pPr>
            <w:r>
              <w:rPr>
                <w:rFonts w:ascii="Times New Roman" w:eastAsia="Times New Roman" w:hAnsi="Times New Roman" w:cs="Times New Roman"/>
                <w:bCs/>
                <w:color w:val="000000"/>
                <w:lang w:eastAsia="id-ID"/>
              </w:rPr>
              <w:t>0.25</w:t>
            </w:r>
          </w:p>
        </w:tc>
        <w:tc>
          <w:tcPr>
            <w:tcW w:w="1037" w:type="dxa"/>
          </w:tcPr>
          <w:p w14:paraId="242C5B8D"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0.16</w:t>
            </w:r>
          </w:p>
        </w:tc>
        <w:tc>
          <w:tcPr>
            <w:tcW w:w="917" w:type="dxa"/>
          </w:tcPr>
          <w:p w14:paraId="54C0F2C2" w14:textId="77777777" w:rsidR="00014166" w:rsidRPr="005375E5" w:rsidRDefault="00014166" w:rsidP="0028177C">
            <w:pPr>
              <w:jc w:val="center"/>
              <w:rPr>
                <w:rFonts w:ascii="Times New Roman" w:hAnsi="Times New Roman" w:cs="Times New Roman"/>
              </w:rPr>
            </w:pPr>
            <w:r w:rsidRPr="005375E5">
              <w:rPr>
                <w:rFonts w:ascii="Times New Roman" w:eastAsia="Times New Roman" w:hAnsi="Times New Roman" w:cs="Times New Roman"/>
                <w:bCs/>
                <w:color w:val="000000"/>
                <w:lang w:eastAsia="id-ID"/>
              </w:rPr>
              <w:t>0.13</w:t>
            </w:r>
          </w:p>
        </w:tc>
        <w:tc>
          <w:tcPr>
            <w:tcW w:w="746" w:type="dxa"/>
          </w:tcPr>
          <w:p w14:paraId="092DE1B5" w14:textId="77777777" w:rsidR="00014166" w:rsidRPr="005375E5" w:rsidRDefault="00014166" w:rsidP="0028177C">
            <w:pPr>
              <w:jc w:val="center"/>
              <w:rPr>
                <w:rFonts w:ascii="Times New Roman" w:eastAsia="Times New Roman" w:hAnsi="Times New Roman" w:cs="Times New Roman"/>
                <w:bCs/>
                <w:color w:val="000000"/>
                <w:lang w:eastAsia="id-ID"/>
              </w:rPr>
            </w:pPr>
            <w:r w:rsidRPr="005375E5">
              <w:rPr>
                <w:rFonts w:ascii="Times New Roman" w:eastAsia="Times New Roman" w:hAnsi="Times New Roman" w:cs="Times New Roman"/>
                <w:bCs/>
                <w:color w:val="000000"/>
                <w:lang w:eastAsia="id-ID"/>
              </w:rPr>
              <w:t>0.15</w:t>
            </w:r>
          </w:p>
        </w:tc>
      </w:tr>
      <w:tr w:rsidR="00014166" w:rsidRPr="005C46B8" w14:paraId="38C4722D" w14:textId="77777777" w:rsidTr="00182B4B">
        <w:trPr>
          <w:trHeight w:val="253"/>
        </w:trPr>
        <w:tc>
          <w:tcPr>
            <w:tcW w:w="1167" w:type="dxa"/>
          </w:tcPr>
          <w:p w14:paraId="57497EDA"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4</w:t>
            </w:r>
          </w:p>
        </w:tc>
        <w:tc>
          <w:tcPr>
            <w:tcW w:w="651" w:type="dxa"/>
          </w:tcPr>
          <w:p w14:paraId="39945201"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2.00</w:t>
            </w:r>
          </w:p>
        </w:tc>
        <w:tc>
          <w:tcPr>
            <w:tcW w:w="917" w:type="dxa"/>
          </w:tcPr>
          <w:p w14:paraId="0A1ABDEB"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0.68</w:t>
            </w:r>
          </w:p>
        </w:tc>
        <w:tc>
          <w:tcPr>
            <w:tcW w:w="927" w:type="dxa"/>
          </w:tcPr>
          <w:p w14:paraId="3EF493C6"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0.16</w:t>
            </w:r>
          </w:p>
        </w:tc>
        <w:tc>
          <w:tcPr>
            <w:tcW w:w="676" w:type="dxa"/>
          </w:tcPr>
          <w:p w14:paraId="47D5DDA2"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2.12</w:t>
            </w:r>
          </w:p>
        </w:tc>
        <w:tc>
          <w:tcPr>
            <w:tcW w:w="1062" w:type="dxa"/>
          </w:tcPr>
          <w:p w14:paraId="72A46D5C" w14:textId="77777777" w:rsidR="00014166" w:rsidRPr="005375E5" w:rsidRDefault="00014166" w:rsidP="0028177C">
            <w:pPr>
              <w:jc w:val="center"/>
              <w:rPr>
                <w:rFonts w:ascii="Times New Roman" w:hAnsi="Times New Roman" w:cs="Times New Roman"/>
              </w:rPr>
            </w:pPr>
            <w:r>
              <w:rPr>
                <w:rFonts w:ascii="Times New Roman" w:hAnsi="Times New Roman" w:cs="Times New Roman"/>
              </w:rPr>
              <w:t>0.49</w:t>
            </w:r>
          </w:p>
        </w:tc>
        <w:tc>
          <w:tcPr>
            <w:tcW w:w="1037" w:type="dxa"/>
          </w:tcPr>
          <w:p w14:paraId="290456A3"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0.20</w:t>
            </w:r>
          </w:p>
        </w:tc>
        <w:tc>
          <w:tcPr>
            <w:tcW w:w="917" w:type="dxa"/>
          </w:tcPr>
          <w:p w14:paraId="267C7A91"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w:t>
            </w:r>
            <w:r>
              <w:rPr>
                <w:rFonts w:ascii="Times New Roman" w:hAnsi="Times New Roman" w:cs="Times New Roman"/>
              </w:rPr>
              <w:t>18</w:t>
            </w:r>
          </w:p>
        </w:tc>
        <w:tc>
          <w:tcPr>
            <w:tcW w:w="746" w:type="dxa"/>
          </w:tcPr>
          <w:p w14:paraId="1076CDDE"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0.23</w:t>
            </w:r>
          </w:p>
        </w:tc>
      </w:tr>
      <w:tr w:rsidR="00014166" w:rsidRPr="005C46B8" w14:paraId="42924F4D" w14:textId="77777777" w:rsidTr="00182B4B">
        <w:trPr>
          <w:trHeight w:val="253"/>
        </w:trPr>
        <w:tc>
          <w:tcPr>
            <w:tcW w:w="1167" w:type="dxa"/>
          </w:tcPr>
          <w:p w14:paraId="635CE87C"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6</w:t>
            </w:r>
          </w:p>
        </w:tc>
        <w:tc>
          <w:tcPr>
            <w:tcW w:w="651" w:type="dxa"/>
          </w:tcPr>
          <w:p w14:paraId="7E4FC977"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1.77</w:t>
            </w:r>
          </w:p>
        </w:tc>
        <w:tc>
          <w:tcPr>
            <w:tcW w:w="917" w:type="dxa"/>
          </w:tcPr>
          <w:p w14:paraId="55F0D410"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0.45</w:t>
            </w:r>
          </w:p>
        </w:tc>
        <w:tc>
          <w:tcPr>
            <w:tcW w:w="927" w:type="dxa"/>
          </w:tcPr>
          <w:p w14:paraId="13045124"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0.11</w:t>
            </w:r>
          </w:p>
        </w:tc>
        <w:tc>
          <w:tcPr>
            <w:tcW w:w="676" w:type="dxa"/>
          </w:tcPr>
          <w:p w14:paraId="27A99810"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2.47</w:t>
            </w:r>
          </w:p>
        </w:tc>
        <w:tc>
          <w:tcPr>
            <w:tcW w:w="1062" w:type="dxa"/>
          </w:tcPr>
          <w:p w14:paraId="303B6A51" w14:textId="77777777" w:rsidR="00014166" w:rsidRPr="005375E5" w:rsidRDefault="00014166" w:rsidP="0028177C">
            <w:pPr>
              <w:jc w:val="center"/>
              <w:rPr>
                <w:rFonts w:ascii="Times New Roman" w:hAnsi="Times New Roman" w:cs="Times New Roman"/>
              </w:rPr>
            </w:pPr>
            <w:r>
              <w:rPr>
                <w:rFonts w:ascii="Times New Roman" w:hAnsi="Times New Roman" w:cs="Times New Roman"/>
              </w:rPr>
              <w:t>0.40</w:t>
            </w:r>
          </w:p>
        </w:tc>
        <w:tc>
          <w:tcPr>
            <w:tcW w:w="1037" w:type="dxa"/>
          </w:tcPr>
          <w:p w14:paraId="726A6A5B"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0.34</w:t>
            </w:r>
          </w:p>
        </w:tc>
        <w:tc>
          <w:tcPr>
            <w:tcW w:w="917" w:type="dxa"/>
          </w:tcPr>
          <w:p w14:paraId="777F2974" w14:textId="77777777" w:rsidR="00014166" w:rsidRPr="005375E5" w:rsidRDefault="00014166" w:rsidP="0028177C">
            <w:pPr>
              <w:jc w:val="center"/>
              <w:rPr>
                <w:rFonts w:ascii="Times New Roman" w:hAnsi="Times New Roman" w:cs="Times New Roman"/>
                <w:bCs/>
                <w:color w:val="000000"/>
              </w:rPr>
            </w:pPr>
            <w:r w:rsidRPr="005375E5">
              <w:rPr>
                <w:rFonts w:ascii="Times New Roman" w:hAnsi="Times New Roman" w:cs="Times New Roman"/>
                <w:bCs/>
                <w:color w:val="000000"/>
              </w:rPr>
              <w:t>0.</w:t>
            </w:r>
            <w:r>
              <w:rPr>
                <w:rFonts w:ascii="Times New Roman" w:hAnsi="Times New Roman" w:cs="Times New Roman"/>
                <w:bCs/>
                <w:color w:val="000000"/>
              </w:rPr>
              <w:t>22</w:t>
            </w:r>
          </w:p>
        </w:tc>
        <w:tc>
          <w:tcPr>
            <w:tcW w:w="746" w:type="dxa"/>
          </w:tcPr>
          <w:p w14:paraId="646645D8" w14:textId="77777777" w:rsidR="00014166" w:rsidRPr="005375E5" w:rsidRDefault="00014166" w:rsidP="0028177C">
            <w:pPr>
              <w:jc w:val="center"/>
              <w:rPr>
                <w:rFonts w:ascii="Times New Roman" w:hAnsi="Times New Roman" w:cs="Times New Roman"/>
                <w:bCs/>
                <w:color w:val="000000"/>
              </w:rPr>
            </w:pPr>
            <w:r w:rsidRPr="005375E5">
              <w:rPr>
                <w:rFonts w:ascii="Times New Roman" w:hAnsi="Times New Roman" w:cs="Times New Roman"/>
                <w:bCs/>
                <w:color w:val="000000"/>
              </w:rPr>
              <w:t>0.21</w:t>
            </w:r>
          </w:p>
        </w:tc>
      </w:tr>
      <w:tr w:rsidR="00014166" w:rsidRPr="005C46B8" w14:paraId="600F9926" w14:textId="77777777" w:rsidTr="00182B4B">
        <w:trPr>
          <w:trHeight w:val="253"/>
        </w:trPr>
        <w:tc>
          <w:tcPr>
            <w:tcW w:w="1167" w:type="dxa"/>
          </w:tcPr>
          <w:p w14:paraId="01F92307"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8</w:t>
            </w:r>
          </w:p>
        </w:tc>
        <w:tc>
          <w:tcPr>
            <w:tcW w:w="651" w:type="dxa"/>
          </w:tcPr>
          <w:p w14:paraId="4DC18627"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2.00</w:t>
            </w:r>
          </w:p>
        </w:tc>
        <w:tc>
          <w:tcPr>
            <w:tcW w:w="917" w:type="dxa"/>
          </w:tcPr>
          <w:p w14:paraId="1444725F"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0.57</w:t>
            </w:r>
          </w:p>
        </w:tc>
        <w:tc>
          <w:tcPr>
            <w:tcW w:w="927" w:type="dxa"/>
          </w:tcPr>
          <w:p w14:paraId="20E455B8"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0.13</w:t>
            </w:r>
          </w:p>
        </w:tc>
        <w:tc>
          <w:tcPr>
            <w:tcW w:w="676" w:type="dxa"/>
          </w:tcPr>
          <w:p w14:paraId="72B937F3"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3.50</w:t>
            </w:r>
          </w:p>
        </w:tc>
        <w:tc>
          <w:tcPr>
            <w:tcW w:w="1062" w:type="dxa"/>
          </w:tcPr>
          <w:p w14:paraId="46A469C0" w14:textId="77777777" w:rsidR="00014166" w:rsidRPr="005375E5" w:rsidRDefault="00014166" w:rsidP="0028177C">
            <w:pPr>
              <w:jc w:val="center"/>
              <w:rPr>
                <w:rFonts w:ascii="Times New Roman" w:hAnsi="Times New Roman" w:cs="Times New Roman"/>
              </w:rPr>
            </w:pPr>
            <w:r>
              <w:rPr>
                <w:rFonts w:ascii="Times New Roman" w:hAnsi="Times New Roman" w:cs="Times New Roman"/>
              </w:rPr>
              <w:t>0.58</w:t>
            </w:r>
          </w:p>
        </w:tc>
        <w:tc>
          <w:tcPr>
            <w:tcW w:w="1037" w:type="dxa"/>
          </w:tcPr>
          <w:p w14:paraId="2C79C9FC"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0.20</w:t>
            </w:r>
          </w:p>
        </w:tc>
        <w:tc>
          <w:tcPr>
            <w:tcW w:w="917" w:type="dxa"/>
          </w:tcPr>
          <w:p w14:paraId="57469D37"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0.22</w:t>
            </w:r>
          </w:p>
        </w:tc>
        <w:tc>
          <w:tcPr>
            <w:tcW w:w="746" w:type="dxa"/>
          </w:tcPr>
          <w:p w14:paraId="4B0A2A8F" w14:textId="77777777" w:rsidR="00014166" w:rsidRPr="005375E5" w:rsidRDefault="00014166" w:rsidP="0028177C">
            <w:pPr>
              <w:jc w:val="center"/>
              <w:rPr>
                <w:rFonts w:ascii="Times New Roman" w:hAnsi="Times New Roman" w:cs="Times New Roman"/>
              </w:rPr>
            </w:pPr>
            <w:r w:rsidRPr="005375E5">
              <w:rPr>
                <w:rFonts w:ascii="Times New Roman" w:hAnsi="Times New Roman" w:cs="Times New Roman"/>
              </w:rPr>
              <w:t>0.19</w:t>
            </w:r>
          </w:p>
        </w:tc>
      </w:tr>
    </w:tbl>
    <w:p w14:paraId="5173218B" w14:textId="0742E808" w:rsidR="00FB01F8" w:rsidRDefault="00FB01F8" w:rsidP="00014166">
      <w:pPr>
        <w:spacing w:line="360" w:lineRule="auto"/>
        <w:contextualSpacing/>
        <w:jc w:val="both"/>
        <w:rPr>
          <w:rFonts w:ascii="Times New Roman" w:hAnsi="Times New Roman" w:cs="Times New Roman"/>
          <w:sz w:val="24"/>
          <w:szCs w:val="24"/>
        </w:rPr>
        <w:sectPr w:rsidR="00FB01F8" w:rsidSect="007923E4">
          <w:type w:val="continuous"/>
          <w:pgSz w:w="12240" w:h="15840" w:code="1"/>
          <w:pgMar w:top="1701" w:right="1701" w:bottom="1701" w:left="2268" w:header="708" w:footer="708" w:gutter="0"/>
          <w:cols w:space="708"/>
          <w:docGrid w:linePitch="360"/>
        </w:sectPr>
      </w:pPr>
    </w:p>
    <w:p w14:paraId="201E70D6" w14:textId="1AAA0307" w:rsidR="00FB01F8" w:rsidRDefault="00FB01F8" w:rsidP="00284C19">
      <w:pPr>
        <w:spacing w:line="360" w:lineRule="auto"/>
        <w:contextualSpacing/>
        <w:jc w:val="both"/>
        <w:rPr>
          <w:rFonts w:ascii="Times New Roman" w:hAnsi="Times New Roman" w:cs="Times New Roman"/>
          <w:sz w:val="24"/>
          <w:szCs w:val="24"/>
        </w:rPr>
      </w:pPr>
    </w:p>
    <w:p w14:paraId="699D4A01" w14:textId="77777777" w:rsidR="00014166" w:rsidRPr="009D6C67" w:rsidRDefault="00182B4B" w:rsidP="00014166">
      <w:pPr>
        <w:spacing w:after="0" w:line="240" w:lineRule="auto"/>
        <w:ind w:left="908" w:hanging="99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9156B" w:rsidRPr="00CC4EF6">
        <w:rPr>
          <w:rFonts w:ascii="Times New Roman" w:hAnsi="Times New Roman" w:cs="Times New Roman"/>
          <w:b/>
          <w:bCs/>
          <w:sz w:val="24"/>
          <w:szCs w:val="24"/>
        </w:rPr>
        <w:t xml:space="preserve">Tabel </w:t>
      </w:r>
      <w:r w:rsidR="00F9156B" w:rsidRPr="00CC4EF6">
        <w:rPr>
          <w:rFonts w:ascii="Times New Roman" w:hAnsi="Times New Roman" w:cs="Times New Roman"/>
          <w:b/>
          <w:bCs/>
          <w:sz w:val="24"/>
          <w:szCs w:val="24"/>
          <w:lang w:val="id-ID"/>
        </w:rPr>
        <w:t>3</w:t>
      </w:r>
      <w:r w:rsidR="00014166" w:rsidRPr="0096047F">
        <w:rPr>
          <w:rFonts w:ascii="Times New Roman" w:hAnsi="Times New Roman" w:cs="Times New Roman"/>
          <w:sz w:val="24"/>
          <w:szCs w:val="24"/>
        </w:rPr>
        <w:t>.</w:t>
      </w:r>
      <w:r w:rsidR="00014166">
        <w:rPr>
          <w:rFonts w:ascii="Times New Roman" w:hAnsi="Times New Roman" w:cs="Times New Roman"/>
          <w:sz w:val="24"/>
          <w:szCs w:val="24"/>
        </w:rPr>
        <w:t xml:space="preserve"> Morfologi organ viseral mencit setelah dipaparkan ekstrak biji pepaya ‘California’ dan ‘Bangkok’ selama 28 hari </w:t>
      </w:r>
    </w:p>
    <w:tbl>
      <w:tblPr>
        <w:tblStyle w:val="TableGrid"/>
        <w:tblW w:w="8082" w:type="dxa"/>
        <w:tblInd w:w="108" w:type="dxa"/>
        <w:tblLayout w:type="fixed"/>
        <w:tblLook w:val="04A0" w:firstRow="1" w:lastRow="0" w:firstColumn="1" w:lastColumn="0" w:noHBand="0" w:noVBand="1"/>
      </w:tblPr>
      <w:tblGrid>
        <w:gridCol w:w="1440"/>
        <w:gridCol w:w="1602"/>
        <w:gridCol w:w="1620"/>
        <w:gridCol w:w="1800"/>
        <w:gridCol w:w="1620"/>
      </w:tblGrid>
      <w:tr w:rsidR="00014166" w:rsidRPr="0072130C" w14:paraId="5247E416" w14:textId="77777777" w:rsidTr="00182B4B">
        <w:trPr>
          <w:trHeight w:val="143"/>
        </w:trPr>
        <w:tc>
          <w:tcPr>
            <w:tcW w:w="1440" w:type="dxa"/>
            <w:vMerge w:val="restart"/>
            <w:hideMark/>
          </w:tcPr>
          <w:p w14:paraId="522CF263"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b/>
                <w:iCs/>
                <w:lang w:val="id-ID"/>
              </w:rPr>
            </w:pPr>
            <w:r w:rsidRPr="002745A7">
              <w:rPr>
                <w:rFonts w:ascii="Times New Roman" w:hAnsi="Times New Roman" w:cs="Times New Roman"/>
                <w:b/>
                <w:iCs/>
              </w:rPr>
              <w:t>Organ</w:t>
            </w:r>
          </w:p>
        </w:tc>
        <w:tc>
          <w:tcPr>
            <w:tcW w:w="6642" w:type="dxa"/>
            <w:gridSpan w:val="4"/>
            <w:hideMark/>
          </w:tcPr>
          <w:p w14:paraId="215B9AA1"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b/>
                <w:iCs/>
              </w:rPr>
            </w:pPr>
            <w:r w:rsidRPr="002745A7">
              <w:rPr>
                <w:rFonts w:ascii="Times New Roman" w:hAnsi="Times New Roman" w:cs="Times New Roman"/>
                <w:b/>
                <w:iCs/>
              </w:rPr>
              <w:t>Konsentrasi % (b/v)</w:t>
            </w:r>
          </w:p>
        </w:tc>
      </w:tr>
      <w:tr w:rsidR="00014166" w:rsidRPr="0072130C" w14:paraId="7999AB67" w14:textId="77777777" w:rsidTr="00182B4B">
        <w:trPr>
          <w:trHeight w:val="233"/>
        </w:trPr>
        <w:tc>
          <w:tcPr>
            <w:tcW w:w="1440" w:type="dxa"/>
            <w:vMerge/>
            <w:hideMark/>
          </w:tcPr>
          <w:p w14:paraId="2B05F26A"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b/>
                <w:iCs/>
                <w:lang w:val="id-ID"/>
              </w:rPr>
            </w:pPr>
          </w:p>
        </w:tc>
        <w:tc>
          <w:tcPr>
            <w:tcW w:w="1602" w:type="dxa"/>
            <w:hideMark/>
          </w:tcPr>
          <w:p w14:paraId="1E319EDB"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b/>
                <w:iCs/>
                <w:lang w:val="id-ID"/>
              </w:rPr>
            </w:pPr>
            <w:r w:rsidRPr="002745A7">
              <w:rPr>
                <w:rFonts w:ascii="Times New Roman" w:hAnsi="Times New Roman" w:cs="Times New Roman"/>
                <w:b/>
                <w:iCs/>
              </w:rPr>
              <w:t>0</w:t>
            </w:r>
          </w:p>
        </w:tc>
        <w:tc>
          <w:tcPr>
            <w:tcW w:w="1620" w:type="dxa"/>
            <w:hideMark/>
          </w:tcPr>
          <w:p w14:paraId="70A802EF"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b/>
                <w:iCs/>
                <w:lang w:val="id-ID"/>
              </w:rPr>
            </w:pPr>
            <w:r w:rsidRPr="002745A7">
              <w:rPr>
                <w:rFonts w:ascii="Times New Roman" w:hAnsi="Times New Roman" w:cs="Times New Roman"/>
                <w:b/>
                <w:iCs/>
              </w:rPr>
              <w:t>4</w:t>
            </w:r>
          </w:p>
        </w:tc>
        <w:tc>
          <w:tcPr>
            <w:tcW w:w="1800" w:type="dxa"/>
            <w:hideMark/>
          </w:tcPr>
          <w:p w14:paraId="788580AF"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b/>
                <w:iCs/>
                <w:lang w:val="id-ID"/>
              </w:rPr>
            </w:pPr>
            <w:r w:rsidRPr="002745A7">
              <w:rPr>
                <w:rFonts w:ascii="Times New Roman" w:hAnsi="Times New Roman" w:cs="Times New Roman"/>
                <w:b/>
                <w:iCs/>
              </w:rPr>
              <w:t>6</w:t>
            </w:r>
          </w:p>
        </w:tc>
        <w:tc>
          <w:tcPr>
            <w:tcW w:w="1620" w:type="dxa"/>
          </w:tcPr>
          <w:p w14:paraId="34A6AF23"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b/>
                <w:iCs/>
              </w:rPr>
            </w:pPr>
            <w:r w:rsidRPr="002745A7">
              <w:rPr>
                <w:rFonts w:ascii="Times New Roman" w:hAnsi="Times New Roman" w:cs="Times New Roman"/>
                <w:b/>
                <w:iCs/>
              </w:rPr>
              <w:t>8</w:t>
            </w:r>
          </w:p>
        </w:tc>
      </w:tr>
      <w:tr w:rsidR="00014166" w:rsidRPr="0072130C" w14:paraId="39D4A8CE" w14:textId="77777777" w:rsidTr="00182B4B">
        <w:trPr>
          <w:trHeight w:val="503"/>
        </w:trPr>
        <w:tc>
          <w:tcPr>
            <w:tcW w:w="1440" w:type="dxa"/>
            <w:hideMark/>
          </w:tcPr>
          <w:p w14:paraId="17517885"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Paru-paru</w:t>
            </w:r>
          </w:p>
        </w:tc>
        <w:tc>
          <w:tcPr>
            <w:tcW w:w="1602" w:type="dxa"/>
            <w:hideMark/>
          </w:tcPr>
          <w:p w14:paraId="2B894196"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Segar</w:t>
            </w:r>
          </w:p>
        </w:tc>
        <w:tc>
          <w:tcPr>
            <w:tcW w:w="1620" w:type="dxa"/>
            <w:hideMark/>
          </w:tcPr>
          <w:p w14:paraId="4BA5E4F8"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Segar</w:t>
            </w:r>
          </w:p>
        </w:tc>
        <w:tc>
          <w:tcPr>
            <w:tcW w:w="1800" w:type="dxa"/>
            <w:hideMark/>
          </w:tcPr>
          <w:p w14:paraId="364DD0E4"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Segar</w:t>
            </w:r>
          </w:p>
        </w:tc>
        <w:tc>
          <w:tcPr>
            <w:tcW w:w="1620" w:type="dxa"/>
          </w:tcPr>
          <w:p w14:paraId="625389A7"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Segar</w:t>
            </w:r>
          </w:p>
        </w:tc>
      </w:tr>
      <w:tr w:rsidR="00014166" w:rsidRPr="0072130C" w14:paraId="542BD8BC" w14:textId="77777777" w:rsidTr="00182B4B">
        <w:trPr>
          <w:trHeight w:val="359"/>
        </w:trPr>
        <w:tc>
          <w:tcPr>
            <w:tcW w:w="1440" w:type="dxa"/>
            <w:hideMark/>
          </w:tcPr>
          <w:p w14:paraId="2E5CB836"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Jantung</w:t>
            </w:r>
          </w:p>
        </w:tc>
        <w:tc>
          <w:tcPr>
            <w:tcW w:w="1602" w:type="dxa"/>
            <w:hideMark/>
          </w:tcPr>
          <w:p w14:paraId="3613AD22"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Hati</w:t>
            </w:r>
          </w:p>
        </w:tc>
        <w:tc>
          <w:tcPr>
            <w:tcW w:w="1620" w:type="dxa"/>
            <w:hideMark/>
          </w:tcPr>
          <w:p w14:paraId="2BE5D010"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Hati</w:t>
            </w:r>
          </w:p>
        </w:tc>
        <w:tc>
          <w:tcPr>
            <w:tcW w:w="1800" w:type="dxa"/>
            <w:hideMark/>
          </w:tcPr>
          <w:p w14:paraId="2A6BC011"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Hati</w:t>
            </w:r>
          </w:p>
        </w:tc>
        <w:tc>
          <w:tcPr>
            <w:tcW w:w="1620" w:type="dxa"/>
          </w:tcPr>
          <w:p w14:paraId="02B4263E"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Hati</w:t>
            </w:r>
          </w:p>
        </w:tc>
      </w:tr>
      <w:tr w:rsidR="00014166" w:rsidRPr="0072130C" w14:paraId="2483D4C9" w14:textId="77777777" w:rsidTr="00182B4B">
        <w:trPr>
          <w:trHeight w:val="629"/>
        </w:trPr>
        <w:tc>
          <w:tcPr>
            <w:tcW w:w="1440" w:type="dxa"/>
            <w:hideMark/>
          </w:tcPr>
          <w:p w14:paraId="312697B1"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lastRenderedPageBreak/>
              <w:t>Lambung</w:t>
            </w:r>
          </w:p>
        </w:tc>
        <w:tc>
          <w:tcPr>
            <w:tcW w:w="1602" w:type="dxa"/>
            <w:hideMark/>
          </w:tcPr>
          <w:p w14:paraId="3096214A"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  sedikit kuning</w:t>
            </w:r>
          </w:p>
        </w:tc>
        <w:tc>
          <w:tcPr>
            <w:tcW w:w="1620" w:type="dxa"/>
            <w:hideMark/>
          </w:tcPr>
          <w:p w14:paraId="0A87F25F"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 sedikit kuning</w:t>
            </w:r>
          </w:p>
        </w:tc>
        <w:tc>
          <w:tcPr>
            <w:tcW w:w="1800" w:type="dxa"/>
            <w:hideMark/>
          </w:tcPr>
          <w:p w14:paraId="1C69DBDD"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 sedikit kuning</w:t>
            </w:r>
          </w:p>
        </w:tc>
        <w:tc>
          <w:tcPr>
            <w:tcW w:w="1620" w:type="dxa"/>
          </w:tcPr>
          <w:p w14:paraId="24246D5A"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 sedikit kuning</w:t>
            </w:r>
          </w:p>
        </w:tc>
      </w:tr>
      <w:tr w:rsidR="00014166" w:rsidRPr="0072130C" w14:paraId="6991C57B" w14:textId="77777777" w:rsidTr="00182B4B">
        <w:trPr>
          <w:trHeight w:val="458"/>
        </w:trPr>
        <w:tc>
          <w:tcPr>
            <w:tcW w:w="1440" w:type="dxa"/>
            <w:hideMark/>
          </w:tcPr>
          <w:p w14:paraId="7086FA9C"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Usus</w:t>
            </w:r>
          </w:p>
        </w:tc>
        <w:tc>
          <w:tcPr>
            <w:tcW w:w="1602" w:type="dxa"/>
            <w:hideMark/>
          </w:tcPr>
          <w:p w14:paraId="0549197A"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w:t>
            </w:r>
          </w:p>
        </w:tc>
        <w:tc>
          <w:tcPr>
            <w:tcW w:w="1620" w:type="dxa"/>
            <w:hideMark/>
          </w:tcPr>
          <w:p w14:paraId="606318E3"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w:t>
            </w:r>
          </w:p>
        </w:tc>
        <w:tc>
          <w:tcPr>
            <w:tcW w:w="1800" w:type="dxa"/>
            <w:hideMark/>
          </w:tcPr>
          <w:p w14:paraId="54BEA5D0"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w:t>
            </w:r>
          </w:p>
        </w:tc>
        <w:tc>
          <w:tcPr>
            <w:tcW w:w="1620" w:type="dxa"/>
          </w:tcPr>
          <w:p w14:paraId="30EC053D"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w:t>
            </w:r>
          </w:p>
        </w:tc>
      </w:tr>
      <w:tr w:rsidR="00014166" w:rsidRPr="0072130C" w14:paraId="6EF4EBA1" w14:textId="77777777" w:rsidTr="00182B4B">
        <w:trPr>
          <w:trHeight w:val="809"/>
        </w:trPr>
        <w:tc>
          <w:tcPr>
            <w:tcW w:w="1440" w:type="dxa"/>
            <w:hideMark/>
          </w:tcPr>
          <w:p w14:paraId="1851F519"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Pankreas</w:t>
            </w:r>
          </w:p>
        </w:tc>
        <w:tc>
          <w:tcPr>
            <w:tcW w:w="1602" w:type="dxa"/>
            <w:hideMark/>
          </w:tcPr>
          <w:p w14:paraId="1B348BC3"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 sedikit merah</w:t>
            </w:r>
          </w:p>
        </w:tc>
        <w:tc>
          <w:tcPr>
            <w:tcW w:w="1620" w:type="dxa"/>
            <w:hideMark/>
          </w:tcPr>
          <w:p w14:paraId="49E27CD9"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 sedikit merah</w:t>
            </w:r>
          </w:p>
        </w:tc>
        <w:tc>
          <w:tcPr>
            <w:tcW w:w="1800" w:type="dxa"/>
            <w:hideMark/>
          </w:tcPr>
          <w:p w14:paraId="10DC75D7"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 sedikit merah</w:t>
            </w:r>
          </w:p>
        </w:tc>
        <w:tc>
          <w:tcPr>
            <w:tcW w:w="1620" w:type="dxa"/>
          </w:tcPr>
          <w:p w14:paraId="74A166E2"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Putih sedikit merah</w:t>
            </w:r>
          </w:p>
        </w:tc>
      </w:tr>
      <w:tr w:rsidR="00014166" w:rsidRPr="0072130C" w14:paraId="31F617A8" w14:textId="77777777" w:rsidTr="00182B4B">
        <w:trPr>
          <w:trHeight w:val="701"/>
        </w:trPr>
        <w:tc>
          <w:tcPr>
            <w:tcW w:w="1440" w:type="dxa"/>
            <w:hideMark/>
          </w:tcPr>
          <w:p w14:paraId="45005F52"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Ginjal</w:t>
            </w:r>
          </w:p>
        </w:tc>
        <w:tc>
          <w:tcPr>
            <w:tcW w:w="1602" w:type="dxa"/>
            <w:hideMark/>
          </w:tcPr>
          <w:p w14:paraId="3A55B2EB"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hati segar</w:t>
            </w:r>
          </w:p>
        </w:tc>
        <w:tc>
          <w:tcPr>
            <w:tcW w:w="1620" w:type="dxa"/>
            <w:hideMark/>
          </w:tcPr>
          <w:p w14:paraId="04BDAAF4"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hati segar</w:t>
            </w:r>
          </w:p>
        </w:tc>
        <w:tc>
          <w:tcPr>
            <w:tcW w:w="1800" w:type="dxa"/>
            <w:hideMark/>
          </w:tcPr>
          <w:p w14:paraId="7B541459"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hati segar</w:t>
            </w:r>
          </w:p>
        </w:tc>
        <w:tc>
          <w:tcPr>
            <w:tcW w:w="1620" w:type="dxa"/>
          </w:tcPr>
          <w:p w14:paraId="639DA5FF"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hati segar</w:t>
            </w:r>
          </w:p>
        </w:tc>
      </w:tr>
      <w:tr w:rsidR="00014166" w:rsidRPr="0072130C" w14:paraId="3A6C7B08" w14:textId="77777777" w:rsidTr="00182B4B">
        <w:trPr>
          <w:trHeight w:val="521"/>
        </w:trPr>
        <w:tc>
          <w:tcPr>
            <w:tcW w:w="1440" w:type="dxa"/>
            <w:hideMark/>
          </w:tcPr>
          <w:p w14:paraId="48F650B6"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Limpa</w:t>
            </w:r>
          </w:p>
        </w:tc>
        <w:tc>
          <w:tcPr>
            <w:tcW w:w="1602" w:type="dxa"/>
            <w:hideMark/>
          </w:tcPr>
          <w:p w14:paraId="2C83374D"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tua</w:t>
            </w:r>
          </w:p>
        </w:tc>
        <w:tc>
          <w:tcPr>
            <w:tcW w:w="1620" w:type="dxa"/>
            <w:hideMark/>
          </w:tcPr>
          <w:p w14:paraId="40ED4F01"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tua</w:t>
            </w:r>
          </w:p>
        </w:tc>
        <w:tc>
          <w:tcPr>
            <w:tcW w:w="1800" w:type="dxa"/>
            <w:hideMark/>
          </w:tcPr>
          <w:p w14:paraId="6AFC9E85"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tua</w:t>
            </w:r>
          </w:p>
        </w:tc>
        <w:tc>
          <w:tcPr>
            <w:tcW w:w="1620" w:type="dxa"/>
          </w:tcPr>
          <w:p w14:paraId="785A4741" w14:textId="77777777" w:rsidR="00014166" w:rsidRPr="005543D9"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5543D9">
              <w:rPr>
                <w:rFonts w:ascii="Times New Roman" w:hAnsi="Times New Roman" w:cs="Times New Roman"/>
                <w:iCs/>
              </w:rPr>
              <w:t>Merah tua</w:t>
            </w:r>
          </w:p>
        </w:tc>
      </w:tr>
      <w:tr w:rsidR="00014166" w:rsidRPr="0072130C" w14:paraId="083FFB8D" w14:textId="77777777" w:rsidTr="00182B4B">
        <w:trPr>
          <w:trHeight w:val="521"/>
        </w:trPr>
        <w:tc>
          <w:tcPr>
            <w:tcW w:w="1440" w:type="dxa"/>
            <w:hideMark/>
          </w:tcPr>
          <w:p w14:paraId="6EB8A377"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2745A7">
              <w:rPr>
                <w:rFonts w:ascii="Times New Roman" w:hAnsi="Times New Roman" w:cs="Times New Roman"/>
                <w:iCs/>
              </w:rPr>
              <w:t>Hati</w:t>
            </w:r>
          </w:p>
        </w:tc>
        <w:tc>
          <w:tcPr>
            <w:tcW w:w="1602" w:type="dxa"/>
            <w:hideMark/>
          </w:tcPr>
          <w:p w14:paraId="3C6409F6"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2745A7">
              <w:rPr>
                <w:rFonts w:ascii="Times New Roman" w:hAnsi="Times New Roman" w:cs="Times New Roman"/>
                <w:iCs/>
              </w:rPr>
              <w:t>Merah hati</w:t>
            </w:r>
          </w:p>
        </w:tc>
        <w:tc>
          <w:tcPr>
            <w:tcW w:w="1620" w:type="dxa"/>
            <w:hideMark/>
          </w:tcPr>
          <w:p w14:paraId="64DEF469"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2745A7">
              <w:rPr>
                <w:rFonts w:ascii="Times New Roman" w:hAnsi="Times New Roman" w:cs="Times New Roman"/>
                <w:iCs/>
              </w:rPr>
              <w:t>Merah hati</w:t>
            </w:r>
          </w:p>
        </w:tc>
        <w:tc>
          <w:tcPr>
            <w:tcW w:w="1800" w:type="dxa"/>
            <w:hideMark/>
          </w:tcPr>
          <w:p w14:paraId="58535C60"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2745A7">
              <w:rPr>
                <w:rFonts w:ascii="Times New Roman" w:hAnsi="Times New Roman" w:cs="Times New Roman"/>
                <w:iCs/>
              </w:rPr>
              <w:t>Merah hati</w:t>
            </w:r>
          </w:p>
        </w:tc>
        <w:tc>
          <w:tcPr>
            <w:tcW w:w="1620" w:type="dxa"/>
          </w:tcPr>
          <w:p w14:paraId="110BAEDD" w14:textId="77777777" w:rsidR="00014166" w:rsidRPr="002745A7" w:rsidRDefault="00014166" w:rsidP="0028177C">
            <w:pPr>
              <w:tabs>
                <w:tab w:val="left" w:pos="567"/>
                <w:tab w:val="left" w:pos="709"/>
                <w:tab w:val="left" w:pos="2127"/>
                <w:tab w:val="left" w:pos="3402"/>
              </w:tabs>
              <w:spacing w:line="360" w:lineRule="auto"/>
              <w:ind w:left="360"/>
              <w:jc w:val="center"/>
              <w:rPr>
                <w:rFonts w:ascii="Times New Roman" w:hAnsi="Times New Roman" w:cs="Times New Roman"/>
                <w:iCs/>
                <w:lang w:val="id-ID"/>
              </w:rPr>
            </w:pPr>
            <w:r w:rsidRPr="002745A7">
              <w:rPr>
                <w:rFonts w:ascii="Times New Roman" w:hAnsi="Times New Roman" w:cs="Times New Roman"/>
                <w:iCs/>
              </w:rPr>
              <w:t>Merah hati</w:t>
            </w:r>
          </w:p>
        </w:tc>
      </w:tr>
    </w:tbl>
    <w:p w14:paraId="19A20A98" w14:textId="77777777" w:rsidR="00FB01F8" w:rsidRDefault="00182B4B" w:rsidP="00014166">
      <w:pPr>
        <w:spacing w:line="360" w:lineRule="auto"/>
        <w:contextualSpacing/>
        <w:jc w:val="both"/>
        <w:rPr>
          <w:rFonts w:ascii="Times New Roman" w:hAnsi="Times New Roman" w:cs="Times New Roman"/>
          <w:sz w:val="24"/>
          <w:szCs w:val="24"/>
        </w:rPr>
        <w:sectPr w:rsidR="00FB01F8" w:rsidSect="007923E4">
          <w:type w:val="continuous"/>
          <w:pgSz w:w="12240" w:h="15840" w:code="1"/>
          <w:pgMar w:top="1701" w:right="1701" w:bottom="1701" w:left="2268" w:header="708" w:footer="708" w:gutter="0"/>
          <w:cols w:space="708"/>
          <w:docGrid w:linePitch="360"/>
        </w:sectPr>
      </w:pPr>
      <w:r>
        <w:rPr>
          <w:rFonts w:ascii="Times New Roman" w:hAnsi="Times New Roman" w:cs="Times New Roman"/>
          <w:sz w:val="24"/>
          <w:szCs w:val="24"/>
        </w:rPr>
        <w:tab/>
      </w:r>
    </w:p>
    <w:p w14:paraId="759FA95B" w14:textId="49380465" w:rsidR="00B66320" w:rsidRDefault="007B6B66" w:rsidP="00284C19">
      <w:pPr>
        <w:spacing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ab/>
      </w:r>
      <w:r w:rsidR="00014166" w:rsidRPr="0096047F">
        <w:rPr>
          <w:rFonts w:ascii="Times New Roman" w:hAnsi="Times New Roman" w:cs="Times New Roman"/>
          <w:sz w:val="24"/>
          <w:szCs w:val="24"/>
        </w:rPr>
        <w:t xml:space="preserve">Berdasarkan </w:t>
      </w:r>
      <w:r w:rsidR="00014166">
        <w:rPr>
          <w:rFonts w:ascii="Times New Roman" w:hAnsi="Times New Roman" w:cs="Times New Roman"/>
          <w:sz w:val="24"/>
          <w:szCs w:val="24"/>
        </w:rPr>
        <w:t>hasil pengamatan</w:t>
      </w:r>
      <w:r w:rsidR="00CC4EF6">
        <w:rPr>
          <w:rFonts w:ascii="Times New Roman" w:hAnsi="Times New Roman" w:cs="Times New Roman"/>
          <w:sz w:val="24"/>
          <w:szCs w:val="24"/>
        </w:rPr>
        <w:t xml:space="preserve"> secara makroskopis pada </w:t>
      </w:r>
      <w:r w:rsidR="00CC4EF6">
        <w:rPr>
          <w:rFonts w:ascii="Times New Roman" w:hAnsi="Times New Roman" w:cs="Times New Roman"/>
          <w:sz w:val="24"/>
          <w:szCs w:val="24"/>
          <w:lang w:val="id-ID"/>
        </w:rPr>
        <w:t>T</w:t>
      </w:r>
      <w:r w:rsidR="00F9156B">
        <w:rPr>
          <w:rFonts w:ascii="Times New Roman" w:hAnsi="Times New Roman" w:cs="Times New Roman"/>
          <w:sz w:val="24"/>
          <w:szCs w:val="24"/>
        </w:rPr>
        <w:t xml:space="preserve">abel </w:t>
      </w:r>
      <w:r w:rsidR="00F9156B">
        <w:rPr>
          <w:rFonts w:ascii="Times New Roman" w:hAnsi="Times New Roman" w:cs="Times New Roman"/>
          <w:sz w:val="24"/>
          <w:szCs w:val="24"/>
          <w:lang w:val="id-ID"/>
        </w:rPr>
        <w:t>3</w:t>
      </w:r>
      <w:r w:rsidR="00014166">
        <w:rPr>
          <w:rFonts w:ascii="Times New Roman" w:hAnsi="Times New Roman" w:cs="Times New Roman"/>
          <w:sz w:val="24"/>
          <w:szCs w:val="24"/>
        </w:rPr>
        <w:t xml:space="preserve"> bahwa terlihat tidak adanya perbedaan warna pada seluruh organ viseral mencit khususnya pada warna hati setelah didedahkan ekstrak biji pepaya ‘California’ dan ‘Bangkok’ dengan konsentrasi 4, 6, dan 8% jika dibandingkan dengan kelompok kontrol. Pada hati mencit berwarna merah hati, hal ini menunjukkan bahwa warna hati tersebut normal tidak ada kerusakan atau kelainan pada hati mencit.</w:t>
      </w:r>
      <w:r w:rsidR="00182B4B">
        <w:rPr>
          <w:rFonts w:ascii="Times New Roman" w:hAnsi="Times New Roman" w:cs="Times New Roman"/>
          <w:sz w:val="24"/>
          <w:szCs w:val="24"/>
        </w:rPr>
        <w:t xml:space="preserve"> </w:t>
      </w:r>
    </w:p>
    <w:p w14:paraId="56811D0F" w14:textId="77777777" w:rsidR="00845092" w:rsidRDefault="00845092" w:rsidP="004D1D73">
      <w:pPr>
        <w:spacing w:line="360" w:lineRule="auto"/>
        <w:contextualSpacing/>
        <w:jc w:val="both"/>
        <w:rPr>
          <w:rFonts w:ascii="Times New Roman" w:eastAsia="Times New Roman" w:hAnsi="Times New Roman" w:cs="Times New Roman"/>
          <w:sz w:val="24"/>
          <w:szCs w:val="24"/>
        </w:rPr>
      </w:pPr>
    </w:p>
    <w:p w14:paraId="3244BED6" w14:textId="1F8A3352" w:rsidR="00845092" w:rsidRDefault="00845092" w:rsidP="004D1D73">
      <w:pPr>
        <w:spacing w:line="360" w:lineRule="auto"/>
        <w:contextualSpacing/>
        <w:jc w:val="both"/>
        <w:rPr>
          <w:rFonts w:ascii="Times New Roman" w:eastAsia="Times New Roman" w:hAnsi="Times New Roman" w:cs="Times New Roman"/>
          <w:b/>
          <w:bCs/>
          <w:sz w:val="24"/>
          <w:szCs w:val="24"/>
          <w:lang w:val="id-ID"/>
        </w:rPr>
      </w:pPr>
      <w:r w:rsidRPr="00845092">
        <w:rPr>
          <w:rFonts w:ascii="Times New Roman" w:eastAsia="Times New Roman" w:hAnsi="Times New Roman" w:cs="Times New Roman"/>
          <w:b/>
          <w:bCs/>
          <w:sz w:val="24"/>
          <w:szCs w:val="24"/>
          <w:lang w:val="id-ID"/>
        </w:rPr>
        <w:t>PEMBAHASAN</w:t>
      </w:r>
    </w:p>
    <w:p w14:paraId="0524E389" w14:textId="099CF3DC" w:rsidR="00284C19" w:rsidRPr="00284C19" w:rsidRDefault="00284C19" w:rsidP="00284C19">
      <w:pPr>
        <w:spacing w:line="360" w:lineRule="auto"/>
        <w:contextualSpacing/>
        <w:jc w:val="both"/>
        <w:rPr>
          <w:rFonts w:ascii="Times New Roman" w:hAnsi="Times New Roman" w:cs="Times New Roman"/>
          <w:b/>
          <w:sz w:val="24"/>
          <w:szCs w:val="24"/>
        </w:rPr>
      </w:pPr>
      <w:r w:rsidRPr="00115DC0">
        <w:rPr>
          <w:rFonts w:ascii="Times New Roman" w:hAnsi="Times New Roman" w:cs="Times New Roman"/>
          <w:b/>
          <w:sz w:val="24"/>
          <w:szCs w:val="24"/>
        </w:rPr>
        <w:t>Uji Toksisitas Subakut dan Pengamatan Kondisi Fisik Mencit</w:t>
      </w:r>
      <w:r>
        <w:rPr>
          <w:rFonts w:ascii="Times New Roman" w:hAnsi="Times New Roman" w:cs="Times New Roman"/>
          <w:sz w:val="24"/>
          <w:szCs w:val="24"/>
        </w:rPr>
        <w:t xml:space="preserve">  </w:t>
      </w:r>
    </w:p>
    <w:p w14:paraId="13DF944D" w14:textId="7D6EA56D" w:rsidR="00845092" w:rsidRDefault="00845092" w:rsidP="00845092">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Pada penelitian ini pemberian ekstrak biji pepaya ‘California’ maupun ‘Bangkok’</w:t>
      </w:r>
      <w:r w:rsidR="00284C19">
        <w:rPr>
          <w:rFonts w:ascii="Times New Roman" w:hAnsi="Times New Roman" w:cs="Times New Roman"/>
          <w:sz w:val="24"/>
          <w:szCs w:val="24"/>
        </w:rPr>
        <w:t xml:space="preserve"> dengan konsentrasi 4, 6, dan 8</w:t>
      </w:r>
      <w:r>
        <w:rPr>
          <w:rFonts w:ascii="Times New Roman" w:hAnsi="Times New Roman" w:cs="Times New Roman"/>
          <w:sz w:val="24"/>
          <w:szCs w:val="24"/>
        </w:rPr>
        <w:t xml:space="preserve">% (b/v) selama 28 hari tidak ditemukan adanya kematian. Kondisi fisik mencit yaitu kulit dan rambut, mata dan mukosa, pernapasan, aktivitas motorik, tremor, salivasi, diare, dan letargi pada mencit yang diberi ekstrak papaya </w:t>
      </w:r>
      <w:r>
        <w:rPr>
          <w:rFonts w:ascii="Times New Roman" w:hAnsi="Times New Roman" w:cs="Times New Roman"/>
          <w:sz w:val="24"/>
          <w:szCs w:val="24"/>
          <w:lang w:val="id-ID"/>
        </w:rPr>
        <w:t>‘</w:t>
      </w:r>
      <w:r>
        <w:rPr>
          <w:rFonts w:ascii="Times New Roman" w:hAnsi="Times New Roman" w:cs="Times New Roman"/>
          <w:sz w:val="24"/>
          <w:szCs w:val="24"/>
        </w:rPr>
        <w:t>California</w:t>
      </w:r>
      <w:r>
        <w:rPr>
          <w:rFonts w:ascii="Times New Roman" w:hAnsi="Times New Roman" w:cs="Times New Roman"/>
          <w:sz w:val="24"/>
          <w:szCs w:val="24"/>
          <w:lang w:val="id-ID"/>
        </w:rPr>
        <w:t>’</w:t>
      </w:r>
      <w:r>
        <w:rPr>
          <w:rFonts w:ascii="Times New Roman" w:hAnsi="Times New Roman" w:cs="Times New Roman"/>
          <w:sz w:val="24"/>
          <w:szCs w:val="24"/>
        </w:rPr>
        <w:t xml:space="preserve"> maupun </w:t>
      </w:r>
      <w:r>
        <w:rPr>
          <w:rFonts w:ascii="Times New Roman" w:hAnsi="Times New Roman" w:cs="Times New Roman"/>
          <w:sz w:val="24"/>
          <w:szCs w:val="24"/>
          <w:lang w:val="id-ID"/>
        </w:rPr>
        <w:t>‘</w:t>
      </w:r>
      <w:r>
        <w:rPr>
          <w:rFonts w:ascii="Times New Roman" w:hAnsi="Times New Roman" w:cs="Times New Roman"/>
          <w:sz w:val="24"/>
          <w:szCs w:val="24"/>
        </w:rPr>
        <w:t>Bangkok</w:t>
      </w:r>
      <w:r>
        <w:rPr>
          <w:rFonts w:ascii="Times New Roman" w:hAnsi="Times New Roman" w:cs="Times New Roman"/>
          <w:sz w:val="24"/>
          <w:szCs w:val="24"/>
          <w:lang w:val="id-ID"/>
        </w:rPr>
        <w:t>’</w:t>
      </w:r>
      <w:r>
        <w:rPr>
          <w:rFonts w:ascii="Times New Roman" w:hAnsi="Times New Roman" w:cs="Times New Roman"/>
          <w:sz w:val="24"/>
          <w:szCs w:val="24"/>
        </w:rPr>
        <w:t xml:space="preserve"> tidak menunjukkan perbedaan dari kelompok kontrol. </w:t>
      </w:r>
    </w:p>
    <w:p w14:paraId="15A6A575" w14:textId="77777777" w:rsidR="00845092" w:rsidRDefault="00845092" w:rsidP="00845092">
      <w:pPr>
        <w:spacing w:line="360" w:lineRule="auto"/>
        <w:ind w:firstLine="720"/>
        <w:contextualSpacing/>
        <w:jc w:val="both"/>
        <w:rPr>
          <w:rFonts w:ascii="Times New Roman" w:hAnsi="Times New Roman" w:cs="Times New Roman"/>
          <w:sz w:val="24"/>
          <w:szCs w:val="24"/>
        </w:rPr>
      </w:pPr>
    </w:p>
    <w:p w14:paraId="1259F149" w14:textId="2DCFBD87" w:rsidR="00845092" w:rsidRPr="00845092" w:rsidRDefault="00845092" w:rsidP="00845092">
      <w:pPr>
        <w:spacing w:after="0" w:line="360" w:lineRule="auto"/>
        <w:jc w:val="both"/>
        <w:rPr>
          <w:rFonts w:ascii="Times New Roman" w:hAnsi="Times New Roman" w:cs="Times New Roman"/>
          <w:sz w:val="24"/>
          <w:szCs w:val="24"/>
          <w:lang w:val="en-GB"/>
        </w:rPr>
      </w:pPr>
      <w:r w:rsidRPr="006639DD">
        <w:rPr>
          <w:rFonts w:ascii="Times New Roman" w:hAnsi="Times New Roman" w:cs="Times New Roman"/>
          <w:b/>
          <w:bCs/>
          <w:sz w:val="24"/>
          <w:szCs w:val="24"/>
        </w:rPr>
        <w:t>Uji</w:t>
      </w:r>
      <w:r>
        <w:rPr>
          <w:rFonts w:ascii="Times New Roman" w:hAnsi="Times New Roman" w:cs="Times New Roman"/>
          <w:b/>
          <w:bCs/>
          <w:sz w:val="24"/>
          <w:szCs w:val="24"/>
        </w:rPr>
        <w:t xml:space="preserve"> </w:t>
      </w:r>
      <w:r>
        <w:rPr>
          <w:rFonts w:ascii="Times New Roman" w:hAnsi="Times New Roman" w:cs="Times New Roman"/>
          <w:b/>
          <w:bCs/>
          <w:sz w:val="24"/>
          <w:szCs w:val="24"/>
          <w:lang w:val="en-GB"/>
        </w:rPr>
        <w:t>Aktivitas Enzim SGOT dan SGP</w:t>
      </w:r>
      <w:r w:rsidRPr="006639DD">
        <w:rPr>
          <w:rFonts w:ascii="Times New Roman" w:hAnsi="Times New Roman" w:cs="Times New Roman"/>
          <w:b/>
          <w:bCs/>
          <w:sz w:val="24"/>
          <w:szCs w:val="24"/>
          <w:lang w:val="en-GB"/>
        </w:rPr>
        <w:t xml:space="preserve">T </w:t>
      </w:r>
    </w:p>
    <w:p w14:paraId="6B1573E4" w14:textId="77777777" w:rsidR="00845092" w:rsidRDefault="00845092" w:rsidP="00845092">
      <w:pPr>
        <w:spacing w:before="24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Konsentrasi SGOT pada serum mencit yang diberi ekstrak biji pepaya </w:t>
      </w:r>
      <w:r>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California</w:t>
      </w:r>
      <w:r>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maupun </w:t>
      </w:r>
      <w:r>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Bangkok</w:t>
      </w:r>
      <w:r>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pada semua konsentrasi mengalami peningkatan dibandingkan </w:t>
      </w:r>
      <w:r>
        <w:rPr>
          <w:rFonts w:ascii="Times New Roman" w:hAnsi="Times New Roman" w:cs="Times New Roman"/>
          <w:color w:val="000000" w:themeColor="text1"/>
          <w:sz w:val="24"/>
          <w:szCs w:val="24"/>
        </w:rPr>
        <w:lastRenderedPageBreak/>
        <w:t xml:space="preserve">dengan kontrol. Hasil uji Anova parameter SGOT menunjukkan bahwa pada semua konsentrasi 0, 4, 6 dan 8% didapatkan hasil yang signifikan atau berbeda nyata, sedangkan hasil uji lanjut Tukey pada perlakuan jenis pepaya dan konsentrasi berpengaruh pada semua kelompok perlakuan dengan ditandai adanya peningkatan pada kadar SGOT serum darah mencit. Peningkatan kadar SGOT pada kelompok perlakuan masih di bawah kadar SGOT normal. </w:t>
      </w:r>
    </w:p>
    <w:p w14:paraId="310BED76" w14:textId="77777777" w:rsidR="00845092" w:rsidRDefault="00845092" w:rsidP="00845092">
      <w:pPr>
        <w:spacing w:before="24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Konsentrasi SGPT pada serum mencit yang diberi ekstrak biji pepaya ‘California’ maupun ‘Bangkok’ bahwa mengalami peningkatan pada semua kelompok perlakuan dibandingkan dengan kelompok kontrol. Hasil uji ANOVA parameter SGPT menunjukkan bahwa hanya pada konsentrasi 8% yang didapatkan hasil signifikan atau berbeda nyata, sedangkan pada konsentrasi 0, 4, dan 6% didapatkan hasil yang tidak signifikan. Hasil uji lanjut Tukey hanya dilakukan pada konsentrasi tertinggi yaitu 8% dengan ditandai adanya peningkatan pada kadar SGPT serum darah mencit. Peningkatan kadar SGPT kelompok mencit perlakuan masih di bawah kadar SGPT normal.</w:t>
      </w:r>
    </w:p>
    <w:p w14:paraId="31A1969E" w14:textId="77777777" w:rsidR="00845092" w:rsidRDefault="00845092" w:rsidP="00845092">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Pada hasil peningkatan kadar SGOT maupun SGPT serum darah mencit dapat disebabkan karena adanya senyawa-senyawa zat aktif yang bersifat toksik pada ekstrak biji pepaya ‘California’ maupun ‘Bangkok’ tersebut. Menurut (Warisno, 2003) bahwa senyawa yang bersifat toksik atau racun adalah alkaloid, namun jika dikonsumsi dengan dosis yang yang tepat akan bermanfaat bagi tubuh, sedangkan jika dikonsumsi dengan dosis yang tidak tepat diduga dapat menyebabkan efek toksik terhadap hati. </w:t>
      </w:r>
    </w:p>
    <w:p w14:paraId="1F1C0191" w14:textId="4717A9D8" w:rsidR="00845092" w:rsidRDefault="00845092" w:rsidP="00845092">
      <w:pPr>
        <w:spacing w:before="24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Hasil uji GC-MS ekstrak biji pepaya ‘California’ dan ‘Bangkok’ yang telah dilakukan oleh Awaliah, Fitri &amp; Radiastuti (2019) bahwa papaya tersebut mengandung senyawa </w:t>
      </w:r>
      <w:r w:rsidRPr="005952C7">
        <w:rPr>
          <w:rFonts w:ascii="Times New Roman" w:hAnsi="Times New Roman" w:cs="Times New Roman"/>
          <w:i/>
          <w:sz w:val="24"/>
          <w:szCs w:val="24"/>
        </w:rPr>
        <w:t>Dodecanoic acid</w:t>
      </w:r>
      <w:r>
        <w:rPr>
          <w:rFonts w:ascii="Times New Roman" w:hAnsi="Times New Roman" w:cs="Times New Roman"/>
          <w:sz w:val="24"/>
          <w:szCs w:val="24"/>
        </w:rPr>
        <w:t xml:space="preserve"> (HO</w:t>
      </w:r>
      <w:r w:rsidRPr="005C2E4D">
        <w:rPr>
          <w:rFonts w:ascii="Times New Roman" w:hAnsi="Times New Roman" w:cs="Times New Roman"/>
          <w:sz w:val="24"/>
          <w:szCs w:val="24"/>
          <w:vertAlign w:val="subscript"/>
        </w:rPr>
        <w:t>2</w:t>
      </w:r>
      <w:r>
        <w:rPr>
          <w:rFonts w:ascii="Times New Roman" w:hAnsi="Times New Roman" w:cs="Times New Roman"/>
          <w:sz w:val="24"/>
          <w:szCs w:val="24"/>
        </w:rPr>
        <w:t>C (CH</w:t>
      </w:r>
      <w:r w:rsidRPr="005C2E4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CB37A1">
        <w:rPr>
          <w:rFonts w:ascii="Times New Roman" w:hAnsi="Times New Roman" w:cs="Times New Roman"/>
          <w:sz w:val="24"/>
          <w:szCs w:val="24"/>
          <w:vertAlign w:val="subscript"/>
        </w:rPr>
        <w:t>10</w:t>
      </w:r>
      <w:r>
        <w:rPr>
          <w:rFonts w:ascii="Times New Roman" w:hAnsi="Times New Roman" w:cs="Times New Roman"/>
          <w:sz w:val="24"/>
          <w:szCs w:val="24"/>
        </w:rPr>
        <w:t xml:space="preserve">Me), </w:t>
      </w:r>
      <w:r w:rsidRPr="005952C7">
        <w:rPr>
          <w:rFonts w:ascii="Times New Roman" w:hAnsi="Times New Roman" w:cs="Times New Roman"/>
          <w:i/>
          <w:sz w:val="24"/>
          <w:szCs w:val="24"/>
        </w:rPr>
        <w:t>Phenol</w:t>
      </w:r>
      <w:r>
        <w:rPr>
          <w:rFonts w:ascii="Times New Roman" w:hAnsi="Times New Roman" w:cs="Times New Roman"/>
          <w:sz w:val="24"/>
          <w:szCs w:val="24"/>
        </w:rPr>
        <w:t xml:space="preserve">, 2,4-bis, </w:t>
      </w:r>
      <w:r w:rsidRPr="005952C7">
        <w:rPr>
          <w:rFonts w:ascii="Times New Roman" w:hAnsi="Times New Roman" w:cs="Times New Roman"/>
          <w:i/>
          <w:sz w:val="24"/>
          <w:szCs w:val="24"/>
        </w:rPr>
        <w:t>Methyl ester of Benzylcarbamic acid</w:t>
      </w:r>
      <w:r>
        <w:rPr>
          <w:rFonts w:ascii="Times New Roman" w:hAnsi="Times New Roman" w:cs="Times New Roman"/>
          <w:sz w:val="24"/>
          <w:szCs w:val="24"/>
        </w:rPr>
        <w:t>, 3,7,11,15-</w:t>
      </w:r>
      <w:r w:rsidRPr="005952C7">
        <w:rPr>
          <w:rFonts w:ascii="Times New Roman" w:hAnsi="Times New Roman" w:cs="Times New Roman"/>
          <w:i/>
          <w:sz w:val="24"/>
          <w:szCs w:val="24"/>
        </w:rPr>
        <w:t>Tetramethyl</w:t>
      </w:r>
      <w:r>
        <w:rPr>
          <w:rFonts w:ascii="Times New Roman" w:hAnsi="Times New Roman" w:cs="Times New Roman"/>
          <w:sz w:val="24"/>
          <w:szCs w:val="24"/>
        </w:rPr>
        <w:t>-2-</w:t>
      </w:r>
      <w:r w:rsidRPr="005952C7">
        <w:rPr>
          <w:rFonts w:ascii="Times New Roman" w:hAnsi="Times New Roman" w:cs="Times New Roman"/>
          <w:i/>
          <w:sz w:val="24"/>
          <w:szCs w:val="24"/>
        </w:rPr>
        <w:t>hexadecen</w:t>
      </w:r>
      <w:r>
        <w:rPr>
          <w:rFonts w:ascii="Times New Roman" w:hAnsi="Times New Roman" w:cs="Times New Roman"/>
          <w:sz w:val="24"/>
          <w:szCs w:val="24"/>
        </w:rPr>
        <w:t>-1. Senyawa-senyawa tersebut diduga dapat meningkatkan kadar SGPT dan SGOT serum darah walaupun pada konsetrasi papaya tersebut meningkatkan kadar SGPT dan SGOT yang masih di bawah ambang batas normal.</w:t>
      </w:r>
      <w:r>
        <w:rPr>
          <w:rFonts w:ascii="Times New Roman" w:hAnsi="Times New Roman" w:cs="Times New Roman"/>
          <w:color w:val="000000" w:themeColor="text1"/>
          <w:sz w:val="24"/>
          <w:szCs w:val="24"/>
        </w:rPr>
        <w:t xml:space="preserve"> </w:t>
      </w:r>
      <w:r w:rsidR="00595B81">
        <w:rPr>
          <w:rFonts w:ascii="Times New Roman" w:hAnsi="Times New Roman" w:cs="Times New Roman"/>
          <w:color w:val="000000" w:themeColor="text1"/>
          <w:sz w:val="24"/>
          <w:szCs w:val="24"/>
        </w:rPr>
        <w:t xml:space="preserve">Menurut Guyton dan </w:t>
      </w:r>
      <w:r w:rsidR="00595B81">
        <w:rPr>
          <w:rFonts w:ascii="Times New Roman" w:hAnsi="Times New Roman" w:cs="Times New Roman"/>
          <w:color w:val="000000" w:themeColor="text1"/>
          <w:sz w:val="24"/>
          <w:szCs w:val="24"/>
          <w:lang w:val="id-ID"/>
        </w:rPr>
        <w:t>H</w:t>
      </w:r>
      <w:r w:rsidRPr="00FD3B26">
        <w:rPr>
          <w:rFonts w:ascii="Times New Roman" w:hAnsi="Times New Roman" w:cs="Times New Roman"/>
          <w:color w:val="000000" w:themeColor="text1"/>
          <w:sz w:val="24"/>
          <w:szCs w:val="24"/>
        </w:rPr>
        <w:t xml:space="preserve">all (2007) bahwa aktivitas kadar normal enzim </w:t>
      </w:r>
      <w:r w:rsidRPr="00A13BDE">
        <w:rPr>
          <w:rFonts w:ascii="Times New Roman" w:hAnsi="Times New Roman" w:cs="Times New Roman"/>
          <w:i/>
          <w:color w:val="000000" w:themeColor="text1"/>
          <w:sz w:val="24"/>
          <w:szCs w:val="24"/>
        </w:rPr>
        <w:t>Serum Glutamic Oxalosetic Transaminase</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w:t>
      </w:r>
      <w:r w:rsidRPr="00FD3B26">
        <w:rPr>
          <w:rFonts w:ascii="Times New Roman" w:hAnsi="Times New Roman" w:cs="Times New Roman"/>
          <w:color w:val="000000" w:themeColor="text1"/>
          <w:sz w:val="24"/>
          <w:szCs w:val="24"/>
        </w:rPr>
        <w:t>SGOT</w:t>
      </w:r>
      <w:r>
        <w:rPr>
          <w:rFonts w:ascii="Times New Roman" w:hAnsi="Times New Roman" w:cs="Times New Roman"/>
          <w:color w:val="000000" w:themeColor="text1"/>
          <w:sz w:val="24"/>
          <w:szCs w:val="24"/>
        </w:rPr>
        <w:t>)</w:t>
      </w:r>
      <w:r w:rsidRPr="00FD3B26">
        <w:rPr>
          <w:rFonts w:ascii="Times New Roman" w:hAnsi="Times New Roman" w:cs="Times New Roman"/>
          <w:color w:val="000000" w:themeColor="text1"/>
          <w:sz w:val="24"/>
          <w:szCs w:val="24"/>
        </w:rPr>
        <w:t xml:space="preserve"> sebesar 70-400 U/I dan </w:t>
      </w:r>
      <w:r w:rsidRPr="00A13BDE">
        <w:rPr>
          <w:rFonts w:ascii="Times New Roman" w:hAnsi="Times New Roman" w:cs="Times New Roman"/>
          <w:i/>
          <w:color w:val="000000" w:themeColor="text1"/>
          <w:sz w:val="24"/>
          <w:szCs w:val="24"/>
        </w:rPr>
        <w:t>Serum Glutamic Pyruvic Transaminase</w:t>
      </w:r>
      <w:r>
        <w:rPr>
          <w:rFonts w:ascii="Times New Roman" w:hAnsi="Times New Roman" w:cs="Times New Roman"/>
          <w:sz w:val="24"/>
          <w:szCs w:val="24"/>
        </w:rPr>
        <w:t xml:space="preserve"> (</w:t>
      </w:r>
      <w:r w:rsidRPr="00FD3B26">
        <w:rPr>
          <w:rFonts w:ascii="Times New Roman" w:hAnsi="Times New Roman" w:cs="Times New Roman"/>
          <w:color w:val="000000" w:themeColor="text1"/>
          <w:sz w:val="24"/>
          <w:szCs w:val="24"/>
        </w:rPr>
        <w:t>SGPT</w:t>
      </w:r>
      <w:r>
        <w:rPr>
          <w:rFonts w:ascii="Times New Roman" w:hAnsi="Times New Roman" w:cs="Times New Roman"/>
          <w:color w:val="000000" w:themeColor="text1"/>
          <w:sz w:val="24"/>
          <w:szCs w:val="24"/>
        </w:rPr>
        <w:t>) yaitu sebesar 25-200 U/I.</w:t>
      </w:r>
    </w:p>
    <w:p w14:paraId="1074ED2C" w14:textId="77777777" w:rsidR="00845092" w:rsidRDefault="00845092" w:rsidP="00845092">
      <w:pPr>
        <w:spacing w:before="240" w:line="360" w:lineRule="auto"/>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ab/>
        <w:t xml:space="preserve">Menurut penelitian yang telah dilakukan oleh (Safwan, 2017) mengenai uji toksisitas subakut dengan parameter SGOT dan SGPT didapatkan hasil yang menunjukkan bahwa pada hasil uji ANOVA tidak adanya perbedaan yang bermakna untuk semua kelompok (p&gt;0,05). Hasil ini menunjukkan perlakuan ekstrak biji pepaya dengan dosis 50 mg/kg b.b, 500 mg/kg b.b dan 5000 mg/kg b.b tidak berpengaruh pada aktivitas enzim SGOT dan SGPT pada mencit. </w:t>
      </w:r>
      <w:r>
        <w:rPr>
          <w:rFonts w:ascii="Times New Roman" w:hAnsi="Times New Roman" w:cs="Times New Roman"/>
          <w:color w:val="000000" w:themeColor="text1"/>
          <w:sz w:val="24"/>
          <w:szCs w:val="24"/>
          <w:lang w:val="id-ID"/>
        </w:rPr>
        <w:t>H</w:t>
      </w:r>
      <w:r>
        <w:rPr>
          <w:rFonts w:ascii="Times New Roman" w:hAnsi="Times New Roman" w:cs="Times New Roman"/>
          <w:color w:val="000000" w:themeColor="text1"/>
          <w:sz w:val="24"/>
          <w:szCs w:val="24"/>
        </w:rPr>
        <w:t>asil penelitian ini menunjukkan bahwa toksisitas secara subakut tidak terjadi pada ekstrak biji pepaya dilihat dari parameter SGOT dan SGPT.</w:t>
      </w:r>
    </w:p>
    <w:p w14:paraId="70BB6E20" w14:textId="77777777" w:rsidR="00845092" w:rsidRDefault="00845092" w:rsidP="00845092">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ED5CCF">
        <w:rPr>
          <w:rFonts w:ascii="Times New Roman" w:hAnsi="Times New Roman" w:cs="Times New Roman"/>
          <w:iCs/>
          <w:sz w:val="24"/>
          <w:szCs w:val="24"/>
        </w:rPr>
        <w:t>Sel hati menjadi organ yang sangat berpotensi mengalami peradangan atau kerusakan</w:t>
      </w:r>
      <w:r>
        <w:rPr>
          <w:rFonts w:ascii="Times New Roman" w:hAnsi="Times New Roman" w:cs="Times New Roman"/>
          <w:iCs/>
          <w:sz w:val="24"/>
          <w:szCs w:val="24"/>
        </w:rPr>
        <w:t xml:space="preserve"> yang</w:t>
      </w:r>
      <w:r w:rsidRPr="00ED5CCF">
        <w:rPr>
          <w:rFonts w:ascii="Times New Roman" w:hAnsi="Times New Roman" w:cs="Times New Roman"/>
          <w:iCs/>
          <w:sz w:val="24"/>
          <w:szCs w:val="24"/>
        </w:rPr>
        <w:t xml:space="preserve"> ditunjukkan dengan peningkatan enzim transminase seperti</w:t>
      </w:r>
      <w:r>
        <w:rPr>
          <w:rFonts w:ascii="Times New Roman" w:hAnsi="Times New Roman" w:cs="Times New Roman"/>
          <w:iCs/>
          <w:sz w:val="24"/>
          <w:szCs w:val="24"/>
        </w:rPr>
        <w:t xml:space="preserve"> SGOT dan SGPT</w:t>
      </w:r>
      <w:r w:rsidRPr="00ED5CCF">
        <w:rPr>
          <w:rFonts w:ascii="Times New Roman" w:hAnsi="Times New Roman" w:cs="Times New Roman"/>
          <w:iCs/>
          <w:sz w:val="24"/>
          <w:szCs w:val="24"/>
        </w:rPr>
        <w:t>.</w:t>
      </w:r>
      <w:r>
        <w:rPr>
          <w:rFonts w:ascii="Times New Roman" w:hAnsi="Times New Roman" w:cs="Times New Roman"/>
          <w:iCs/>
          <w:sz w:val="24"/>
          <w:szCs w:val="24"/>
        </w:rPr>
        <w:t xml:space="preserve"> </w:t>
      </w:r>
      <w:r w:rsidRPr="00ED5CCF">
        <w:rPr>
          <w:rFonts w:ascii="Times New Roman" w:hAnsi="Times New Roman" w:cs="Times New Roman"/>
          <w:iCs/>
          <w:sz w:val="24"/>
          <w:szCs w:val="24"/>
        </w:rPr>
        <w:t>Enzim dari detoksifikasi pada hati menyebabkan enzim tersebut dapat digunakan sebagai parameter kerusakan hati.</w:t>
      </w:r>
      <w:r>
        <w:rPr>
          <w:rFonts w:ascii="Times New Roman" w:hAnsi="Times New Roman" w:cs="Times New Roman"/>
          <w:iCs/>
          <w:sz w:val="24"/>
          <w:szCs w:val="24"/>
        </w:rPr>
        <w:t xml:space="preserve"> </w:t>
      </w:r>
      <w:r w:rsidRPr="00ED5CCF">
        <w:rPr>
          <w:rFonts w:ascii="Times New Roman" w:hAnsi="Times New Roman" w:cs="Times New Roman"/>
          <w:iCs/>
          <w:sz w:val="24"/>
          <w:szCs w:val="24"/>
        </w:rPr>
        <w:t xml:space="preserve">Kerusakan membran sel menyebabkan enzim </w:t>
      </w:r>
      <w:r w:rsidRPr="00ED5CCF">
        <w:rPr>
          <w:rFonts w:ascii="Times New Roman" w:hAnsi="Times New Roman" w:cs="Times New Roman"/>
          <w:i/>
          <w:iCs/>
          <w:sz w:val="24"/>
          <w:szCs w:val="24"/>
        </w:rPr>
        <w:t>Glutamat Oksaloasetat Transminase</w:t>
      </w:r>
      <w:r w:rsidRPr="00ED5CCF">
        <w:rPr>
          <w:rFonts w:ascii="Times New Roman" w:hAnsi="Times New Roman" w:cs="Times New Roman"/>
          <w:iCs/>
          <w:sz w:val="24"/>
          <w:szCs w:val="24"/>
        </w:rPr>
        <w:t xml:space="preserve"> (GOT) keluar dari sitoplasma sel yang rusak dan jumlahnya meningkat di dalam darah, sehingga hal tersebut dapat dijadikan indikator kerusakan hati</w:t>
      </w:r>
      <w:r>
        <w:rPr>
          <w:rFonts w:ascii="Times New Roman" w:hAnsi="Times New Roman" w:cs="Times New Roman"/>
          <w:iCs/>
          <w:sz w:val="24"/>
          <w:szCs w:val="24"/>
        </w:rPr>
        <w:t xml:space="preserve">. </w:t>
      </w:r>
      <w:r w:rsidRPr="00A87792">
        <w:rPr>
          <w:rFonts w:ascii="Times New Roman" w:hAnsi="Times New Roman" w:cs="Times New Roman"/>
          <w:sz w:val="24"/>
          <w:szCs w:val="24"/>
        </w:rPr>
        <w:t>Fungsi hati yang tidak normal sering terindikasi terjadi kerusakan pada hati, tetapi sebaliknya pada tes fungsi hati yang normal tidak selalu menunjukkan hati dalam keadaan normal</w:t>
      </w:r>
      <w:r>
        <w:rPr>
          <w:rFonts w:ascii="Times New Roman" w:hAnsi="Times New Roman" w:cs="Times New Roman"/>
          <w:sz w:val="24"/>
          <w:szCs w:val="24"/>
        </w:rPr>
        <w:t xml:space="preserve"> atau bebas dari penyakit. Kasus penyakit hati kronis (menahun dan berjalan perlahan), dapat ditemukan kadar enzim SGOT dan SGPT yang normal atau hanya sedikit meningkat. Kondisi ini sering ditemukan pada kasus hepatitis B atau hepatitis C kronik </w:t>
      </w:r>
      <w:r w:rsidRPr="0035408D">
        <w:rPr>
          <w:rFonts w:ascii="Times New Roman" w:hAnsi="Times New Roman" w:cs="Times New Roman"/>
          <w:sz w:val="24"/>
          <w:szCs w:val="24"/>
        </w:rPr>
        <w:t>(Ronald, 2004).</w:t>
      </w:r>
    </w:p>
    <w:p w14:paraId="617CA3DB" w14:textId="3B5AFE59" w:rsidR="00845092" w:rsidRDefault="00845092" w:rsidP="00845092">
      <w:pPr>
        <w:spacing w:line="360" w:lineRule="auto"/>
        <w:ind w:firstLine="720"/>
        <w:contextualSpacing/>
        <w:jc w:val="both"/>
        <w:rPr>
          <w:rFonts w:ascii="Times New Roman" w:hAnsi="Times New Roman" w:cs="Times New Roman"/>
          <w:sz w:val="24"/>
          <w:szCs w:val="24"/>
          <w:lang w:val="id-ID"/>
        </w:rPr>
      </w:pPr>
      <w:r w:rsidRPr="000D4BFA">
        <w:rPr>
          <w:rFonts w:ascii="Times New Roman" w:hAnsi="Times New Roman" w:cs="Times New Roman"/>
          <w:sz w:val="24"/>
          <w:szCs w:val="24"/>
        </w:rPr>
        <w:t xml:space="preserve">Menurut </w:t>
      </w:r>
      <w:r>
        <w:rPr>
          <w:rFonts w:ascii="Times New Roman" w:hAnsi="Times New Roman" w:cs="Times New Roman"/>
          <w:sz w:val="24"/>
          <w:szCs w:val="24"/>
        </w:rPr>
        <w:t xml:space="preserve">(Warisno, 2003) biji pepaya memiliki aktivitas farmakologi yaitu dapat digunakan sebagai antiseptik terhadap bakteri penyebab diare seperti </w:t>
      </w:r>
      <w:r w:rsidRPr="001F12D7">
        <w:rPr>
          <w:rFonts w:ascii="Times New Roman" w:hAnsi="Times New Roman" w:cs="Times New Roman"/>
          <w:i/>
          <w:sz w:val="24"/>
          <w:szCs w:val="24"/>
        </w:rPr>
        <w:t>Escheria coli</w:t>
      </w:r>
      <w:r>
        <w:rPr>
          <w:rFonts w:ascii="Times New Roman" w:hAnsi="Times New Roman" w:cs="Times New Roman"/>
          <w:sz w:val="24"/>
          <w:szCs w:val="24"/>
        </w:rPr>
        <w:t xml:space="preserve"> dan </w:t>
      </w:r>
      <w:r w:rsidRPr="001F12D7">
        <w:rPr>
          <w:rFonts w:ascii="Times New Roman" w:hAnsi="Times New Roman" w:cs="Times New Roman"/>
          <w:i/>
          <w:sz w:val="24"/>
          <w:szCs w:val="24"/>
        </w:rPr>
        <w:t>Vibrio cholera</w:t>
      </w:r>
      <w:r>
        <w:rPr>
          <w:rFonts w:ascii="Times New Roman" w:hAnsi="Times New Roman" w:cs="Times New Roman"/>
          <w:sz w:val="24"/>
          <w:szCs w:val="24"/>
        </w:rPr>
        <w:t xml:space="preserve">. </w:t>
      </w:r>
      <w:r w:rsidRPr="00E0302F">
        <w:rPr>
          <w:rFonts w:ascii="Times New Roman" w:hAnsi="Times New Roman" w:cs="Times New Roman"/>
          <w:color w:val="000000" w:themeColor="text1"/>
          <w:sz w:val="24"/>
          <w:szCs w:val="24"/>
        </w:rPr>
        <w:t xml:space="preserve">Kandungan yang berpotensi menghasilkan efek antiseptik </w:t>
      </w:r>
      <w:r>
        <w:rPr>
          <w:rFonts w:ascii="Times New Roman" w:hAnsi="Times New Roman" w:cs="Times New Roman"/>
          <w:sz w:val="24"/>
          <w:szCs w:val="24"/>
        </w:rPr>
        <w:t xml:space="preserve">diantaranya adalah fenol, tanin, flavonoid, saponin, alkaloid, terpenoid. Namun zat-zat aktif tersebut jika dikonsumsi dengan dosis yang tidak tepat diduga dapat menyebabkan efek toksik terhadap hati, sedangkan jika dalam dosis yang tepat akan bermanfaat bagi tubuh. Hal ini karena tumbuhan memproduksi beberapa senyawa kimia beracun yang berguna sebagai mekanisme pertahanan terhadap hewan herbivora, khususnya serangga dan mamalia (Sudarmono, 2014). Namun walaupun biji pepaya mengandung senyawa yang dapat berefek toksik, akan tetapi tidak menunjukkan kenaikan SGOT </w:t>
      </w:r>
      <w:r>
        <w:rPr>
          <w:rFonts w:ascii="Times New Roman" w:hAnsi="Times New Roman" w:cs="Times New Roman"/>
          <w:sz w:val="24"/>
          <w:szCs w:val="24"/>
        </w:rPr>
        <w:lastRenderedPageBreak/>
        <w:t>dan SGPT yang signifikan pada ekstrak biji pepaya dari kedua varietas California dan Bangkok dengan konsentrasi mencapai 8% (b/v)</w:t>
      </w:r>
      <w:r w:rsidR="00284C19">
        <w:rPr>
          <w:rFonts w:ascii="Times New Roman" w:hAnsi="Times New Roman" w:cs="Times New Roman"/>
          <w:sz w:val="24"/>
          <w:szCs w:val="24"/>
          <w:lang w:val="id-ID"/>
        </w:rPr>
        <w:t>.</w:t>
      </w:r>
    </w:p>
    <w:p w14:paraId="2CDC7E6A" w14:textId="77777777" w:rsidR="00284C19" w:rsidRDefault="00284C19" w:rsidP="00284C19">
      <w:pPr>
        <w:spacing w:line="360" w:lineRule="auto"/>
        <w:contextualSpacing/>
        <w:jc w:val="both"/>
        <w:rPr>
          <w:rFonts w:ascii="Times New Roman" w:hAnsi="Times New Roman" w:cs="Times New Roman"/>
          <w:sz w:val="24"/>
          <w:szCs w:val="24"/>
          <w:lang w:val="id-ID"/>
        </w:rPr>
      </w:pPr>
    </w:p>
    <w:p w14:paraId="502C949A" w14:textId="77777777" w:rsidR="00472213" w:rsidRDefault="00284C19" w:rsidP="00472213">
      <w:pPr>
        <w:spacing w:line="360" w:lineRule="auto"/>
        <w:contextualSpacing/>
        <w:jc w:val="both"/>
        <w:rPr>
          <w:rFonts w:ascii="Times New Roman" w:eastAsia="Times New Roman" w:hAnsi="Times New Roman" w:cs="Times New Roman"/>
          <w:b/>
          <w:bCs/>
          <w:i/>
          <w:noProof/>
          <w:sz w:val="24"/>
          <w:szCs w:val="24"/>
          <w:lang w:eastAsia="id-ID"/>
        </w:rPr>
      </w:pPr>
      <w:r>
        <w:rPr>
          <w:rFonts w:ascii="Times New Roman" w:eastAsia="Times New Roman" w:hAnsi="Times New Roman" w:cs="Times New Roman"/>
          <w:b/>
          <w:bCs/>
          <w:noProof/>
          <w:sz w:val="24"/>
          <w:szCs w:val="24"/>
          <w:lang w:eastAsia="id-ID"/>
        </w:rPr>
        <w:t xml:space="preserve">Pengamatan Organ </w:t>
      </w:r>
      <w:r>
        <w:rPr>
          <w:rFonts w:ascii="Times New Roman" w:eastAsia="Times New Roman" w:hAnsi="Times New Roman" w:cs="Times New Roman"/>
          <w:bCs/>
          <w:noProof/>
          <w:sz w:val="24"/>
          <w:szCs w:val="24"/>
          <w:lang w:eastAsia="id-ID"/>
        </w:rPr>
        <w:t xml:space="preserve">dan </w:t>
      </w:r>
      <w:r>
        <w:rPr>
          <w:rFonts w:ascii="Times New Roman" w:hAnsi="Times New Roman" w:cs="Times New Roman"/>
          <w:b/>
          <w:sz w:val="24"/>
          <w:szCs w:val="24"/>
        </w:rPr>
        <w:t>B</w:t>
      </w:r>
      <w:r w:rsidRPr="0066017E">
        <w:rPr>
          <w:rFonts w:ascii="Times New Roman" w:hAnsi="Times New Roman" w:cs="Times New Roman"/>
          <w:b/>
          <w:sz w:val="24"/>
          <w:szCs w:val="24"/>
        </w:rPr>
        <w:t xml:space="preserve">erat organ </w:t>
      </w:r>
      <w:r>
        <w:rPr>
          <w:rFonts w:ascii="Times New Roman" w:eastAsia="Times New Roman" w:hAnsi="Times New Roman" w:cs="Times New Roman"/>
          <w:b/>
          <w:bCs/>
          <w:noProof/>
          <w:sz w:val="24"/>
          <w:szCs w:val="24"/>
          <w:lang w:eastAsia="id-ID"/>
        </w:rPr>
        <w:t>Viseral M</w:t>
      </w:r>
      <w:r w:rsidRPr="0004669A">
        <w:rPr>
          <w:rFonts w:ascii="Times New Roman" w:eastAsia="Times New Roman" w:hAnsi="Times New Roman" w:cs="Times New Roman"/>
          <w:b/>
          <w:bCs/>
          <w:noProof/>
          <w:sz w:val="24"/>
          <w:szCs w:val="24"/>
          <w:lang w:eastAsia="id-ID"/>
        </w:rPr>
        <w:t>encit</w:t>
      </w:r>
      <w:r>
        <w:rPr>
          <w:rFonts w:ascii="Times New Roman" w:eastAsia="Times New Roman" w:hAnsi="Times New Roman" w:cs="Times New Roman"/>
          <w:b/>
          <w:bCs/>
          <w:noProof/>
          <w:sz w:val="24"/>
          <w:szCs w:val="24"/>
          <w:lang w:eastAsia="id-ID"/>
        </w:rPr>
        <w:t xml:space="preserve"> </w:t>
      </w:r>
      <w:r w:rsidRPr="00B60CC3">
        <w:rPr>
          <w:rFonts w:ascii="Times New Roman" w:eastAsia="Times New Roman" w:hAnsi="Times New Roman" w:cs="Times New Roman"/>
          <w:b/>
          <w:bCs/>
          <w:noProof/>
          <w:sz w:val="24"/>
          <w:szCs w:val="24"/>
          <w:lang w:eastAsia="id-ID"/>
        </w:rPr>
        <w:t>(</w:t>
      </w:r>
      <w:r w:rsidRPr="00B60CC3">
        <w:rPr>
          <w:rFonts w:ascii="Times New Roman" w:eastAsia="Times New Roman" w:hAnsi="Times New Roman" w:cs="Times New Roman"/>
          <w:b/>
          <w:bCs/>
          <w:i/>
          <w:noProof/>
          <w:sz w:val="24"/>
          <w:szCs w:val="24"/>
          <w:lang w:eastAsia="id-ID"/>
        </w:rPr>
        <w:t>Mus musculus)</w:t>
      </w:r>
    </w:p>
    <w:p w14:paraId="53DC60C3" w14:textId="594DBB39" w:rsidR="00284C19" w:rsidRPr="00472213" w:rsidRDefault="00284C19" w:rsidP="00472213">
      <w:pPr>
        <w:spacing w:line="360" w:lineRule="auto"/>
        <w:contextualSpacing/>
        <w:jc w:val="both"/>
        <w:rPr>
          <w:rFonts w:ascii="Times New Roman" w:eastAsia="Times New Roman" w:hAnsi="Times New Roman" w:cs="Times New Roman"/>
          <w:b/>
          <w:bCs/>
          <w:i/>
          <w:noProof/>
          <w:sz w:val="24"/>
          <w:szCs w:val="24"/>
          <w:lang w:eastAsia="id-ID"/>
        </w:rPr>
      </w:pPr>
      <w:bookmarkStart w:id="3" w:name="_GoBack"/>
      <w:bookmarkEnd w:id="3"/>
      <w:r>
        <w:rPr>
          <w:rFonts w:ascii="Times New Roman" w:hAnsi="Times New Roman" w:cs="Times New Roman"/>
          <w:sz w:val="24"/>
          <w:szCs w:val="24"/>
        </w:rPr>
        <w:t>Menurut Rogers dan Renee (2012), berat hati mencit berkisar antara 1,5-2 g, maka hasil tersebut menandakan bahwa tidak adanya pengaruh dari pemberian ekstrak biji pepaya ‘California’ maupun ‘Bangkok’ terhadap berat organ hati mencit.</w:t>
      </w:r>
      <w:r w:rsidR="00335ABF">
        <w:rPr>
          <w:rFonts w:ascii="Times New Roman" w:hAnsi="Times New Roman" w:cs="Times New Roman"/>
          <w:sz w:val="24"/>
          <w:szCs w:val="24"/>
        </w:rPr>
        <w:t xml:space="preserve"> Hasil </w:t>
      </w:r>
      <w:r w:rsidR="00335ABF" w:rsidRPr="00335ABF">
        <w:rPr>
          <w:rFonts w:asciiTheme="majorBidi" w:hAnsiTheme="majorBidi" w:cstheme="majorBidi"/>
          <w:sz w:val="24"/>
          <w:szCs w:val="24"/>
        </w:rPr>
        <w:t xml:space="preserve">penelitian     </w:t>
      </w:r>
      <w:r w:rsidR="00335ABF">
        <w:rPr>
          <w:rFonts w:ascii="Times New Roman" w:hAnsi="Times New Roman" w:cs="Times New Roman"/>
          <w:sz w:val="24"/>
          <w:szCs w:val="24"/>
        </w:rPr>
        <w:t xml:space="preserve">Oduola, Adeniyi, Ogunyemi, Bello, Idowu, and Subair. (2007). </w:t>
      </w:r>
      <w:r w:rsidR="00335ABF" w:rsidRPr="00335ABF">
        <w:rPr>
          <w:rFonts w:asciiTheme="majorBidi" w:hAnsiTheme="majorBidi" w:cstheme="majorBidi"/>
          <w:color w:val="222222"/>
          <w:sz w:val="24"/>
          <w:szCs w:val="24"/>
        </w:rPr>
        <w:t>asupan ek</w:t>
      </w:r>
      <w:r w:rsidR="00335ABF">
        <w:rPr>
          <w:rFonts w:asciiTheme="majorBidi" w:hAnsiTheme="majorBidi" w:cstheme="majorBidi"/>
          <w:color w:val="222222"/>
          <w:sz w:val="24"/>
          <w:szCs w:val="24"/>
        </w:rPr>
        <w:t xml:space="preserve">strak </w:t>
      </w:r>
      <w:r w:rsidR="00335ABF" w:rsidRPr="00335ABF">
        <w:rPr>
          <w:rFonts w:asciiTheme="majorBidi" w:hAnsiTheme="majorBidi" w:cstheme="majorBidi"/>
          <w:color w:val="222222"/>
          <w:sz w:val="24"/>
          <w:szCs w:val="24"/>
        </w:rPr>
        <w:t xml:space="preserve">Pepaya </w:t>
      </w:r>
      <w:r w:rsidR="00335ABF">
        <w:rPr>
          <w:rFonts w:asciiTheme="majorBidi" w:hAnsiTheme="majorBidi" w:cstheme="majorBidi"/>
          <w:color w:val="222222"/>
          <w:sz w:val="24"/>
          <w:szCs w:val="24"/>
        </w:rPr>
        <w:t xml:space="preserve">mentah </w:t>
      </w:r>
      <w:r w:rsidR="00335ABF" w:rsidRPr="00335ABF">
        <w:rPr>
          <w:rFonts w:asciiTheme="majorBidi" w:hAnsiTheme="majorBidi" w:cstheme="majorBidi"/>
          <w:color w:val="222222"/>
          <w:sz w:val="24"/>
          <w:szCs w:val="24"/>
        </w:rPr>
        <w:t>tidak memiliki efek buruk pada fungsi</w:t>
      </w:r>
      <w:r w:rsidR="00335ABF">
        <w:rPr>
          <w:rFonts w:asciiTheme="majorBidi" w:hAnsiTheme="majorBidi" w:cstheme="majorBidi"/>
          <w:color w:val="222222"/>
          <w:sz w:val="24"/>
          <w:szCs w:val="24"/>
        </w:rPr>
        <w:t xml:space="preserve"> </w:t>
      </w:r>
      <w:r w:rsidR="00335ABF" w:rsidRPr="00335ABF">
        <w:rPr>
          <w:rFonts w:asciiTheme="majorBidi" w:hAnsiTheme="majorBidi" w:cstheme="majorBidi"/>
          <w:color w:val="222222"/>
          <w:sz w:val="24"/>
          <w:szCs w:val="24"/>
        </w:rPr>
        <w:t>hati, ginja</w:t>
      </w:r>
      <w:r w:rsidR="00335ABF">
        <w:rPr>
          <w:rFonts w:asciiTheme="majorBidi" w:hAnsiTheme="majorBidi" w:cstheme="majorBidi"/>
          <w:color w:val="222222"/>
          <w:sz w:val="24"/>
          <w:szCs w:val="24"/>
        </w:rPr>
        <w:t>l, dan sumsum tulang pada tikus putih yang diberikan 50,100,150, 200 dan 250 mg/kg selama 26 hari</w:t>
      </w:r>
    </w:p>
    <w:p w14:paraId="2CCC2F22" w14:textId="0AE60A12" w:rsidR="00284C19" w:rsidRPr="009347F2" w:rsidRDefault="00284C19" w:rsidP="009347F2">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Berat organ viseral ginjal pun masih dalam batasan normal. Menurut Price et al. (2006) mengatakan bahwa berat ginjal normal mencit berkisar antara 1-1,5 g. Ginjal merupakan organ yang berperan penting di dalam tubuh, selain hati yang menjadi organ sasaran dalam uji toksisitas namun ginjal juga merupakan organ sasaran toksik karena ginjal merupakan organ ekskresi yang dilewati oleh berbagai toksin yang diekskresikan keluar tubuh. </w:t>
      </w:r>
      <w:r w:rsidR="009347F2">
        <w:rPr>
          <w:rFonts w:ascii="Times New Roman" w:hAnsi="Times New Roman" w:cs="Times New Roman"/>
          <w:sz w:val="24"/>
          <w:szCs w:val="24"/>
        </w:rPr>
        <w:t xml:space="preserve">Penelitian yang dilakukan oleh Chinoy </w:t>
      </w:r>
      <w:r w:rsidR="009347F2" w:rsidRPr="009347F2">
        <w:rPr>
          <w:rFonts w:ascii="Times New Roman" w:hAnsi="Times New Roman" w:cs="Times New Roman"/>
          <w:i/>
          <w:sz w:val="24"/>
          <w:szCs w:val="24"/>
        </w:rPr>
        <w:t>et al.</w:t>
      </w:r>
      <w:r w:rsidR="009347F2">
        <w:rPr>
          <w:rFonts w:ascii="Times New Roman" w:hAnsi="Times New Roman" w:cs="Times New Roman"/>
          <w:sz w:val="24"/>
          <w:szCs w:val="24"/>
        </w:rPr>
        <w:t xml:space="preserve"> (1994) menunjukkan bahwa ekstrak biji papaya dosis 5 mg/kg b.b. dan dosis 20 mg/kg b.b. yang dipaparkan pada mencit albino selama 60 hari tidak menunjukkan perubahan terhadap ginjal dan juga berat bada mencit. </w:t>
      </w:r>
    </w:p>
    <w:p w14:paraId="3038F5FB" w14:textId="77777777" w:rsidR="00284C19" w:rsidRDefault="00284C19" w:rsidP="00284C1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Berat organ viseral limpa mencit masih berada di kisaran normal setelah. Menurut Bratawidjaja (2012) mengatakan bahwa berat normal limpa mencit berkisar 0,5-1 g. Limpa merupakan salah satu organ limfoid tempat bermukimnya sel-sel leukosit sebagai imunitas tubuh. Perubahan bobot, fisiologis, dan morfologis hepar berkaitan dengan pakan yang dikonsumsi, kesehatan, dan asupan zat toksik dalam tubuh hewan (Rust, 2002). Hasil ini menunjukkan bahwa pemberian pakan dan bahan uji dengan konsentrasi yang diberikan tersebut diduga tidak berpengaruh terhadap berat badan dan berat hati.</w:t>
      </w:r>
    </w:p>
    <w:p w14:paraId="712CB15C" w14:textId="77777777" w:rsidR="00284C19" w:rsidRDefault="00284C19" w:rsidP="00284C1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Pada pengamatan ini hati merupakan organ utama yang menjadi target akumulasi ekstrak biji pepaya ‘California’ dan ‘Bangkok’. Akumulasi dapat terjadi karena ekstrak </w:t>
      </w:r>
      <w:r>
        <w:rPr>
          <w:rFonts w:ascii="Times New Roman" w:hAnsi="Times New Roman" w:cs="Times New Roman"/>
          <w:sz w:val="24"/>
          <w:szCs w:val="24"/>
        </w:rPr>
        <w:lastRenderedPageBreak/>
        <w:t>biji pepaya membentuk senyawa kompleks dengan zat-zat organik dalam tubuh (Ratnaningsih, 2004).</w:t>
      </w:r>
    </w:p>
    <w:p w14:paraId="5A9CFAAD" w14:textId="77777777" w:rsidR="00284C19" w:rsidRDefault="00284C19" w:rsidP="00284C1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Hati merupakan organ ekskresi yang berfungsi untuk mendetoksifikasi zat-zat toksik </w:t>
      </w:r>
      <w:r w:rsidRPr="00692C67">
        <w:rPr>
          <w:rFonts w:ascii="Times New Roman" w:hAnsi="Times New Roman" w:cs="Times New Roman"/>
          <w:sz w:val="24"/>
          <w:szCs w:val="24"/>
        </w:rPr>
        <w:t>sehingga</w:t>
      </w:r>
      <w:r>
        <w:rPr>
          <w:rFonts w:ascii="Times New Roman" w:eastAsia="Times New Roman" w:hAnsi="Times New Roman" w:cs="Times New Roman"/>
          <w:sz w:val="24"/>
          <w:szCs w:val="24"/>
        </w:rPr>
        <w:t xml:space="preserve"> adanya sehingga adanya kerusakan hati merupakan petunjuk apakah suatu zat itu bersifat toksik atau tidak. Jika hati terus menerus terpapar obat dan zat kimia dalam jangka panjang maka sel-sel pada hati dapat mengalami perubahan terutama pada sel hepatosit seperti degenerasi nekrosis hati yang dapat menurunkan kemampuan regenerasi sel sehingga menyebabkan kerusakan permanen sampai kematian sel (Anggraini, 2008). Penelitian ini menunjukkan tidak ada berbeda antara kelompok kontrol dengan perlakuan, hal ini berarti pemberian ekstrak biji pepaya ‘California’ dan ‘Bangkok’ tidak mengganggu metabolisme lemak di hati sehingga tidak ditemukannya sel hati yang mengalami degenerasi hidropis. Pemberian ekstrak biji pepaya tersebut tidak menyebabkan akumulasi cairan di dalam sel karena degenerasi hidropis disebabkan oleh adanya akumulasi cairan akibat kegagalan sel dalam mempertahankan homeostasis (Underwood, 1992).</w:t>
      </w:r>
    </w:p>
    <w:p w14:paraId="76B40DE4" w14:textId="77777777" w:rsidR="00B2392B" w:rsidRPr="00845092" w:rsidRDefault="00B2392B" w:rsidP="004D1D73">
      <w:pPr>
        <w:spacing w:line="360" w:lineRule="auto"/>
        <w:contextualSpacing/>
        <w:jc w:val="both"/>
        <w:rPr>
          <w:rFonts w:ascii="Times New Roman" w:hAnsi="Times New Roman" w:cs="Times New Roman"/>
          <w:b/>
          <w:sz w:val="24"/>
          <w:szCs w:val="24"/>
        </w:rPr>
      </w:pPr>
    </w:p>
    <w:p w14:paraId="0930F8D4" w14:textId="77777777" w:rsidR="004D1D73" w:rsidRDefault="00DE665B" w:rsidP="004D1D7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lang w:val="en-ID"/>
        </w:rPr>
        <w:t>SIMPULAN DAN SARAN</w:t>
      </w:r>
    </w:p>
    <w:p w14:paraId="36C69EBB" w14:textId="63457BDC" w:rsidR="004D1D73" w:rsidRDefault="004D1D73" w:rsidP="004D1D73">
      <w:pPr>
        <w:spacing w:line="360" w:lineRule="auto"/>
        <w:contextualSpacing/>
        <w:jc w:val="both"/>
        <w:rPr>
          <w:rFonts w:ascii="Times New Roman" w:eastAsia="SimSun" w:hAnsi="Times New Roman" w:cs="Times New Roman"/>
          <w:sz w:val="24"/>
          <w:szCs w:val="24"/>
        </w:rPr>
      </w:pPr>
      <w:r>
        <w:rPr>
          <w:rFonts w:ascii="Times New Roman" w:hAnsi="Times New Roman" w:cs="Times New Roman"/>
          <w:b/>
          <w:sz w:val="24"/>
          <w:szCs w:val="24"/>
        </w:rPr>
        <w:tab/>
      </w:r>
      <w:r w:rsidRPr="004D1D73">
        <w:rPr>
          <w:rFonts w:ascii="Times New Roman" w:eastAsia="SimSun" w:hAnsi="Times New Roman" w:cs="Times New Roman"/>
          <w:sz w:val="24"/>
          <w:szCs w:val="24"/>
        </w:rPr>
        <w:t>Ekstrak biji pepaya ‘California’ dan ‘Bangkok’ pada konsentrasi 4, 6 dan 8% (b/v), yang dipaparkan pada mencit (</w:t>
      </w:r>
      <w:r w:rsidRPr="004D1D73">
        <w:rPr>
          <w:rFonts w:ascii="Times New Roman" w:eastAsia="SimSun" w:hAnsi="Times New Roman" w:cs="Times New Roman"/>
          <w:i/>
          <w:sz w:val="24"/>
          <w:szCs w:val="24"/>
        </w:rPr>
        <w:t>Mus musculus</w:t>
      </w:r>
      <w:r w:rsidRPr="004D1D73">
        <w:rPr>
          <w:rFonts w:ascii="Times New Roman" w:eastAsia="SimSun" w:hAnsi="Times New Roman" w:cs="Times New Roman"/>
          <w:sz w:val="24"/>
          <w:szCs w:val="24"/>
        </w:rPr>
        <w:t xml:space="preserve">) Swiss webster jantan secara subakut selama 28 hari melalui jalur pendedahan </w:t>
      </w:r>
      <w:r w:rsidRPr="004D1D73">
        <w:rPr>
          <w:rFonts w:ascii="Times New Roman" w:eastAsia="SimSun" w:hAnsi="Times New Roman" w:cs="Times New Roman"/>
          <w:i/>
          <w:sz w:val="24"/>
          <w:szCs w:val="24"/>
        </w:rPr>
        <w:t>gavage</w:t>
      </w:r>
      <w:r w:rsidR="004B2DAA">
        <w:rPr>
          <w:rFonts w:ascii="Times New Roman" w:eastAsia="SimSun" w:hAnsi="Times New Roman" w:cs="Times New Roman"/>
          <w:sz w:val="24"/>
          <w:szCs w:val="24"/>
        </w:rPr>
        <w:t xml:space="preserve"> tidak memunculkan pengaruh toksisitas subkronis terhadap perubahan kondisi fisik, berat badan, berat dan kondisi makroskopis organ visceral. Ekstrak biji papaya California dan Bangkok dengan konse</w:t>
      </w:r>
      <w:r w:rsidR="006F349B">
        <w:rPr>
          <w:rFonts w:ascii="Times New Roman" w:eastAsia="SimSun" w:hAnsi="Times New Roman" w:cs="Times New Roman"/>
          <w:sz w:val="24"/>
          <w:szCs w:val="24"/>
        </w:rPr>
        <w:t>n</w:t>
      </w:r>
      <w:r w:rsidR="004B2DAA">
        <w:rPr>
          <w:rFonts w:ascii="Times New Roman" w:eastAsia="SimSun" w:hAnsi="Times New Roman" w:cs="Times New Roman"/>
          <w:sz w:val="24"/>
          <w:szCs w:val="24"/>
        </w:rPr>
        <w:t xml:space="preserve">trasi yang digunakan pada penelitian ini </w:t>
      </w:r>
      <w:r w:rsidRPr="004B2DAA">
        <w:rPr>
          <w:rFonts w:ascii="Times New Roman" w:eastAsia="SimSun" w:hAnsi="Times New Roman" w:cs="Times New Roman"/>
          <w:sz w:val="24"/>
          <w:szCs w:val="24"/>
        </w:rPr>
        <w:t>berpotensi meningkatkan</w:t>
      </w:r>
      <w:r w:rsidR="004B2DAA">
        <w:rPr>
          <w:rFonts w:ascii="Times New Roman" w:eastAsia="SimSun" w:hAnsi="Times New Roman" w:cs="Times New Roman"/>
          <w:sz w:val="24"/>
          <w:szCs w:val="24"/>
        </w:rPr>
        <w:t xml:space="preserve"> kadar SGPT dan SGOT namun</w:t>
      </w:r>
      <w:r w:rsidRPr="004D1D73">
        <w:rPr>
          <w:rFonts w:ascii="Times New Roman" w:eastAsia="SimSun" w:hAnsi="Times New Roman" w:cs="Times New Roman"/>
          <w:sz w:val="24"/>
          <w:szCs w:val="24"/>
        </w:rPr>
        <w:t xml:space="preserve"> masih di bawah ambang batas normal.</w:t>
      </w:r>
    </w:p>
    <w:p w14:paraId="7CC42ADF" w14:textId="77777777" w:rsidR="004D1D73" w:rsidRPr="004D1D73" w:rsidRDefault="004D1D73" w:rsidP="004D1D73">
      <w:pPr>
        <w:spacing w:line="360" w:lineRule="auto"/>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hAnsi="Times New Roman" w:cs="Times New Roman"/>
          <w:sz w:val="24"/>
          <w:szCs w:val="24"/>
        </w:rPr>
        <w:t>Perlu dilakukan penelitian uji toksisitas sub kronik maupun kronik dan  dilanjutkan dengan uji histologi untuk mengetahui apakah terdapat kerusakan atau tidak pada jaringan hati, perlu adanya penelitian lebih lanjut dengan perbedaan usia biji pepaya, sehingga dapat diketahui biji pepaya yang lebih efektif untuk di aplikasika</w:t>
      </w:r>
      <w:r w:rsidR="000445A3">
        <w:rPr>
          <w:rFonts w:ascii="Times New Roman" w:hAnsi="Times New Roman" w:cs="Times New Roman"/>
          <w:sz w:val="24"/>
          <w:szCs w:val="24"/>
        </w:rPr>
        <w:t>n sebagai bahan pengawet pangan</w:t>
      </w:r>
      <w:r w:rsidR="000445A3">
        <w:rPr>
          <w:rFonts w:ascii="Times New Roman" w:hAnsi="Times New Roman" w:cs="Times New Roman"/>
          <w:sz w:val="24"/>
          <w:szCs w:val="24"/>
          <w:lang w:val="id-ID"/>
        </w:rPr>
        <w:t>.</w:t>
      </w:r>
      <w:r>
        <w:rPr>
          <w:rFonts w:ascii="Times New Roman" w:hAnsi="Times New Roman" w:cs="Times New Roman"/>
          <w:sz w:val="24"/>
          <w:szCs w:val="24"/>
        </w:rPr>
        <w:t xml:space="preserve"> </w:t>
      </w:r>
      <w:r w:rsidR="000445A3">
        <w:rPr>
          <w:rFonts w:ascii="Times New Roman" w:hAnsi="Times New Roman" w:cs="Times New Roman"/>
          <w:sz w:val="24"/>
          <w:szCs w:val="24"/>
          <w:lang w:val="id-ID"/>
        </w:rPr>
        <w:t xml:space="preserve">Selain itu </w:t>
      </w:r>
      <w:r>
        <w:rPr>
          <w:rFonts w:ascii="Times New Roman" w:hAnsi="Times New Roman" w:cs="Times New Roman"/>
          <w:sz w:val="24"/>
          <w:szCs w:val="24"/>
        </w:rPr>
        <w:t xml:space="preserve">perlu mengetahui konsentrasi yang tepat </w:t>
      </w:r>
      <w:r>
        <w:rPr>
          <w:rFonts w:ascii="Times New Roman" w:hAnsi="Times New Roman" w:cs="Times New Roman"/>
          <w:sz w:val="24"/>
          <w:szCs w:val="24"/>
        </w:rPr>
        <w:lastRenderedPageBreak/>
        <w:t xml:space="preserve">terlebih dahulu jika ingin menggunakan biji pepaya sebagai bahan pengawet pangan, supaya tidak memunculkan kenaikan GPT dan GOT di atas ambang batas normal.  </w:t>
      </w:r>
    </w:p>
    <w:p w14:paraId="0CAD9D08" w14:textId="77777777" w:rsidR="00FB01F8" w:rsidRDefault="00FB01F8" w:rsidP="004D1D73">
      <w:pPr>
        <w:ind w:left="270" w:hanging="270"/>
        <w:jc w:val="both"/>
        <w:rPr>
          <w:rFonts w:ascii="Times New Roman" w:hAnsi="Times New Roman" w:cs="Times New Roman"/>
          <w:b/>
          <w:sz w:val="24"/>
          <w:szCs w:val="24"/>
          <w:lang w:val="en-ID"/>
        </w:rPr>
      </w:pPr>
    </w:p>
    <w:p w14:paraId="7B6E04A9" w14:textId="77777777" w:rsidR="000445A3" w:rsidRDefault="000445A3" w:rsidP="004D1D73">
      <w:pPr>
        <w:ind w:left="270" w:hanging="270"/>
        <w:jc w:val="both"/>
        <w:rPr>
          <w:rFonts w:ascii="Times New Roman" w:hAnsi="Times New Roman" w:cs="Times New Roman"/>
          <w:b/>
          <w:sz w:val="24"/>
          <w:szCs w:val="24"/>
          <w:lang w:val="en-ID"/>
        </w:rPr>
        <w:sectPr w:rsidR="000445A3" w:rsidSect="00B1120A">
          <w:type w:val="continuous"/>
          <w:pgSz w:w="12240" w:h="15840" w:code="1"/>
          <w:pgMar w:top="1701" w:right="1701" w:bottom="1701" w:left="2268" w:header="708" w:footer="708" w:gutter="0"/>
          <w:cols w:space="708"/>
          <w:docGrid w:linePitch="360"/>
        </w:sectPr>
      </w:pPr>
    </w:p>
    <w:p w14:paraId="46B5AF8B" w14:textId="77777777" w:rsidR="00686085" w:rsidRDefault="00696F07" w:rsidP="004D1D73">
      <w:pPr>
        <w:ind w:left="270" w:hanging="270"/>
        <w:jc w:val="both"/>
        <w:rPr>
          <w:rFonts w:ascii="Times New Roman" w:hAnsi="Times New Roman" w:cs="Times New Roman"/>
          <w:b/>
          <w:sz w:val="24"/>
          <w:szCs w:val="24"/>
          <w:lang w:val="en-ID"/>
        </w:rPr>
      </w:pPr>
      <w:r>
        <w:rPr>
          <w:rFonts w:ascii="Times New Roman" w:hAnsi="Times New Roman" w:cs="Times New Roman"/>
          <w:b/>
          <w:sz w:val="24"/>
          <w:szCs w:val="24"/>
          <w:lang w:val="en-ID"/>
        </w:rPr>
        <w:t>DAFTAR PUSTAKA</w:t>
      </w:r>
    </w:p>
    <w:p w14:paraId="431C53EB" w14:textId="77777777" w:rsidR="00DA369F" w:rsidRDefault="00DA369F" w:rsidP="00DA369F">
      <w:pPr>
        <w:widowControl w:val="0"/>
        <w:autoSpaceDE w:val="0"/>
        <w:autoSpaceDN w:val="0"/>
        <w:adjustRightInd w:val="0"/>
        <w:spacing w:line="240" w:lineRule="auto"/>
        <w:ind w:left="480" w:hanging="480"/>
        <w:jc w:val="both"/>
        <w:rPr>
          <w:rFonts w:ascii="Times New Roman" w:hAnsi="Times New Roman" w:cs="Times New Roman"/>
          <w:i/>
          <w:noProof/>
          <w:sz w:val="24"/>
          <w:szCs w:val="24"/>
        </w:rPr>
      </w:pPr>
      <w:r>
        <w:rPr>
          <w:rFonts w:ascii="Times New Roman" w:hAnsi="Times New Roman" w:cs="Times New Roman"/>
          <w:noProof/>
          <w:sz w:val="24"/>
          <w:szCs w:val="24"/>
        </w:rPr>
        <w:t xml:space="preserve">Anggraini, D. R. (2008). Gambaran Makroskopis dan Mikroskopis Hati dan Ginjal Mencit Akibat Pemberian Plumbum Asetat. </w:t>
      </w:r>
      <w:r w:rsidRPr="00FB0FF7">
        <w:rPr>
          <w:rFonts w:ascii="Times New Roman" w:hAnsi="Times New Roman" w:cs="Times New Roman"/>
          <w:i/>
          <w:noProof/>
          <w:sz w:val="24"/>
          <w:szCs w:val="24"/>
        </w:rPr>
        <w:t xml:space="preserve">Fakultas Kedokteran Universitas Sumatra Utara (Thesis).  </w:t>
      </w:r>
    </w:p>
    <w:p w14:paraId="30CC31D8" w14:textId="0D3ADC78" w:rsidR="00DA369F" w:rsidRPr="00DA369F" w:rsidRDefault="00DA369F" w:rsidP="00DA369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iCs/>
          <w:noProof/>
          <w:sz w:val="24"/>
          <w:szCs w:val="24"/>
        </w:rPr>
        <w:t xml:space="preserve">Awaliah, </w:t>
      </w:r>
      <w:r w:rsidR="00CC4EF6">
        <w:rPr>
          <w:rFonts w:ascii="Times New Roman" w:hAnsi="Times New Roman" w:cs="Times New Roman"/>
          <w:iCs/>
          <w:noProof/>
          <w:sz w:val="24"/>
          <w:szCs w:val="24"/>
          <w:lang w:val="id-ID"/>
        </w:rPr>
        <w:t xml:space="preserve">H., </w:t>
      </w:r>
      <w:r>
        <w:rPr>
          <w:rFonts w:ascii="Times New Roman" w:hAnsi="Times New Roman" w:cs="Times New Roman"/>
          <w:iCs/>
          <w:noProof/>
          <w:sz w:val="24"/>
          <w:szCs w:val="24"/>
        </w:rPr>
        <w:t>Fitri</w:t>
      </w:r>
      <w:r w:rsidR="00CC4EF6">
        <w:rPr>
          <w:rFonts w:ascii="Times New Roman" w:hAnsi="Times New Roman" w:cs="Times New Roman"/>
          <w:iCs/>
          <w:noProof/>
          <w:sz w:val="24"/>
          <w:szCs w:val="24"/>
          <w:lang w:val="id-ID"/>
        </w:rPr>
        <w:t>, R.,</w:t>
      </w:r>
      <w:r>
        <w:rPr>
          <w:rFonts w:ascii="Times New Roman" w:hAnsi="Times New Roman" w:cs="Times New Roman"/>
          <w:iCs/>
          <w:noProof/>
          <w:sz w:val="24"/>
          <w:szCs w:val="24"/>
        </w:rPr>
        <w:t xml:space="preserve"> &amp; Radiastuti</w:t>
      </w:r>
      <w:r w:rsidR="00CC4EF6">
        <w:rPr>
          <w:rFonts w:ascii="Times New Roman" w:hAnsi="Times New Roman" w:cs="Times New Roman"/>
          <w:iCs/>
          <w:noProof/>
          <w:sz w:val="24"/>
          <w:szCs w:val="24"/>
          <w:lang w:val="id-ID"/>
        </w:rPr>
        <w:t>, N.</w:t>
      </w:r>
      <w:r>
        <w:rPr>
          <w:rFonts w:ascii="Times New Roman" w:hAnsi="Times New Roman" w:cs="Times New Roman"/>
          <w:iCs/>
          <w:noProof/>
          <w:sz w:val="24"/>
          <w:szCs w:val="24"/>
        </w:rPr>
        <w:t xml:space="preserve"> (2019). </w:t>
      </w:r>
      <w:r w:rsidRPr="00C475B5">
        <w:rPr>
          <w:rFonts w:ascii="Times New Roman" w:hAnsi="Times New Roman" w:cs="Times New Roman"/>
          <w:i/>
          <w:iCs/>
          <w:noProof/>
          <w:sz w:val="24"/>
          <w:szCs w:val="24"/>
        </w:rPr>
        <w:t>Efektivitas Biji Pepaya dalam Menghambat Bakteri.</w:t>
      </w:r>
      <w:r>
        <w:rPr>
          <w:rFonts w:ascii="Times New Roman" w:hAnsi="Times New Roman" w:cs="Times New Roman"/>
          <w:iCs/>
          <w:noProof/>
          <w:sz w:val="24"/>
          <w:szCs w:val="24"/>
        </w:rPr>
        <w:t xml:space="preserve"> Islamic State University in Press: Jakarta.</w:t>
      </w:r>
    </w:p>
    <w:p w14:paraId="24A0EC49" w14:textId="77777777" w:rsidR="00BB650C" w:rsidRDefault="00BB650C" w:rsidP="00BB650C">
      <w:pPr>
        <w:spacing w:line="240" w:lineRule="auto"/>
        <w:ind w:left="540" w:hangingChars="225" w:hanging="540"/>
        <w:jc w:val="both"/>
        <w:rPr>
          <w:rFonts w:ascii="Times New Roman" w:hAnsi="Times New Roman" w:cs="Times New Roman"/>
          <w:sz w:val="24"/>
          <w:szCs w:val="24"/>
        </w:rPr>
      </w:pPr>
      <w:r>
        <w:rPr>
          <w:rFonts w:ascii="Times New Roman" w:hAnsi="Times New Roman" w:cs="Times New Roman"/>
          <w:sz w:val="24"/>
          <w:szCs w:val="24"/>
        </w:rPr>
        <w:t xml:space="preserve">BPOM.(2014). Pedoman uji toksisitas nonklinik secara </w:t>
      </w:r>
      <w:r w:rsidRPr="00D00B77">
        <w:rPr>
          <w:rFonts w:ascii="Times New Roman" w:hAnsi="Times New Roman" w:cs="Times New Roman"/>
          <w:i/>
          <w:sz w:val="24"/>
          <w:szCs w:val="24"/>
        </w:rPr>
        <w:t>in vivo</w:t>
      </w:r>
      <w:r>
        <w:rPr>
          <w:rFonts w:ascii="Times New Roman" w:hAnsi="Times New Roman" w:cs="Times New Roman"/>
          <w:sz w:val="24"/>
          <w:szCs w:val="24"/>
        </w:rPr>
        <w:t>.Peraturan Kepala Badan Pengawas Obat dan Makanan Republik Indonesia No.7 Tahun 2014.</w:t>
      </w:r>
    </w:p>
    <w:p w14:paraId="4C956491" w14:textId="77777777" w:rsidR="00585966" w:rsidRDefault="00585966" w:rsidP="0058596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Bratawidjaja, </w:t>
      </w:r>
      <w:r>
        <w:rPr>
          <w:rFonts w:ascii="Times New Roman" w:hAnsi="Times New Roman" w:cs="Times New Roman"/>
          <w:noProof/>
          <w:sz w:val="24"/>
          <w:szCs w:val="24"/>
        </w:rPr>
        <w:tab/>
        <w:t xml:space="preserve">K. G. (2012). </w:t>
      </w:r>
      <w:r w:rsidRPr="00A62529">
        <w:rPr>
          <w:rFonts w:ascii="Times New Roman" w:hAnsi="Times New Roman" w:cs="Times New Roman"/>
          <w:i/>
          <w:noProof/>
          <w:sz w:val="24"/>
          <w:szCs w:val="24"/>
        </w:rPr>
        <w:t>Imunologi Dasar</w:t>
      </w:r>
      <w:r>
        <w:rPr>
          <w:rFonts w:ascii="Times New Roman" w:hAnsi="Times New Roman" w:cs="Times New Roman"/>
          <w:noProof/>
          <w:sz w:val="24"/>
          <w:szCs w:val="24"/>
        </w:rPr>
        <w:t xml:space="preserve">. Edisi ke 7. Gaya Baru: Jakarta. </w:t>
      </w:r>
    </w:p>
    <w:p w14:paraId="7005E51D" w14:textId="12E18C20" w:rsidR="009347F2" w:rsidRPr="008255E3" w:rsidRDefault="009347F2" w:rsidP="009347F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Chinoy, N.J., Souza, J.M.D, &amp; Padman, P. (1994</w:t>
      </w:r>
      <w:r w:rsidRPr="009347F2">
        <w:rPr>
          <w:rFonts w:ascii="Times New Roman" w:hAnsi="Times New Roman" w:cs="Times New Roman"/>
          <w:noProof/>
          <w:sz w:val="24"/>
          <w:szCs w:val="24"/>
        </w:rPr>
        <w:t xml:space="preserve">). </w:t>
      </w:r>
      <w:r w:rsidRPr="008255E3">
        <w:rPr>
          <w:rFonts w:ascii="Times New Roman" w:hAnsi="Times New Roman" w:cs="Times New Roman"/>
          <w:color w:val="212121"/>
          <w:sz w:val="24"/>
          <w:szCs w:val="24"/>
        </w:rPr>
        <w:t>Effects of Crude Aqueous Extract of Carica Papaya Seeds in Male Albino Mice</w:t>
      </w:r>
      <w:r w:rsidRPr="008255E3">
        <w:rPr>
          <w:rFonts w:ascii="Times New Roman" w:hAnsi="Times New Roman" w:cs="Times New Roman"/>
          <w:color w:val="212121"/>
          <w:sz w:val="24"/>
          <w:szCs w:val="24"/>
        </w:rPr>
        <w:t>.</w:t>
      </w:r>
      <w:r>
        <w:rPr>
          <w:rFonts w:ascii="Times New Roman" w:hAnsi="Times New Roman" w:cs="Times New Roman"/>
          <w:color w:val="212121"/>
          <w:sz w:val="24"/>
          <w:szCs w:val="24"/>
        </w:rPr>
        <w:t xml:space="preserve"> </w:t>
      </w:r>
      <w:r w:rsidR="008255E3" w:rsidRPr="008255E3">
        <w:rPr>
          <w:rFonts w:ascii="Times New Roman" w:hAnsi="Times New Roman" w:cs="Times New Roman"/>
          <w:i/>
          <w:color w:val="212121"/>
          <w:sz w:val="24"/>
          <w:szCs w:val="24"/>
        </w:rPr>
        <w:t>Reprod Toxicol.</w:t>
      </w:r>
      <w:r w:rsidR="008255E3">
        <w:rPr>
          <w:rFonts w:ascii="Times New Roman" w:hAnsi="Times New Roman" w:cs="Times New Roman"/>
          <w:color w:val="212121"/>
          <w:sz w:val="24"/>
          <w:szCs w:val="24"/>
        </w:rPr>
        <w:t xml:space="preserve"> </w:t>
      </w:r>
      <w:r w:rsidR="008255E3">
        <w:rPr>
          <w:rFonts w:ascii="Times New Roman" w:hAnsi="Times New Roman" w:cs="Times New Roman"/>
          <w:sz w:val="24"/>
          <w:szCs w:val="24"/>
          <w:shd w:val="clear" w:color="auto" w:fill="FFFFFF"/>
        </w:rPr>
        <w:t xml:space="preserve">8(1), </w:t>
      </w:r>
      <w:r w:rsidR="008255E3" w:rsidRPr="008255E3">
        <w:rPr>
          <w:rFonts w:ascii="Times New Roman" w:hAnsi="Times New Roman" w:cs="Times New Roman"/>
          <w:sz w:val="24"/>
          <w:szCs w:val="24"/>
          <w:shd w:val="clear" w:color="auto" w:fill="FFFFFF"/>
        </w:rPr>
        <w:t>75-9</w:t>
      </w:r>
      <w:r w:rsidR="008255E3">
        <w:rPr>
          <w:rFonts w:ascii="Times New Roman" w:hAnsi="Times New Roman" w:cs="Times New Roman"/>
          <w:sz w:val="24"/>
          <w:szCs w:val="24"/>
          <w:shd w:val="clear" w:color="auto" w:fill="FFFFFF"/>
        </w:rPr>
        <w:t>.</w:t>
      </w:r>
    </w:p>
    <w:p w14:paraId="1A3FE36C" w14:textId="59014A36" w:rsidR="00686085" w:rsidRPr="00686085" w:rsidRDefault="00686085" w:rsidP="006860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id-ID"/>
        </w:rPr>
        <w:t>Cui, X.,Fang, J.L</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&amp; Wang</w:t>
      </w:r>
      <w:r>
        <w:rPr>
          <w:rFonts w:ascii="Times New Roman" w:hAnsi="Times New Roman" w:cs="Times New Roman"/>
          <w:noProof/>
          <w:sz w:val="24"/>
          <w:szCs w:val="24"/>
        </w:rPr>
        <w:t>. (</w:t>
      </w:r>
      <w:r w:rsidRPr="009F33C3">
        <w:rPr>
          <w:rFonts w:ascii="Times New Roman" w:hAnsi="Times New Roman" w:cs="Times New Roman"/>
          <w:noProof/>
          <w:sz w:val="24"/>
          <w:szCs w:val="24"/>
          <w:lang w:val="id-ID"/>
        </w:rPr>
        <w:t>2007</w:t>
      </w:r>
      <w:r>
        <w:rPr>
          <w:rFonts w:ascii="Times New Roman" w:hAnsi="Times New Roman" w:cs="Times New Roman"/>
          <w:noProof/>
          <w:sz w:val="24"/>
          <w:szCs w:val="24"/>
        </w:rPr>
        <w:t>)</w:t>
      </w:r>
      <w:r w:rsidRPr="009F33C3">
        <w:rPr>
          <w:rFonts w:ascii="Times New Roman" w:hAnsi="Times New Roman" w:cs="Times New Roman"/>
          <w:noProof/>
          <w:sz w:val="24"/>
          <w:szCs w:val="24"/>
          <w:lang w:val="id-ID"/>
        </w:rPr>
        <w:t xml:space="preserve">. </w:t>
      </w:r>
      <w:r w:rsidRPr="00C011CC">
        <w:rPr>
          <w:rFonts w:ascii="Times New Roman" w:hAnsi="Times New Roman" w:cs="Times New Roman"/>
          <w:i/>
          <w:noProof/>
          <w:sz w:val="24"/>
          <w:szCs w:val="24"/>
          <w:lang w:val="id-ID"/>
        </w:rPr>
        <w:t xml:space="preserve">Kineticspectrophotometric method for rapid determinationof trace </w:t>
      </w:r>
      <w:r w:rsidRPr="00E63917">
        <w:rPr>
          <w:rFonts w:ascii="Times New Roman" w:hAnsi="Times New Roman" w:cs="Times New Roman"/>
          <w:i/>
          <w:noProof/>
          <w:sz w:val="24"/>
          <w:szCs w:val="24"/>
          <w:lang w:val="id-ID"/>
        </w:rPr>
        <w:t>formaldehyde in foods.</w:t>
      </w:r>
      <w:r w:rsidR="00E63917">
        <w:rPr>
          <w:rFonts w:ascii="Times New Roman" w:hAnsi="Times New Roman" w:cs="Times New Roman"/>
          <w:i/>
          <w:noProof/>
          <w:sz w:val="24"/>
          <w:szCs w:val="24"/>
          <w:lang w:val="en-GB"/>
        </w:rPr>
        <w:t xml:space="preserve"> </w:t>
      </w:r>
      <w:r w:rsidRPr="00E63917">
        <w:rPr>
          <w:rFonts w:ascii="Times New Roman" w:hAnsi="Times New Roman" w:cs="Times New Roman"/>
          <w:i/>
          <w:noProof/>
          <w:sz w:val="24"/>
          <w:szCs w:val="24"/>
          <w:lang w:val="id-ID"/>
        </w:rPr>
        <w:t>Anal</w:t>
      </w:r>
      <w:r w:rsidR="00E63917" w:rsidRPr="00E63917">
        <w:rPr>
          <w:rFonts w:ascii="Times New Roman" w:hAnsi="Times New Roman" w:cs="Times New Roman"/>
          <w:i/>
          <w:noProof/>
          <w:sz w:val="24"/>
          <w:szCs w:val="24"/>
          <w:lang w:val="id-ID"/>
        </w:rPr>
        <w:t xml:space="preserve"> Chim</w:t>
      </w:r>
      <w:r w:rsidRPr="00E63917">
        <w:rPr>
          <w:rFonts w:ascii="Times New Roman" w:hAnsi="Times New Roman" w:cs="Times New Roman"/>
          <w:i/>
          <w:noProof/>
          <w:sz w:val="24"/>
          <w:szCs w:val="24"/>
          <w:lang w:val="id-ID"/>
        </w:rPr>
        <w:t xml:space="preserve"> Acta</w:t>
      </w:r>
      <w:r w:rsidRPr="00E63917">
        <w:rPr>
          <w:rFonts w:ascii="Times New Roman" w:hAnsi="Times New Roman" w:cs="Times New Roman"/>
          <w:noProof/>
          <w:sz w:val="24"/>
          <w:szCs w:val="24"/>
          <w:lang w:val="id-ID"/>
        </w:rPr>
        <w:t>,</w:t>
      </w:r>
      <w:r w:rsidR="00CC4EF6" w:rsidRPr="00E63917">
        <w:rPr>
          <w:rFonts w:ascii="Times New Roman" w:hAnsi="Times New Roman" w:cs="Times New Roman"/>
          <w:noProof/>
          <w:sz w:val="24"/>
          <w:szCs w:val="24"/>
          <w:lang w:val="id-ID"/>
        </w:rPr>
        <w:t xml:space="preserve"> </w:t>
      </w:r>
      <w:r w:rsidRPr="00E63917">
        <w:rPr>
          <w:rFonts w:ascii="Times New Roman" w:hAnsi="Times New Roman" w:cs="Times New Roman"/>
          <w:noProof/>
          <w:sz w:val="24"/>
          <w:szCs w:val="24"/>
          <w:lang w:val="id-ID"/>
        </w:rPr>
        <w:t>590</w:t>
      </w:r>
      <w:r>
        <w:rPr>
          <w:rFonts w:ascii="Times New Roman" w:hAnsi="Times New Roman" w:cs="Times New Roman"/>
          <w:noProof/>
          <w:sz w:val="24"/>
          <w:szCs w:val="24"/>
        </w:rPr>
        <w:t>,</w:t>
      </w:r>
      <w:r w:rsidRPr="009F33C3">
        <w:rPr>
          <w:rFonts w:ascii="Times New Roman" w:hAnsi="Times New Roman" w:cs="Times New Roman"/>
          <w:noProof/>
          <w:sz w:val="24"/>
          <w:szCs w:val="24"/>
          <w:lang w:val="id-ID"/>
        </w:rPr>
        <w:t xml:space="preserve"> 253-259.</w:t>
      </w:r>
    </w:p>
    <w:p w14:paraId="20046A6C" w14:textId="695168B6" w:rsidR="00686085" w:rsidRDefault="00686085" w:rsidP="00686085">
      <w:pPr>
        <w:widowControl w:val="0"/>
        <w:autoSpaceDE w:val="0"/>
        <w:autoSpaceDN w:val="0"/>
        <w:adjustRightInd w:val="0"/>
        <w:spacing w:line="240" w:lineRule="auto"/>
        <w:ind w:left="480" w:hanging="480"/>
        <w:jc w:val="both"/>
        <w:rPr>
          <w:rFonts w:ascii="Times New Roman" w:hAnsi="Times New Roman" w:cs="Times New Roman"/>
          <w:iCs/>
          <w:noProof/>
          <w:sz w:val="24"/>
          <w:szCs w:val="24"/>
        </w:rPr>
      </w:pPr>
      <w:r>
        <w:rPr>
          <w:rFonts w:ascii="Times New Roman" w:hAnsi="Times New Roman" w:cs="Times New Roman"/>
          <w:iCs/>
          <w:noProof/>
          <w:sz w:val="24"/>
          <w:szCs w:val="24"/>
        </w:rPr>
        <w:t>Gusniar, A. B.</w:t>
      </w:r>
      <w:r w:rsidR="007C2978">
        <w:rPr>
          <w:rFonts w:ascii="Times New Roman" w:hAnsi="Times New Roman" w:cs="Times New Roman"/>
          <w:iCs/>
          <w:noProof/>
          <w:sz w:val="24"/>
          <w:szCs w:val="24"/>
          <w:lang w:val="id-ID"/>
        </w:rPr>
        <w:t>, Radiastuti, N., &amp; Fitri, R.</w:t>
      </w:r>
      <w:r>
        <w:rPr>
          <w:rFonts w:ascii="Times New Roman" w:hAnsi="Times New Roman" w:cs="Times New Roman"/>
          <w:iCs/>
          <w:noProof/>
          <w:sz w:val="24"/>
          <w:szCs w:val="24"/>
        </w:rPr>
        <w:t xml:space="preserve"> (2019). Aplikasi Ekstrak Biji Pepaya (</w:t>
      </w:r>
      <w:r w:rsidRPr="004B4F7C">
        <w:rPr>
          <w:rFonts w:ascii="Times New Roman" w:hAnsi="Times New Roman" w:cs="Times New Roman"/>
          <w:i/>
          <w:iCs/>
          <w:noProof/>
          <w:sz w:val="24"/>
          <w:szCs w:val="24"/>
        </w:rPr>
        <w:t>Carica papaya</w:t>
      </w:r>
      <w:r>
        <w:rPr>
          <w:rFonts w:ascii="Times New Roman" w:hAnsi="Times New Roman" w:cs="Times New Roman"/>
          <w:iCs/>
          <w:noProof/>
          <w:sz w:val="24"/>
          <w:szCs w:val="24"/>
        </w:rPr>
        <w:t xml:space="preserve"> L.) Varietas </w:t>
      </w:r>
      <w:r w:rsidR="007C2978">
        <w:rPr>
          <w:rFonts w:ascii="Times New Roman" w:hAnsi="Times New Roman" w:cs="Times New Roman"/>
          <w:iCs/>
          <w:noProof/>
          <w:sz w:val="24"/>
          <w:szCs w:val="24"/>
          <w:lang w:val="id-ID"/>
        </w:rPr>
        <w:t>‘</w:t>
      </w:r>
      <w:r>
        <w:rPr>
          <w:rFonts w:ascii="Times New Roman" w:hAnsi="Times New Roman" w:cs="Times New Roman"/>
          <w:iCs/>
          <w:noProof/>
          <w:sz w:val="24"/>
          <w:szCs w:val="24"/>
        </w:rPr>
        <w:t>California</w:t>
      </w:r>
      <w:r w:rsidR="007C2978">
        <w:rPr>
          <w:rFonts w:ascii="Times New Roman" w:hAnsi="Times New Roman" w:cs="Times New Roman"/>
          <w:iCs/>
          <w:noProof/>
          <w:sz w:val="24"/>
          <w:szCs w:val="24"/>
          <w:lang w:val="id-ID"/>
        </w:rPr>
        <w:t>’</w:t>
      </w:r>
      <w:r>
        <w:rPr>
          <w:rFonts w:ascii="Times New Roman" w:hAnsi="Times New Roman" w:cs="Times New Roman"/>
          <w:iCs/>
          <w:noProof/>
          <w:sz w:val="24"/>
          <w:szCs w:val="24"/>
        </w:rPr>
        <w:t xml:space="preserve"> dan </w:t>
      </w:r>
      <w:r w:rsidR="007C2978">
        <w:rPr>
          <w:rFonts w:ascii="Times New Roman" w:hAnsi="Times New Roman" w:cs="Times New Roman"/>
          <w:iCs/>
          <w:noProof/>
          <w:sz w:val="24"/>
          <w:szCs w:val="24"/>
          <w:lang w:val="id-ID"/>
        </w:rPr>
        <w:t>‘</w:t>
      </w:r>
      <w:r>
        <w:rPr>
          <w:rFonts w:ascii="Times New Roman" w:hAnsi="Times New Roman" w:cs="Times New Roman"/>
          <w:iCs/>
          <w:noProof/>
          <w:sz w:val="24"/>
          <w:szCs w:val="24"/>
        </w:rPr>
        <w:t>Bangkok</w:t>
      </w:r>
      <w:r w:rsidR="007C2978">
        <w:rPr>
          <w:rFonts w:ascii="Times New Roman" w:hAnsi="Times New Roman" w:cs="Times New Roman"/>
          <w:iCs/>
          <w:noProof/>
          <w:sz w:val="24"/>
          <w:szCs w:val="24"/>
          <w:lang w:val="id-ID"/>
        </w:rPr>
        <w:t>’</w:t>
      </w:r>
      <w:r>
        <w:rPr>
          <w:rFonts w:ascii="Times New Roman" w:hAnsi="Times New Roman" w:cs="Times New Roman"/>
          <w:iCs/>
          <w:noProof/>
          <w:sz w:val="24"/>
          <w:szCs w:val="24"/>
        </w:rPr>
        <w:t xml:space="preserve"> Sebagai Bahan Pengawet Daging Ayam dan Udang. Islamic St</w:t>
      </w:r>
      <w:r w:rsidR="00BB650C">
        <w:rPr>
          <w:rFonts w:ascii="Times New Roman" w:hAnsi="Times New Roman" w:cs="Times New Roman"/>
          <w:iCs/>
          <w:noProof/>
          <w:sz w:val="24"/>
          <w:szCs w:val="24"/>
        </w:rPr>
        <w:t>ate University in Press: Jakarta.</w:t>
      </w:r>
    </w:p>
    <w:p w14:paraId="64736FF3" w14:textId="77777777" w:rsidR="00BB650C" w:rsidRPr="00BB650C" w:rsidRDefault="00BB650C" w:rsidP="00686085">
      <w:pPr>
        <w:widowControl w:val="0"/>
        <w:autoSpaceDE w:val="0"/>
        <w:autoSpaceDN w:val="0"/>
        <w:adjustRightInd w:val="0"/>
        <w:spacing w:line="240" w:lineRule="auto"/>
        <w:ind w:left="480" w:hanging="480"/>
        <w:jc w:val="both"/>
        <w:rPr>
          <w:rFonts w:ascii="Times New Roman" w:hAnsi="Times New Roman" w:cs="Times New Roman"/>
          <w:iCs/>
          <w:noProof/>
          <w:sz w:val="24"/>
          <w:szCs w:val="24"/>
        </w:rPr>
      </w:pPr>
      <w:r>
        <w:rPr>
          <w:rFonts w:ascii="Times New Roman" w:hAnsi="Times New Roman" w:cs="Times New Roman"/>
          <w:iCs/>
          <w:noProof/>
          <w:sz w:val="24"/>
          <w:szCs w:val="24"/>
        </w:rPr>
        <w:t xml:space="preserve">Guyton, A. C &amp; Hall. (2007). </w:t>
      </w:r>
      <w:r w:rsidRPr="00643448">
        <w:rPr>
          <w:rFonts w:ascii="Times New Roman" w:hAnsi="Times New Roman" w:cs="Times New Roman"/>
          <w:i/>
          <w:iCs/>
          <w:noProof/>
          <w:sz w:val="24"/>
          <w:szCs w:val="24"/>
        </w:rPr>
        <w:t>Buku Ajar Fisiologi Kedokteran</w:t>
      </w:r>
      <w:r>
        <w:rPr>
          <w:rFonts w:ascii="Times New Roman" w:hAnsi="Times New Roman" w:cs="Times New Roman"/>
          <w:iCs/>
          <w:noProof/>
          <w:sz w:val="24"/>
          <w:szCs w:val="24"/>
        </w:rPr>
        <w:t xml:space="preserve">. Edisi 9. Jakarta: EGC. </w:t>
      </w:r>
    </w:p>
    <w:p w14:paraId="3B9A9864" w14:textId="77777777" w:rsidR="00BB650C" w:rsidRDefault="00686085" w:rsidP="00BB650C">
      <w:pPr>
        <w:widowControl w:val="0"/>
        <w:autoSpaceDE w:val="0"/>
        <w:autoSpaceDN w:val="0"/>
        <w:adjustRightInd w:val="0"/>
        <w:spacing w:line="240" w:lineRule="auto"/>
        <w:ind w:left="480" w:hanging="480"/>
        <w:jc w:val="both"/>
        <w:rPr>
          <w:rFonts w:ascii="Times New Roman" w:hAnsi="Times New Roman" w:cs="Times New Roman"/>
          <w:iCs/>
          <w:noProof/>
          <w:sz w:val="24"/>
          <w:szCs w:val="24"/>
        </w:rPr>
      </w:pPr>
      <w:r w:rsidRPr="009F33C3">
        <w:rPr>
          <w:rFonts w:ascii="Times New Roman" w:hAnsi="Times New Roman" w:cs="Times New Roman"/>
          <w:noProof/>
          <w:sz w:val="24"/>
          <w:szCs w:val="24"/>
        </w:rPr>
        <w:t xml:space="preserve">Kalie, M. B. (2008). </w:t>
      </w:r>
      <w:r w:rsidRPr="009F33C3">
        <w:rPr>
          <w:rFonts w:ascii="Times New Roman" w:hAnsi="Times New Roman" w:cs="Times New Roman"/>
          <w:i/>
          <w:iCs/>
          <w:noProof/>
          <w:sz w:val="24"/>
          <w:szCs w:val="24"/>
        </w:rPr>
        <w:t>Bertanam Pepaya.</w:t>
      </w:r>
      <w:r w:rsidRPr="009F33C3">
        <w:rPr>
          <w:rFonts w:ascii="Times New Roman" w:hAnsi="Times New Roman" w:cs="Times New Roman"/>
          <w:iCs/>
          <w:noProof/>
          <w:sz w:val="24"/>
          <w:szCs w:val="24"/>
        </w:rPr>
        <w:t xml:space="preserve"> Jakarta: Penebar Swadaya.</w:t>
      </w:r>
    </w:p>
    <w:p w14:paraId="34D5095F" w14:textId="117B56AA" w:rsidR="00BB650C" w:rsidRDefault="00BB650C" w:rsidP="00BB650C">
      <w:pPr>
        <w:widowControl w:val="0"/>
        <w:autoSpaceDE w:val="0"/>
        <w:autoSpaceDN w:val="0"/>
        <w:adjustRightInd w:val="0"/>
        <w:spacing w:line="240" w:lineRule="auto"/>
        <w:ind w:left="480" w:hanging="480"/>
        <w:jc w:val="both"/>
        <w:rPr>
          <w:rFonts w:ascii="Times New Roman" w:hAnsi="Times New Roman" w:cs="Times New Roman"/>
          <w:i/>
          <w:iCs/>
          <w:noProof/>
          <w:sz w:val="24"/>
          <w:szCs w:val="24"/>
        </w:rPr>
      </w:pPr>
      <w:r>
        <w:rPr>
          <w:rFonts w:ascii="Times New Roman" w:hAnsi="Times New Roman" w:cs="Times New Roman"/>
          <w:iCs/>
          <w:noProof/>
          <w:sz w:val="24"/>
          <w:szCs w:val="24"/>
        </w:rPr>
        <w:t xml:space="preserve">Kanadi, A. J., Alhassan, A. I., Ngwen, A. I., Yaradua, A., Nasir &amp; Wudil. (2019). Acute Toxicity Studies and Phytochemical Constituents of Different Solvents Extracts of </w:t>
      </w:r>
      <w:r w:rsidRPr="007723EF">
        <w:rPr>
          <w:rFonts w:ascii="Times New Roman" w:hAnsi="Times New Roman" w:cs="Times New Roman"/>
          <w:i/>
          <w:iCs/>
          <w:noProof/>
          <w:sz w:val="24"/>
          <w:szCs w:val="24"/>
        </w:rPr>
        <w:t>Carica papaya</w:t>
      </w:r>
      <w:r>
        <w:rPr>
          <w:rFonts w:ascii="Times New Roman" w:hAnsi="Times New Roman" w:cs="Times New Roman"/>
          <w:iCs/>
          <w:noProof/>
          <w:sz w:val="24"/>
          <w:szCs w:val="24"/>
        </w:rPr>
        <w:t xml:space="preserve"> Seeds. </w:t>
      </w:r>
      <w:r w:rsidRPr="007723EF">
        <w:rPr>
          <w:rFonts w:ascii="Times New Roman" w:hAnsi="Times New Roman" w:cs="Times New Roman"/>
          <w:i/>
          <w:iCs/>
          <w:noProof/>
          <w:sz w:val="24"/>
          <w:szCs w:val="24"/>
        </w:rPr>
        <w:t>Asian</w:t>
      </w:r>
      <w:r w:rsidR="00595B81">
        <w:rPr>
          <w:rFonts w:ascii="Times New Roman" w:hAnsi="Times New Roman" w:cs="Times New Roman"/>
          <w:i/>
          <w:iCs/>
          <w:noProof/>
          <w:sz w:val="24"/>
          <w:szCs w:val="24"/>
          <w:lang w:val="id-ID"/>
        </w:rPr>
        <w:t xml:space="preserve"> </w:t>
      </w:r>
      <w:r w:rsidRPr="00071416">
        <w:rPr>
          <w:rFonts w:ascii="Times New Roman" w:hAnsi="Times New Roman" w:cs="Times New Roman"/>
          <w:i/>
          <w:iCs/>
          <w:noProof/>
          <w:sz w:val="24"/>
          <w:szCs w:val="24"/>
        </w:rPr>
        <w:t xml:space="preserve">Journal of Research in Botany.  </w:t>
      </w:r>
    </w:p>
    <w:p w14:paraId="163ED3F7" w14:textId="247CDC83" w:rsidR="00F3309F" w:rsidRPr="00F3309F" w:rsidRDefault="00F3309F" w:rsidP="00F3309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Paramveer, D., Chancal, M., Paresh, M., Rani, A., and Nema, R. K. (2010). Effective alternative methods of LD50 help to save number of experimental animals. </w:t>
      </w:r>
      <w:r w:rsidRPr="0030578E">
        <w:rPr>
          <w:rFonts w:ascii="Times New Roman" w:hAnsi="Times New Roman" w:cs="Times New Roman"/>
          <w:i/>
          <w:noProof/>
          <w:sz w:val="24"/>
          <w:szCs w:val="24"/>
        </w:rPr>
        <w:t>Journal</w:t>
      </w:r>
      <w:r>
        <w:rPr>
          <w:rFonts w:ascii="Times New Roman" w:hAnsi="Times New Roman" w:cs="Times New Roman"/>
          <w:i/>
          <w:noProof/>
          <w:sz w:val="24"/>
          <w:szCs w:val="24"/>
        </w:rPr>
        <w:t xml:space="preserve"> </w:t>
      </w:r>
      <w:r w:rsidRPr="0030578E">
        <w:rPr>
          <w:rFonts w:ascii="Times New Roman" w:hAnsi="Times New Roman" w:cs="Times New Roman"/>
          <w:i/>
          <w:noProof/>
          <w:sz w:val="24"/>
          <w:szCs w:val="24"/>
        </w:rPr>
        <w:t>of Chemica</w:t>
      </w:r>
      <w:r>
        <w:rPr>
          <w:rFonts w:ascii="Times New Roman" w:hAnsi="Times New Roman" w:cs="Times New Roman"/>
          <w:i/>
          <w:noProof/>
          <w:sz w:val="24"/>
          <w:szCs w:val="24"/>
        </w:rPr>
        <w:t>l and Pharmaceutical Research,</w:t>
      </w:r>
      <w:r w:rsidRPr="0030578E">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2(6), </w:t>
      </w:r>
      <w:r w:rsidRPr="0030578E">
        <w:rPr>
          <w:rFonts w:ascii="Times New Roman" w:hAnsi="Times New Roman" w:cs="Times New Roman"/>
          <w:noProof/>
          <w:sz w:val="24"/>
          <w:szCs w:val="24"/>
        </w:rPr>
        <w:t xml:space="preserve">450-3. </w:t>
      </w:r>
    </w:p>
    <w:p w14:paraId="6BD56191" w14:textId="77777777" w:rsidR="00DA369F" w:rsidRDefault="00DA369F" w:rsidP="00BB650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1709B">
        <w:rPr>
          <w:rFonts w:ascii="Times New Roman" w:hAnsi="Times New Roman" w:cs="Times New Roman"/>
          <w:noProof/>
          <w:sz w:val="24"/>
          <w:szCs w:val="24"/>
        </w:rPr>
        <w:t xml:space="preserve">Price., Sylvia, A., Lorraine., &amp; Wilson. (1995). </w:t>
      </w:r>
      <w:r w:rsidRPr="0011709B">
        <w:rPr>
          <w:rFonts w:ascii="Times New Roman" w:hAnsi="Times New Roman" w:cs="Times New Roman"/>
          <w:i/>
          <w:noProof/>
          <w:sz w:val="24"/>
          <w:szCs w:val="24"/>
        </w:rPr>
        <w:t>Buku 1 Patofisiologi " Konsep Klinis Proses-Proses Penyakit". Edisi 4.</w:t>
      </w:r>
      <w:r w:rsidRPr="0011709B">
        <w:rPr>
          <w:rFonts w:ascii="Times New Roman" w:hAnsi="Times New Roman" w:cs="Times New Roman"/>
          <w:noProof/>
          <w:sz w:val="24"/>
          <w:szCs w:val="24"/>
        </w:rPr>
        <w:t xml:space="preserve"> Jakarta: EGC.  </w:t>
      </w:r>
    </w:p>
    <w:p w14:paraId="740CF2A1" w14:textId="77777777" w:rsidR="00585966" w:rsidRDefault="00585966" w:rsidP="00585966">
      <w:pPr>
        <w:widowControl w:val="0"/>
        <w:autoSpaceDE w:val="0"/>
        <w:autoSpaceDN w:val="0"/>
        <w:adjustRightInd w:val="0"/>
        <w:spacing w:after="0" w:line="240" w:lineRule="auto"/>
        <w:ind w:left="475" w:hanging="475"/>
        <w:jc w:val="both"/>
        <w:rPr>
          <w:rFonts w:ascii="Times New Roman" w:eastAsia="Times New Roman" w:hAnsi="Times New Roman" w:cs="Times New Roman"/>
          <w:noProof/>
          <w:sz w:val="24"/>
          <w:szCs w:val="24"/>
        </w:rPr>
      </w:pPr>
      <w:r w:rsidRPr="0011709B">
        <w:rPr>
          <w:rFonts w:ascii="Times New Roman" w:eastAsia="Times New Roman" w:hAnsi="Times New Roman" w:cs="Times New Roman"/>
          <w:noProof/>
          <w:sz w:val="24"/>
          <w:szCs w:val="24"/>
        </w:rPr>
        <w:t xml:space="preserve">Ratnaningsih, A. (2004). Pengaruh Cadmium Terhadap Gangguan Patologik pada Hati Tikus Percobaan. </w:t>
      </w:r>
      <w:r w:rsidRPr="0011709B">
        <w:rPr>
          <w:rFonts w:ascii="Times New Roman" w:eastAsia="Times New Roman" w:hAnsi="Times New Roman" w:cs="Times New Roman"/>
          <w:i/>
          <w:iCs/>
          <w:noProof/>
          <w:sz w:val="24"/>
          <w:szCs w:val="24"/>
        </w:rPr>
        <w:t>Jurnal Matematika, Sains Dan Teknologi</w:t>
      </w:r>
      <w:r>
        <w:rPr>
          <w:rFonts w:ascii="Times New Roman" w:eastAsia="Times New Roman" w:hAnsi="Times New Roman" w:cs="Times New Roman"/>
          <w:noProof/>
          <w:sz w:val="24"/>
          <w:szCs w:val="24"/>
        </w:rPr>
        <w:t>.</w:t>
      </w:r>
    </w:p>
    <w:p w14:paraId="2FC50D8A" w14:textId="77777777" w:rsidR="00585966" w:rsidRPr="00585966" w:rsidRDefault="00585966" w:rsidP="00585966">
      <w:pPr>
        <w:widowControl w:val="0"/>
        <w:autoSpaceDE w:val="0"/>
        <w:autoSpaceDN w:val="0"/>
        <w:adjustRightInd w:val="0"/>
        <w:spacing w:after="0" w:line="240" w:lineRule="auto"/>
        <w:ind w:left="475" w:hanging="475"/>
        <w:jc w:val="both"/>
        <w:rPr>
          <w:rFonts w:ascii="Times New Roman" w:eastAsia="Times New Roman" w:hAnsi="Times New Roman" w:cs="Times New Roman"/>
          <w:noProof/>
          <w:sz w:val="24"/>
          <w:szCs w:val="24"/>
        </w:rPr>
      </w:pPr>
    </w:p>
    <w:p w14:paraId="35A53522" w14:textId="2E1D8D2E" w:rsidR="00DA369F" w:rsidRDefault="00DA369F" w:rsidP="00BB650C">
      <w:pPr>
        <w:widowControl w:val="0"/>
        <w:autoSpaceDE w:val="0"/>
        <w:autoSpaceDN w:val="0"/>
        <w:adjustRightInd w:val="0"/>
        <w:spacing w:line="240" w:lineRule="auto"/>
        <w:ind w:left="480" w:hanging="480"/>
        <w:jc w:val="both"/>
        <w:rPr>
          <w:rFonts w:ascii="Times New Roman" w:hAnsi="Times New Roman" w:cs="Times New Roman"/>
          <w:iCs/>
          <w:noProof/>
          <w:sz w:val="24"/>
          <w:szCs w:val="24"/>
        </w:rPr>
      </w:pPr>
      <w:r>
        <w:rPr>
          <w:rFonts w:ascii="Times New Roman" w:hAnsi="Times New Roman" w:cs="Times New Roman"/>
          <w:iCs/>
          <w:noProof/>
          <w:sz w:val="24"/>
          <w:szCs w:val="24"/>
        </w:rPr>
        <w:t xml:space="preserve">Ridwan, </w:t>
      </w:r>
      <w:r w:rsidRPr="0011709B">
        <w:rPr>
          <w:rFonts w:ascii="Times New Roman" w:hAnsi="Times New Roman" w:cs="Times New Roman"/>
          <w:iCs/>
          <w:noProof/>
          <w:sz w:val="24"/>
          <w:szCs w:val="24"/>
        </w:rPr>
        <w:t xml:space="preserve">E. (2013). </w:t>
      </w:r>
      <w:r w:rsidRPr="003930FC">
        <w:rPr>
          <w:rFonts w:ascii="Times New Roman" w:hAnsi="Times New Roman" w:cs="Times New Roman"/>
          <w:iCs/>
          <w:noProof/>
          <w:sz w:val="24"/>
          <w:szCs w:val="24"/>
        </w:rPr>
        <w:t>Etika Pemanfaatan Hewan Percobaan dalam Penelitian Kesehatan.</w:t>
      </w:r>
      <w:r w:rsidR="007C2978">
        <w:rPr>
          <w:rFonts w:ascii="Times New Roman" w:hAnsi="Times New Roman" w:cs="Times New Roman"/>
          <w:i/>
          <w:iCs/>
          <w:noProof/>
          <w:sz w:val="24"/>
          <w:szCs w:val="24"/>
        </w:rPr>
        <w:t xml:space="preserve"> </w:t>
      </w:r>
      <w:r w:rsidR="007C2978">
        <w:rPr>
          <w:rFonts w:ascii="Times New Roman" w:hAnsi="Times New Roman" w:cs="Times New Roman"/>
          <w:i/>
          <w:iCs/>
          <w:noProof/>
          <w:sz w:val="24"/>
          <w:szCs w:val="24"/>
        </w:rPr>
        <w:lastRenderedPageBreak/>
        <w:t>J</w:t>
      </w:r>
      <w:r w:rsidR="007C2978">
        <w:rPr>
          <w:rFonts w:ascii="Times New Roman" w:hAnsi="Times New Roman" w:cs="Times New Roman"/>
          <w:i/>
          <w:iCs/>
          <w:noProof/>
          <w:sz w:val="24"/>
          <w:szCs w:val="24"/>
          <w:lang w:val="id-ID"/>
        </w:rPr>
        <w:t>ornal</w:t>
      </w:r>
      <w:r w:rsidRPr="003930FC">
        <w:rPr>
          <w:rFonts w:ascii="Times New Roman" w:hAnsi="Times New Roman" w:cs="Times New Roman"/>
          <w:i/>
          <w:iCs/>
          <w:noProof/>
          <w:sz w:val="24"/>
          <w:szCs w:val="24"/>
        </w:rPr>
        <w:t xml:space="preserve"> </w:t>
      </w:r>
      <w:r w:rsidRPr="004C6E18">
        <w:rPr>
          <w:rFonts w:ascii="Times New Roman" w:hAnsi="Times New Roman" w:cs="Times New Roman"/>
          <w:i/>
          <w:iCs/>
          <w:noProof/>
          <w:sz w:val="24"/>
          <w:szCs w:val="24"/>
        </w:rPr>
        <w:t>Indon</w:t>
      </w:r>
      <w:r w:rsidR="007C2978" w:rsidRPr="004C6E18">
        <w:rPr>
          <w:rFonts w:ascii="Times New Roman" w:hAnsi="Times New Roman" w:cs="Times New Roman"/>
          <w:i/>
          <w:iCs/>
          <w:noProof/>
          <w:sz w:val="24"/>
          <w:szCs w:val="24"/>
          <w:lang w:val="id-ID"/>
        </w:rPr>
        <w:t>esia</w:t>
      </w:r>
      <w:r w:rsidR="004C6E18">
        <w:rPr>
          <w:rFonts w:ascii="Times New Roman" w:hAnsi="Times New Roman" w:cs="Times New Roman"/>
          <w:i/>
          <w:iCs/>
          <w:noProof/>
          <w:sz w:val="24"/>
          <w:szCs w:val="24"/>
          <w:lang w:val="en-GB"/>
        </w:rPr>
        <w:t>.</w:t>
      </w:r>
      <w:r w:rsidRPr="004C6E18">
        <w:rPr>
          <w:rFonts w:ascii="Times New Roman" w:hAnsi="Times New Roman" w:cs="Times New Roman"/>
          <w:i/>
          <w:iCs/>
          <w:noProof/>
          <w:sz w:val="24"/>
          <w:szCs w:val="24"/>
        </w:rPr>
        <w:t xml:space="preserve"> Med Assoc.</w:t>
      </w:r>
      <w:r w:rsidRPr="0011709B">
        <w:rPr>
          <w:rFonts w:ascii="Times New Roman" w:hAnsi="Times New Roman" w:cs="Times New Roman"/>
          <w:iCs/>
          <w:noProof/>
          <w:sz w:val="24"/>
          <w:szCs w:val="24"/>
        </w:rPr>
        <w:t xml:space="preserve"> 63. Jakarta.  </w:t>
      </w:r>
    </w:p>
    <w:p w14:paraId="1DF43691" w14:textId="77777777" w:rsidR="00DA369F" w:rsidRDefault="00DA369F" w:rsidP="00DA369F">
      <w:pPr>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Rogers, A. B., Z. D., Renee. (2012). Comparative Anatomy and Histology: A Mouse and Human Atlas. USA: Elsevier Inc, 193-196. </w:t>
      </w:r>
    </w:p>
    <w:p w14:paraId="3CDE0AA7" w14:textId="77777777" w:rsidR="00DA369F" w:rsidRDefault="00DA369F" w:rsidP="00DA369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1709B">
        <w:rPr>
          <w:rFonts w:ascii="Times New Roman" w:hAnsi="Times New Roman" w:cs="Times New Roman"/>
          <w:noProof/>
          <w:sz w:val="24"/>
          <w:szCs w:val="24"/>
        </w:rPr>
        <w:t xml:space="preserve">Ronald, A., Sacher &amp; Richard, A. (2002). Tinjauan Klinis. </w:t>
      </w:r>
      <w:r w:rsidRPr="0011709B">
        <w:rPr>
          <w:rFonts w:ascii="Times New Roman" w:hAnsi="Times New Roman" w:cs="Times New Roman"/>
          <w:i/>
          <w:noProof/>
          <w:sz w:val="24"/>
          <w:szCs w:val="24"/>
        </w:rPr>
        <w:t>Hasil Pemeriksaan Laboratorium.</w:t>
      </w:r>
      <w:r w:rsidRPr="0011709B">
        <w:rPr>
          <w:rFonts w:ascii="Times New Roman" w:hAnsi="Times New Roman" w:cs="Times New Roman"/>
          <w:noProof/>
          <w:sz w:val="24"/>
          <w:szCs w:val="24"/>
        </w:rPr>
        <w:t xml:space="preserve"> Jakarta: EGC. </w:t>
      </w:r>
    </w:p>
    <w:p w14:paraId="2D4B886E" w14:textId="77777777" w:rsidR="00DA369F" w:rsidRDefault="00DA369F" w:rsidP="00DA369F">
      <w:pPr>
        <w:spacing w:line="240" w:lineRule="auto"/>
        <w:ind w:left="450" w:hanging="450"/>
        <w:jc w:val="both"/>
        <w:rPr>
          <w:rFonts w:ascii="Times New Roman" w:hAnsi="Times New Roman" w:cs="Times New Roman"/>
          <w:noProof/>
          <w:sz w:val="24"/>
          <w:szCs w:val="24"/>
        </w:rPr>
      </w:pPr>
      <w:r>
        <w:rPr>
          <w:rFonts w:ascii="Times New Roman" w:hAnsi="Times New Roman" w:cs="Times New Roman"/>
          <w:noProof/>
          <w:sz w:val="24"/>
          <w:szCs w:val="24"/>
        </w:rPr>
        <w:t xml:space="preserve">Rust, M. B. (2002). Nutritional Physiology. In: Halver, J. E., R.W. Hardy. Fish nutrition. USA: Academic Press, 822.   </w:t>
      </w:r>
    </w:p>
    <w:p w14:paraId="3C6AF768" w14:textId="5C55BDEF" w:rsidR="00595B81" w:rsidRPr="00DA369F" w:rsidRDefault="00595B81" w:rsidP="00595B8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Oduola, T., Adeniyi, FAA., Ogunyemi, EO., Bello, IS., Idowu, To., and Subair. (2007). Toxicity studies on an unripe </w:t>
      </w:r>
      <w:r w:rsidRPr="00F53BA5">
        <w:rPr>
          <w:rFonts w:ascii="Times New Roman" w:hAnsi="Times New Roman" w:cs="Times New Roman"/>
          <w:i/>
          <w:sz w:val="24"/>
          <w:szCs w:val="24"/>
        </w:rPr>
        <w:t>Carica Papaya</w:t>
      </w:r>
      <w:r>
        <w:rPr>
          <w:rFonts w:ascii="Times New Roman" w:hAnsi="Times New Roman" w:cs="Times New Roman"/>
          <w:sz w:val="24"/>
          <w:szCs w:val="24"/>
        </w:rPr>
        <w:t xml:space="preserve"> aqueous extract: biochemical and haematological effects in wistar albino rats. </w:t>
      </w:r>
      <w:r w:rsidRPr="00F53BA5">
        <w:rPr>
          <w:rFonts w:ascii="Times New Roman" w:hAnsi="Times New Roman" w:cs="Times New Roman"/>
          <w:i/>
          <w:sz w:val="24"/>
          <w:szCs w:val="24"/>
        </w:rPr>
        <w:t>Journ</w:t>
      </w:r>
      <w:r>
        <w:rPr>
          <w:rFonts w:ascii="Times New Roman" w:hAnsi="Times New Roman" w:cs="Times New Roman"/>
          <w:i/>
          <w:sz w:val="24"/>
          <w:szCs w:val="24"/>
        </w:rPr>
        <w:t xml:space="preserve">al of Medicinal Plants Research, </w:t>
      </w:r>
      <w:r>
        <w:rPr>
          <w:rFonts w:ascii="Times New Roman" w:hAnsi="Times New Roman" w:cs="Times New Roman"/>
          <w:sz w:val="24"/>
          <w:szCs w:val="24"/>
        </w:rPr>
        <w:t xml:space="preserve">1(1), 1-4. </w:t>
      </w:r>
    </w:p>
    <w:p w14:paraId="1630AC4F" w14:textId="07926107" w:rsidR="00BB650C" w:rsidRPr="000B31B7" w:rsidRDefault="00BB650C" w:rsidP="000B31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Safwan., Abdul, R. W., Ali, R. H., &amp; Ni Nyoman, M. M. (2007). </w:t>
      </w:r>
      <w:r w:rsidRPr="000F34B7">
        <w:rPr>
          <w:rFonts w:ascii="Times New Roman" w:hAnsi="Times New Roman" w:cs="Times New Roman"/>
          <w:i/>
          <w:noProof/>
          <w:sz w:val="24"/>
          <w:szCs w:val="24"/>
        </w:rPr>
        <w:t>Toksisitas Sub Akut Ekstrak Biji Pepaya Terhadap Aktivitas Enzim SGPT dan SGOT Secara In Vivo.</w:t>
      </w:r>
      <w:r>
        <w:rPr>
          <w:rFonts w:ascii="Times New Roman" w:hAnsi="Times New Roman" w:cs="Times New Roman"/>
          <w:noProof/>
          <w:sz w:val="24"/>
          <w:szCs w:val="24"/>
        </w:rPr>
        <w:t xml:space="preserve"> Farmasi. Universitas Muhammadiyah Mataram. </w:t>
      </w:r>
    </w:p>
    <w:p w14:paraId="7EFB3E4F" w14:textId="302BBDC2" w:rsidR="000B31B7" w:rsidRDefault="000B31B7" w:rsidP="000B31B7">
      <w:pPr>
        <w:widowControl w:val="0"/>
        <w:autoSpaceDE w:val="0"/>
        <w:autoSpaceDN w:val="0"/>
        <w:adjustRightInd w:val="0"/>
        <w:spacing w:line="240" w:lineRule="auto"/>
        <w:ind w:left="480" w:hanging="480"/>
        <w:jc w:val="both"/>
        <w:rPr>
          <w:rFonts w:ascii="Times New Roman" w:hAnsi="Times New Roman" w:cs="Times New Roman"/>
          <w:iCs/>
          <w:noProof/>
          <w:sz w:val="24"/>
          <w:szCs w:val="24"/>
        </w:rPr>
      </w:pPr>
      <w:r>
        <w:rPr>
          <w:rFonts w:ascii="Times New Roman" w:hAnsi="Times New Roman" w:cs="Times New Roman"/>
          <w:iCs/>
          <w:noProof/>
          <w:sz w:val="24"/>
          <w:szCs w:val="24"/>
        </w:rPr>
        <w:t>Sudarmono &amp; Untung. (2014). Uji Keamanan Ekstrak Etanol Daun Mindi (</w:t>
      </w:r>
      <w:r w:rsidRPr="00726D22">
        <w:rPr>
          <w:rFonts w:ascii="Times New Roman" w:hAnsi="Times New Roman" w:cs="Times New Roman"/>
          <w:i/>
          <w:iCs/>
          <w:noProof/>
          <w:sz w:val="24"/>
          <w:szCs w:val="24"/>
        </w:rPr>
        <w:t>Melia azedarach</w:t>
      </w:r>
      <w:r>
        <w:rPr>
          <w:rFonts w:ascii="Times New Roman" w:hAnsi="Times New Roman" w:cs="Times New Roman"/>
          <w:iCs/>
          <w:noProof/>
          <w:sz w:val="24"/>
          <w:szCs w:val="24"/>
        </w:rPr>
        <w:t xml:space="preserve"> I) Pada Tikus Galus Wistar Berdasarkan Dosis Letal 50 Serta Gambaran Histopatologi Hepar dan Ginjal. </w:t>
      </w:r>
      <w:r w:rsidRPr="00726D22">
        <w:rPr>
          <w:rFonts w:ascii="Times New Roman" w:hAnsi="Times New Roman" w:cs="Times New Roman"/>
          <w:i/>
          <w:iCs/>
          <w:noProof/>
          <w:sz w:val="24"/>
          <w:szCs w:val="24"/>
        </w:rPr>
        <w:t>Jurnal Kesehatan "Caring and Enthusiasm".</w:t>
      </w:r>
      <w:r>
        <w:rPr>
          <w:rFonts w:ascii="Times New Roman" w:hAnsi="Times New Roman" w:cs="Times New Roman"/>
          <w:iCs/>
          <w:noProof/>
          <w:sz w:val="24"/>
          <w:szCs w:val="24"/>
        </w:rPr>
        <w:t xml:space="preserve"> 1</w:t>
      </w:r>
      <w:r>
        <w:rPr>
          <w:rFonts w:ascii="Times New Roman" w:hAnsi="Times New Roman" w:cs="Times New Roman"/>
          <w:iCs/>
          <w:noProof/>
          <w:sz w:val="24"/>
          <w:szCs w:val="24"/>
          <w:lang w:val="id-ID"/>
        </w:rPr>
        <w:t>(</w:t>
      </w:r>
      <w:r>
        <w:rPr>
          <w:rFonts w:ascii="Times New Roman" w:hAnsi="Times New Roman" w:cs="Times New Roman"/>
          <w:iCs/>
          <w:noProof/>
          <w:sz w:val="24"/>
          <w:szCs w:val="24"/>
        </w:rPr>
        <w:t>3</w:t>
      </w:r>
      <w:r>
        <w:rPr>
          <w:rFonts w:ascii="Times New Roman" w:hAnsi="Times New Roman" w:cs="Times New Roman"/>
          <w:iCs/>
          <w:noProof/>
          <w:sz w:val="24"/>
          <w:szCs w:val="24"/>
          <w:lang w:val="id-ID"/>
        </w:rPr>
        <w:t>)</w:t>
      </w:r>
      <w:r>
        <w:rPr>
          <w:rFonts w:ascii="Times New Roman" w:hAnsi="Times New Roman" w:cs="Times New Roman"/>
          <w:iCs/>
          <w:noProof/>
          <w:sz w:val="24"/>
          <w:szCs w:val="24"/>
        </w:rPr>
        <w:t xml:space="preserve">. </w:t>
      </w:r>
    </w:p>
    <w:p w14:paraId="0019F5E7" w14:textId="77777777" w:rsidR="000B31B7" w:rsidRPr="00BB650C" w:rsidRDefault="000B31B7" w:rsidP="00BB650C">
      <w:pPr>
        <w:widowControl w:val="0"/>
        <w:autoSpaceDE w:val="0"/>
        <w:autoSpaceDN w:val="0"/>
        <w:adjustRightInd w:val="0"/>
        <w:spacing w:line="240" w:lineRule="auto"/>
        <w:ind w:left="480" w:hanging="480"/>
        <w:jc w:val="both"/>
        <w:rPr>
          <w:rFonts w:ascii="Times New Roman" w:hAnsi="Times New Roman" w:cs="Times New Roman"/>
          <w:iCs/>
          <w:noProof/>
          <w:sz w:val="24"/>
          <w:szCs w:val="24"/>
        </w:rPr>
        <w:sectPr w:rsidR="000B31B7" w:rsidRPr="00BB650C" w:rsidSect="00FB01F8">
          <w:type w:val="continuous"/>
          <w:pgSz w:w="12240" w:h="15840" w:code="1"/>
          <w:pgMar w:top="1701" w:right="1701" w:bottom="1701" w:left="2268" w:header="708" w:footer="708" w:gutter="0"/>
          <w:cols w:space="708"/>
          <w:docGrid w:linePitch="360"/>
        </w:sectPr>
      </w:pPr>
    </w:p>
    <w:p w14:paraId="644F1828" w14:textId="77777777" w:rsidR="00686085" w:rsidRDefault="00686085" w:rsidP="00686085">
      <w:pPr>
        <w:widowControl w:val="0"/>
        <w:autoSpaceDE w:val="0"/>
        <w:autoSpaceDN w:val="0"/>
        <w:adjustRightInd w:val="0"/>
        <w:spacing w:line="240" w:lineRule="auto"/>
        <w:ind w:left="1350" w:hanging="540"/>
        <w:jc w:val="both"/>
        <w:rPr>
          <w:rFonts w:ascii="Times New Roman" w:hAnsi="Times New Roman" w:cs="Times New Roman"/>
          <w:iCs/>
          <w:noProof/>
          <w:sz w:val="24"/>
          <w:szCs w:val="24"/>
        </w:rPr>
      </w:pPr>
      <w:r w:rsidRPr="009F33C3">
        <w:rPr>
          <w:rFonts w:ascii="Times New Roman" w:hAnsi="Times New Roman" w:cs="Times New Roman"/>
          <w:noProof/>
          <w:sz w:val="24"/>
          <w:szCs w:val="24"/>
        </w:rPr>
        <w:t xml:space="preserve">Ummah, W. (2012). </w:t>
      </w:r>
      <w:r w:rsidRPr="009F33C3">
        <w:rPr>
          <w:rFonts w:ascii="Times New Roman" w:hAnsi="Times New Roman" w:cs="Times New Roman"/>
          <w:i/>
          <w:iCs/>
          <w:noProof/>
          <w:sz w:val="24"/>
          <w:szCs w:val="24"/>
        </w:rPr>
        <w:t xml:space="preserve">Pengaruh Ekstrak Air Biji Pepaya (Carica papaya L.) dan Testosteron Undekanoat (TU) Terhadap Jaringan Ginjal Mencit (Mus musculus L.). </w:t>
      </w:r>
      <w:r w:rsidRPr="0011709B">
        <w:rPr>
          <w:rFonts w:ascii="Times New Roman" w:hAnsi="Times New Roman" w:cs="Times New Roman"/>
          <w:iCs/>
          <w:noProof/>
          <w:sz w:val="24"/>
          <w:szCs w:val="24"/>
        </w:rPr>
        <w:t>(</w:t>
      </w:r>
      <w:r w:rsidRPr="0011709B">
        <w:rPr>
          <w:rFonts w:ascii="Times New Roman" w:hAnsi="Times New Roman" w:cs="Times New Roman"/>
          <w:i/>
          <w:iCs/>
          <w:noProof/>
          <w:sz w:val="24"/>
          <w:szCs w:val="24"/>
        </w:rPr>
        <w:t>Skripsi</w:t>
      </w:r>
      <w:r w:rsidRPr="0011709B">
        <w:rPr>
          <w:rFonts w:ascii="Times New Roman" w:hAnsi="Times New Roman" w:cs="Times New Roman"/>
          <w:iCs/>
          <w:noProof/>
          <w:sz w:val="24"/>
          <w:szCs w:val="24"/>
        </w:rPr>
        <w:t>)</w:t>
      </w:r>
      <w:r w:rsidRPr="009F33C3">
        <w:rPr>
          <w:rFonts w:ascii="Times New Roman" w:hAnsi="Times New Roman" w:cs="Times New Roman"/>
          <w:iCs/>
          <w:noProof/>
          <w:sz w:val="24"/>
          <w:szCs w:val="24"/>
        </w:rPr>
        <w:t xml:space="preserve"> S1 FMIPA Universitas Sumatera Utara. Medan.</w:t>
      </w:r>
    </w:p>
    <w:p w14:paraId="495E9EFB" w14:textId="4C3FEAA7" w:rsidR="00686085" w:rsidRDefault="00686085" w:rsidP="00686085">
      <w:pPr>
        <w:widowControl w:val="0"/>
        <w:autoSpaceDE w:val="0"/>
        <w:autoSpaceDN w:val="0"/>
        <w:adjustRightInd w:val="0"/>
        <w:spacing w:line="240" w:lineRule="auto"/>
        <w:ind w:left="1350" w:hanging="540"/>
        <w:jc w:val="both"/>
        <w:rPr>
          <w:rFonts w:ascii="Times New Roman" w:hAnsi="Times New Roman" w:cs="Times New Roman"/>
          <w:iCs/>
          <w:noProof/>
          <w:sz w:val="24"/>
          <w:szCs w:val="24"/>
        </w:rPr>
      </w:pPr>
      <w:r>
        <w:rPr>
          <w:rFonts w:ascii="Times New Roman" w:hAnsi="Times New Roman" w:cs="Times New Roman"/>
          <w:iCs/>
          <w:noProof/>
          <w:sz w:val="24"/>
          <w:szCs w:val="24"/>
        </w:rPr>
        <w:t xml:space="preserve">Umana, Uduak, E., Timbuak, J. A., Musa, S. A., Samuel, A., Joseph, H., &amp; Anuka, J. A. (2013). Acute and Chronic Hepatotoxicity and Nephrotoxicity Study of Orally Administered chloroform extract of </w:t>
      </w:r>
      <w:r w:rsidRPr="007723EF">
        <w:rPr>
          <w:rFonts w:ascii="Times New Roman" w:hAnsi="Times New Roman" w:cs="Times New Roman"/>
          <w:i/>
          <w:iCs/>
          <w:noProof/>
          <w:sz w:val="24"/>
          <w:szCs w:val="24"/>
        </w:rPr>
        <w:t>Carica papaya</w:t>
      </w:r>
      <w:r>
        <w:rPr>
          <w:rFonts w:ascii="Times New Roman" w:hAnsi="Times New Roman" w:cs="Times New Roman"/>
          <w:iCs/>
          <w:noProof/>
          <w:sz w:val="24"/>
          <w:szCs w:val="24"/>
        </w:rPr>
        <w:t xml:space="preserve"> Seeds in Adult Wistar Rats. </w:t>
      </w:r>
      <w:r w:rsidRPr="007723EF">
        <w:rPr>
          <w:rFonts w:ascii="Times New Roman" w:hAnsi="Times New Roman" w:cs="Times New Roman"/>
          <w:i/>
          <w:iCs/>
          <w:noProof/>
          <w:sz w:val="24"/>
          <w:szCs w:val="24"/>
        </w:rPr>
        <w:t>International Journal of Scienctific and Research Publication</w:t>
      </w:r>
      <w:r>
        <w:rPr>
          <w:rFonts w:ascii="Times New Roman" w:hAnsi="Times New Roman" w:cs="Times New Roman"/>
          <w:i/>
          <w:iCs/>
          <w:noProof/>
          <w:sz w:val="24"/>
          <w:szCs w:val="24"/>
        </w:rPr>
        <w:t xml:space="preserve">, </w:t>
      </w:r>
      <w:r>
        <w:rPr>
          <w:rFonts w:ascii="Times New Roman" w:hAnsi="Times New Roman" w:cs="Times New Roman"/>
          <w:iCs/>
          <w:noProof/>
          <w:sz w:val="24"/>
          <w:szCs w:val="24"/>
        </w:rPr>
        <w:t xml:space="preserve">3. </w:t>
      </w:r>
    </w:p>
    <w:p w14:paraId="4E05E4F7" w14:textId="77777777" w:rsidR="00585966" w:rsidRDefault="00585966" w:rsidP="00686085">
      <w:pPr>
        <w:widowControl w:val="0"/>
        <w:autoSpaceDE w:val="0"/>
        <w:autoSpaceDN w:val="0"/>
        <w:adjustRightInd w:val="0"/>
        <w:spacing w:line="240" w:lineRule="auto"/>
        <w:ind w:left="1350" w:hanging="540"/>
        <w:jc w:val="both"/>
        <w:rPr>
          <w:rFonts w:ascii="Times New Roman" w:hAnsi="Times New Roman" w:cs="Times New Roman"/>
          <w:iCs/>
          <w:noProof/>
          <w:sz w:val="24"/>
          <w:szCs w:val="24"/>
        </w:rPr>
      </w:pPr>
      <w:r>
        <w:rPr>
          <w:rFonts w:ascii="Times New Roman" w:hAnsi="Times New Roman" w:cs="Times New Roman"/>
          <w:iCs/>
          <w:noProof/>
          <w:sz w:val="24"/>
          <w:szCs w:val="24"/>
        </w:rPr>
        <w:t xml:space="preserve">Underwood, A. L. (1992). </w:t>
      </w:r>
      <w:r w:rsidRPr="0091422A">
        <w:rPr>
          <w:rFonts w:ascii="Times New Roman" w:hAnsi="Times New Roman" w:cs="Times New Roman"/>
          <w:i/>
          <w:iCs/>
          <w:noProof/>
          <w:sz w:val="24"/>
          <w:szCs w:val="24"/>
        </w:rPr>
        <w:t>Analisa Kimia Kuantitatif. Edisi 5.</w:t>
      </w:r>
      <w:r>
        <w:rPr>
          <w:rFonts w:ascii="Times New Roman" w:hAnsi="Times New Roman" w:cs="Times New Roman"/>
          <w:iCs/>
          <w:noProof/>
          <w:sz w:val="24"/>
          <w:szCs w:val="24"/>
        </w:rPr>
        <w:t xml:space="preserve"> Jakarta: Erlangga.</w:t>
      </w:r>
    </w:p>
    <w:p w14:paraId="532DB324" w14:textId="77777777" w:rsidR="00686085" w:rsidRDefault="00686085" w:rsidP="00686085">
      <w:pPr>
        <w:widowControl w:val="0"/>
        <w:autoSpaceDE w:val="0"/>
        <w:autoSpaceDN w:val="0"/>
        <w:adjustRightInd w:val="0"/>
        <w:spacing w:line="240" w:lineRule="auto"/>
        <w:ind w:left="480" w:firstLine="330"/>
        <w:jc w:val="both"/>
        <w:rPr>
          <w:rFonts w:ascii="Times New Roman" w:hAnsi="Times New Roman" w:cs="Times New Roman"/>
          <w:iCs/>
          <w:noProof/>
          <w:sz w:val="24"/>
          <w:szCs w:val="24"/>
        </w:rPr>
      </w:pPr>
      <w:r>
        <w:rPr>
          <w:rFonts w:ascii="Times New Roman" w:hAnsi="Times New Roman" w:cs="Times New Roman"/>
          <w:iCs/>
          <w:noProof/>
          <w:sz w:val="24"/>
          <w:szCs w:val="24"/>
        </w:rPr>
        <w:t xml:space="preserve">Warisno. (2003). Budidaya Pepaya. Yogyakarta: Penerbit Kanisius. </w:t>
      </w:r>
    </w:p>
    <w:p w14:paraId="1B3E5CFF" w14:textId="77777777" w:rsidR="00686085" w:rsidRDefault="00686085" w:rsidP="00686085">
      <w:pPr>
        <w:widowControl w:val="0"/>
        <w:autoSpaceDE w:val="0"/>
        <w:autoSpaceDN w:val="0"/>
        <w:adjustRightInd w:val="0"/>
        <w:spacing w:line="240" w:lineRule="auto"/>
        <w:ind w:left="480" w:firstLine="330"/>
        <w:jc w:val="both"/>
        <w:rPr>
          <w:rFonts w:ascii="Times New Roman" w:hAnsi="Times New Roman" w:cs="Times New Roman"/>
          <w:iCs/>
          <w:noProof/>
          <w:sz w:val="24"/>
          <w:szCs w:val="24"/>
        </w:rPr>
      </w:pPr>
    </w:p>
    <w:p w14:paraId="42827236" w14:textId="77777777" w:rsidR="00686085" w:rsidRPr="007723EF" w:rsidRDefault="00686085" w:rsidP="00686085">
      <w:pPr>
        <w:widowControl w:val="0"/>
        <w:autoSpaceDE w:val="0"/>
        <w:autoSpaceDN w:val="0"/>
        <w:adjustRightInd w:val="0"/>
        <w:spacing w:line="240" w:lineRule="auto"/>
        <w:ind w:left="1350" w:hanging="540"/>
        <w:jc w:val="both"/>
        <w:rPr>
          <w:rFonts w:ascii="Times New Roman" w:hAnsi="Times New Roman" w:cs="Times New Roman"/>
          <w:i/>
          <w:iCs/>
          <w:noProof/>
          <w:sz w:val="24"/>
          <w:szCs w:val="24"/>
        </w:rPr>
      </w:pPr>
    </w:p>
    <w:p w14:paraId="216457B6" w14:textId="77777777" w:rsidR="00686085" w:rsidRDefault="00686085" w:rsidP="00686085">
      <w:pPr>
        <w:widowControl w:val="0"/>
        <w:autoSpaceDE w:val="0"/>
        <w:autoSpaceDN w:val="0"/>
        <w:adjustRightInd w:val="0"/>
        <w:spacing w:line="240" w:lineRule="auto"/>
        <w:ind w:left="1800" w:hanging="990"/>
        <w:jc w:val="both"/>
        <w:rPr>
          <w:rFonts w:ascii="Times New Roman" w:hAnsi="Times New Roman" w:cs="Times New Roman"/>
          <w:iCs/>
          <w:noProof/>
          <w:sz w:val="24"/>
          <w:szCs w:val="24"/>
        </w:rPr>
      </w:pPr>
      <w:r>
        <w:rPr>
          <w:rFonts w:ascii="Times New Roman" w:hAnsi="Times New Roman" w:cs="Times New Roman"/>
          <w:iCs/>
          <w:noProof/>
          <w:sz w:val="24"/>
          <w:szCs w:val="24"/>
        </w:rPr>
        <w:t>.</w:t>
      </w:r>
    </w:p>
    <w:p w14:paraId="2185AFA5" w14:textId="77777777" w:rsidR="00686085" w:rsidRDefault="00686085" w:rsidP="00686085">
      <w:pPr>
        <w:widowControl w:val="0"/>
        <w:autoSpaceDE w:val="0"/>
        <w:autoSpaceDN w:val="0"/>
        <w:adjustRightInd w:val="0"/>
        <w:spacing w:line="240" w:lineRule="auto"/>
        <w:ind w:left="1800" w:hanging="990"/>
        <w:jc w:val="both"/>
        <w:rPr>
          <w:rFonts w:ascii="Times New Roman" w:hAnsi="Times New Roman" w:cs="Times New Roman"/>
          <w:iCs/>
          <w:noProof/>
          <w:sz w:val="24"/>
          <w:szCs w:val="24"/>
        </w:rPr>
      </w:pPr>
    </w:p>
    <w:p w14:paraId="20B00E35" w14:textId="77777777" w:rsidR="00067C33" w:rsidRPr="00861286" w:rsidRDefault="00067C33" w:rsidP="00686085">
      <w:pPr>
        <w:tabs>
          <w:tab w:val="left" w:pos="810"/>
          <w:tab w:val="left" w:pos="5685"/>
        </w:tabs>
        <w:spacing w:line="240" w:lineRule="auto"/>
        <w:ind w:left="810"/>
        <w:jc w:val="both"/>
        <w:rPr>
          <w:rFonts w:ascii="Times New Roman" w:hAnsi="Times New Roman" w:cs="Times New Roman"/>
          <w:sz w:val="24"/>
          <w:szCs w:val="24"/>
        </w:rPr>
      </w:pPr>
    </w:p>
    <w:sectPr w:rsidR="00067C33" w:rsidRPr="00861286" w:rsidSect="007923E4">
      <w:headerReference w:type="default" r:id="rId15"/>
      <w:footerReference w:type="default" r:id="rId16"/>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A6661" w14:textId="77777777" w:rsidR="00CB2280" w:rsidRDefault="00CB2280" w:rsidP="000766E5">
      <w:pPr>
        <w:spacing w:after="0" w:line="240" w:lineRule="auto"/>
      </w:pPr>
      <w:r>
        <w:separator/>
      </w:r>
    </w:p>
  </w:endnote>
  <w:endnote w:type="continuationSeparator" w:id="0">
    <w:p w14:paraId="53D5B99D" w14:textId="77777777" w:rsidR="00CB2280" w:rsidRDefault="00CB2280" w:rsidP="0007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variable"/>
    <w:sig w:usb0="E00002AF" w:usb1="5000E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477336"/>
      <w:docPartObj>
        <w:docPartGallery w:val="Page Numbers (Bottom of Page)"/>
        <w:docPartUnique/>
      </w:docPartObj>
    </w:sdtPr>
    <w:sdtEndPr>
      <w:rPr>
        <w:noProof/>
      </w:rPr>
    </w:sdtEndPr>
    <w:sdtContent>
      <w:p w14:paraId="4CF91C99" w14:textId="77777777" w:rsidR="0028177C" w:rsidRDefault="00E9030C">
        <w:pPr>
          <w:pStyle w:val="Footer"/>
          <w:jc w:val="right"/>
        </w:pPr>
        <w:r>
          <w:rPr>
            <w:noProof/>
          </w:rPr>
          <w:fldChar w:fldCharType="begin"/>
        </w:r>
        <w:r>
          <w:rPr>
            <w:noProof/>
          </w:rPr>
          <w:instrText xml:space="preserve"> PAGE   \* MERGEFORMAT </w:instrText>
        </w:r>
        <w:r>
          <w:rPr>
            <w:noProof/>
          </w:rPr>
          <w:fldChar w:fldCharType="separate"/>
        </w:r>
        <w:r w:rsidR="00472213">
          <w:rPr>
            <w:noProof/>
          </w:rPr>
          <w:t>13</w:t>
        </w:r>
        <w:r>
          <w:rPr>
            <w:noProof/>
          </w:rPr>
          <w:fldChar w:fldCharType="end"/>
        </w:r>
      </w:p>
    </w:sdtContent>
  </w:sdt>
  <w:p w14:paraId="0BCAF30D" w14:textId="77777777" w:rsidR="0028177C" w:rsidRDefault="00281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B5F18" w14:textId="77777777" w:rsidR="0028177C" w:rsidRDefault="0028177C">
    <w:pPr>
      <w:pStyle w:val="Footer"/>
    </w:pPr>
  </w:p>
  <w:p w14:paraId="5A2BF57B" w14:textId="77777777" w:rsidR="0028177C" w:rsidRDefault="00281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3E635" w14:textId="77777777" w:rsidR="00CB2280" w:rsidRDefault="00CB2280" w:rsidP="000766E5">
      <w:pPr>
        <w:spacing w:after="0" w:line="240" w:lineRule="auto"/>
      </w:pPr>
      <w:r>
        <w:separator/>
      </w:r>
    </w:p>
  </w:footnote>
  <w:footnote w:type="continuationSeparator" w:id="0">
    <w:p w14:paraId="4C2F1FB9" w14:textId="77777777" w:rsidR="00CB2280" w:rsidRDefault="00CB2280" w:rsidP="00076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85739" w14:textId="77777777" w:rsidR="0028177C" w:rsidRDefault="0028177C">
    <w:pPr>
      <w:pStyle w:val="Header"/>
    </w:pPr>
  </w:p>
  <w:p w14:paraId="40D6CBB2" w14:textId="77777777" w:rsidR="0028177C" w:rsidRDefault="00281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7452"/>
    <w:multiLevelType w:val="hybridMultilevel"/>
    <w:tmpl w:val="0ACCAFE2"/>
    <w:lvl w:ilvl="0" w:tplc="DEE8E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53618"/>
    <w:multiLevelType w:val="hybridMultilevel"/>
    <w:tmpl w:val="D3E8E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333E3"/>
    <w:multiLevelType w:val="multilevel"/>
    <w:tmpl w:val="AF7CD99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DC24A7"/>
    <w:multiLevelType w:val="multilevel"/>
    <w:tmpl w:val="931E90EE"/>
    <w:lvl w:ilvl="0">
      <w:start w:val="1"/>
      <w:numFmt w:val="decimal"/>
      <w:lvlText w:val="%1."/>
      <w:lvlJc w:val="left"/>
      <w:pPr>
        <w:ind w:left="931" w:hanging="360"/>
      </w:pPr>
      <w:rPr>
        <w:rFonts w:ascii="Times New Roman" w:eastAsiaTheme="minorEastAsia" w:hAnsi="Times New Roman" w:cs="Times New Roman"/>
      </w:rPr>
    </w:lvl>
    <w:lvl w:ilvl="1">
      <w:start w:val="3"/>
      <w:numFmt w:val="decimal"/>
      <w:isLgl/>
      <w:lvlText w:val="%1.%2"/>
      <w:lvlJc w:val="left"/>
      <w:pPr>
        <w:ind w:left="1051" w:hanging="48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291"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1" w:hanging="1080"/>
      </w:pPr>
      <w:rPr>
        <w:rFonts w:hint="default"/>
      </w:rPr>
    </w:lvl>
    <w:lvl w:ilvl="6">
      <w:start w:val="1"/>
      <w:numFmt w:val="decimal"/>
      <w:isLgl/>
      <w:lvlText w:val="%1.%2.%3.%4.%5.%6.%7"/>
      <w:lvlJc w:val="left"/>
      <w:pPr>
        <w:ind w:left="2011" w:hanging="1440"/>
      </w:pPr>
      <w:rPr>
        <w:rFonts w:hint="default"/>
      </w:rPr>
    </w:lvl>
    <w:lvl w:ilvl="7">
      <w:start w:val="1"/>
      <w:numFmt w:val="decimal"/>
      <w:isLgl/>
      <w:lvlText w:val="%1.%2.%3.%4.%5.%6.%7.%8"/>
      <w:lvlJc w:val="left"/>
      <w:pPr>
        <w:ind w:left="2011" w:hanging="1440"/>
      </w:pPr>
      <w:rPr>
        <w:rFonts w:hint="default"/>
      </w:rPr>
    </w:lvl>
    <w:lvl w:ilvl="8">
      <w:start w:val="1"/>
      <w:numFmt w:val="decimal"/>
      <w:isLgl/>
      <w:lvlText w:val="%1.%2.%3.%4.%5.%6.%7.%8.%9"/>
      <w:lvlJc w:val="left"/>
      <w:pPr>
        <w:ind w:left="2371" w:hanging="1800"/>
      </w:pPr>
      <w:rPr>
        <w:rFonts w:hint="default"/>
      </w:rPr>
    </w:lvl>
  </w:abstractNum>
  <w:abstractNum w:abstractNumId="4" w15:restartNumberingAfterBreak="0">
    <w:nsid w:val="44705041"/>
    <w:multiLevelType w:val="hybridMultilevel"/>
    <w:tmpl w:val="495A6E7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 w15:restartNumberingAfterBreak="0">
    <w:nsid w:val="6414220D"/>
    <w:multiLevelType w:val="hybridMultilevel"/>
    <w:tmpl w:val="03A2D5D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7BFA08B3"/>
    <w:multiLevelType w:val="multilevel"/>
    <w:tmpl w:val="E0640280"/>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6"/>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E5"/>
    <w:rsid w:val="000016CC"/>
    <w:rsid w:val="0001251E"/>
    <w:rsid w:val="000131AA"/>
    <w:rsid w:val="00013D12"/>
    <w:rsid w:val="00014166"/>
    <w:rsid w:val="000322CC"/>
    <w:rsid w:val="00040E2F"/>
    <w:rsid w:val="000445A3"/>
    <w:rsid w:val="000446ED"/>
    <w:rsid w:val="00046D14"/>
    <w:rsid w:val="00067C33"/>
    <w:rsid w:val="000766E5"/>
    <w:rsid w:val="0008135C"/>
    <w:rsid w:val="00082F25"/>
    <w:rsid w:val="00094019"/>
    <w:rsid w:val="00095381"/>
    <w:rsid w:val="000A1E60"/>
    <w:rsid w:val="000A2926"/>
    <w:rsid w:val="000A29E8"/>
    <w:rsid w:val="000B31B7"/>
    <w:rsid w:val="000E46BE"/>
    <w:rsid w:val="000E48DF"/>
    <w:rsid w:val="000F414E"/>
    <w:rsid w:val="000F4912"/>
    <w:rsid w:val="001074B8"/>
    <w:rsid w:val="00112BC0"/>
    <w:rsid w:val="00115DC0"/>
    <w:rsid w:val="001216A3"/>
    <w:rsid w:val="00121EF1"/>
    <w:rsid w:val="001373EB"/>
    <w:rsid w:val="00150313"/>
    <w:rsid w:val="00182B4B"/>
    <w:rsid w:val="001844D9"/>
    <w:rsid w:val="0018727C"/>
    <w:rsid w:val="00187553"/>
    <w:rsid w:val="00190196"/>
    <w:rsid w:val="00194210"/>
    <w:rsid w:val="00196438"/>
    <w:rsid w:val="001A203A"/>
    <w:rsid w:val="001E0D09"/>
    <w:rsid w:val="001E2E78"/>
    <w:rsid w:val="001E40FE"/>
    <w:rsid w:val="001E5777"/>
    <w:rsid w:val="001F02F4"/>
    <w:rsid w:val="001F2DD6"/>
    <w:rsid w:val="0020536C"/>
    <w:rsid w:val="00222590"/>
    <w:rsid w:val="00224BD5"/>
    <w:rsid w:val="00240602"/>
    <w:rsid w:val="00243C3A"/>
    <w:rsid w:val="0028177C"/>
    <w:rsid w:val="00282F42"/>
    <w:rsid w:val="00284C19"/>
    <w:rsid w:val="002A21F9"/>
    <w:rsid w:val="002A467C"/>
    <w:rsid w:val="002B54FA"/>
    <w:rsid w:val="002B7C1A"/>
    <w:rsid w:val="002C3D1C"/>
    <w:rsid w:val="002D3338"/>
    <w:rsid w:val="002F4E73"/>
    <w:rsid w:val="00335ABF"/>
    <w:rsid w:val="00340C43"/>
    <w:rsid w:val="003446EA"/>
    <w:rsid w:val="00353481"/>
    <w:rsid w:val="003579E3"/>
    <w:rsid w:val="00362EDC"/>
    <w:rsid w:val="00363FC8"/>
    <w:rsid w:val="003675CC"/>
    <w:rsid w:val="0037549A"/>
    <w:rsid w:val="00375748"/>
    <w:rsid w:val="0039007F"/>
    <w:rsid w:val="00395EB6"/>
    <w:rsid w:val="003A080D"/>
    <w:rsid w:val="003A51D6"/>
    <w:rsid w:val="003B1870"/>
    <w:rsid w:val="003C1478"/>
    <w:rsid w:val="003F635E"/>
    <w:rsid w:val="00410BEA"/>
    <w:rsid w:val="004226A5"/>
    <w:rsid w:val="00452A1E"/>
    <w:rsid w:val="00454157"/>
    <w:rsid w:val="0045445F"/>
    <w:rsid w:val="00464461"/>
    <w:rsid w:val="00472213"/>
    <w:rsid w:val="00474BB0"/>
    <w:rsid w:val="00493818"/>
    <w:rsid w:val="004A54DE"/>
    <w:rsid w:val="004A5E34"/>
    <w:rsid w:val="004B1627"/>
    <w:rsid w:val="004B2DAA"/>
    <w:rsid w:val="004C3433"/>
    <w:rsid w:val="004C6E18"/>
    <w:rsid w:val="004D1D73"/>
    <w:rsid w:val="004D3493"/>
    <w:rsid w:val="0050423F"/>
    <w:rsid w:val="00507781"/>
    <w:rsid w:val="00510224"/>
    <w:rsid w:val="005208BF"/>
    <w:rsid w:val="00521DD5"/>
    <w:rsid w:val="00532B80"/>
    <w:rsid w:val="00534C34"/>
    <w:rsid w:val="0054077C"/>
    <w:rsid w:val="00554F38"/>
    <w:rsid w:val="0056248F"/>
    <w:rsid w:val="00564CF1"/>
    <w:rsid w:val="00585966"/>
    <w:rsid w:val="005915A2"/>
    <w:rsid w:val="00595B81"/>
    <w:rsid w:val="005B32F2"/>
    <w:rsid w:val="005B3395"/>
    <w:rsid w:val="005B76DC"/>
    <w:rsid w:val="005B7793"/>
    <w:rsid w:val="005C13D4"/>
    <w:rsid w:val="005C3A40"/>
    <w:rsid w:val="005C6B77"/>
    <w:rsid w:val="005C745C"/>
    <w:rsid w:val="005D33FC"/>
    <w:rsid w:val="005E2D41"/>
    <w:rsid w:val="005E6D18"/>
    <w:rsid w:val="005F6AD7"/>
    <w:rsid w:val="00602915"/>
    <w:rsid w:val="00606231"/>
    <w:rsid w:val="006123D4"/>
    <w:rsid w:val="00620739"/>
    <w:rsid w:val="0066614F"/>
    <w:rsid w:val="00672DE6"/>
    <w:rsid w:val="00686085"/>
    <w:rsid w:val="00696F07"/>
    <w:rsid w:val="006B2D19"/>
    <w:rsid w:val="006E3222"/>
    <w:rsid w:val="006E6B28"/>
    <w:rsid w:val="006F349B"/>
    <w:rsid w:val="006F4991"/>
    <w:rsid w:val="00704642"/>
    <w:rsid w:val="007141AF"/>
    <w:rsid w:val="007376C0"/>
    <w:rsid w:val="00746D08"/>
    <w:rsid w:val="007557AF"/>
    <w:rsid w:val="00772E2B"/>
    <w:rsid w:val="007849E9"/>
    <w:rsid w:val="007923E4"/>
    <w:rsid w:val="007939AD"/>
    <w:rsid w:val="007B6B66"/>
    <w:rsid w:val="007C2978"/>
    <w:rsid w:val="007D134D"/>
    <w:rsid w:val="007E2432"/>
    <w:rsid w:val="008255E3"/>
    <w:rsid w:val="00831942"/>
    <w:rsid w:val="008340F9"/>
    <w:rsid w:val="00845092"/>
    <w:rsid w:val="00861286"/>
    <w:rsid w:val="00871EF6"/>
    <w:rsid w:val="0089049B"/>
    <w:rsid w:val="008A7BDE"/>
    <w:rsid w:val="008B16C4"/>
    <w:rsid w:val="008B7BE6"/>
    <w:rsid w:val="008D0B73"/>
    <w:rsid w:val="008E093E"/>
    <w:rsid w:val="008E4562"/>
    <w:rsid w:val="008F0F1C"/>
    <w:rsid w:val="00911B17"/>
    <w:rsid w:val="009208AD"/>
    <w:rsid w:val="009347F2"/>
    <w:rsid w:val="00942C85"/>
    <w:rsid w:val="0095160B"/>
    <w:rsid w:val="0096748F"/>
    <w:rsid w:val="009910A5"/>
    <w:rsid w:val="00997A04"/>
    <w:rsid w:val="009A5B71"/>
    <w:rsid w:val="009A610F"/>
    <w:rsid w:val="009B1846"/>
    <w:rsid w:val="009E013C"/>
    <w:rsid w:val="009E1E09"/>
    <w:rsid w:val="00A42B75"/>
    <w:rsid w:val="00A433E1"/>
    <w:rsid w:val="00A605AB"/>
    <w:rsid w:val="00A70C91"/>
    <w:rsid w:val="00A953BD"/>
    <w:rsid w:val="00AA3023"/>
    <w:rsid w:val="00AB2FEA"/>
    <w:rsid w:val="00AB6248"/>
    <w:rsid w:val="00AD27F6"/>
    <w:rsid w:val="00AE630D"/>
    <w:rsid w:val="00B1120A"/>
    <w:rsid w:val="00B13AC9"/>
    <w:rsid w:val="00B2392B"/>
    <w:rsid w:val="00B25A99"/>
    <w:rsid w:val="00B33303"/>
    <w:rsid w:val="00B409EA"/>
    <w:rsid w:val="00B56BA5"/>
    <w:rsid w:val="00B66320"/>
    <w:rsid w:val="00B72A6A"/>
    <w:rsid w:val="00B83EC5"/>
    <w:rsid w:val="00B85B3D"/>
    <w:rsid w:val="00B90123"/>
    <w:rsid w:val="00BA6C17"/>
    <w:rsid w:val="00BB037B"/>
    <w:rsid w:val="00BB0DD3"/>
    <w:rsid w:val="00BB650C"/>
    <w:rsid w:val="00BC2AC1"/>
    <w:rsid w:val="00BE08E3"/>
    <w:rsid w:val="00BF4979"/>
    <w:rsid w:val="00BF596F"/>
    <w:rsid w:val="00C02E22"/>
    <w:rsid w:val="00C05DA1"/>
    <w:rsid w:val="00C14A8D"/>
    <w:rsid w:val="00C16766"/>
    <w:rsid w:val="00C20412"/>
    <w:rsid w:val="00C250B1"/>
    <w:rsid w:val="00C2585F"/>
    <w:rsid w:val="00C31B99"/>
    <w:rsid w:val="00C61297"/>
    <w:rsid w:val="00C62D0D"/>
    <w:rsid w:val="00C63C5B"/>
    <w:rsid w:val="00C728D3"/>
    <w:rsid w:val="00C73F2F"/>
    <w:rsid w:val="00C82FAF"/>
    <w:rsid w:val="00C902EC"/>
    <w:rsid w:val="00C91BDA"/>
    <w:rsid w:val="00C96C86"/>
    <w:rsid w:val="00CA10B3"/>
    <w:rsid w:val="00CA303A"/>
    <w:rsid w:val="00CB0EBB"/>
    <w:rsid w:val="00CB2280"/>
    <w:rsid w:val="00CB78DC"/>
    <w:rsid w:val="00CC137C"/>
    <w:rsid w:val="00CC4EF6"/>
    <w:rsid w:val="00CC614E"/>
    <w:rsid w:val="00CD14EE"/>
    <w:rsid w:val="00CD66E8"/>
    <w:rsid w:val="00CE1017"/>
    <w:rsid w:val="00CE19FF"/>
    <w:rsid w:val="00CE288B"/>
    <w:rsid w:val="00D04DDA"/>
    <w:rsid w:val="00D233C6"/>
    <w:rsid w:val="00D4352D"/>
    <w:rsid w:val="00D44DA5"/>
    <w:rsid w:val="00D600FE"/>
    <w:rsid w:val="00D65DBF"/>
    <w:rsid w:val="00D84213"/>
    <w:rsid w:val="00D907AD"/>
    <w:rsid w:val="00D954D8"/>
    <w:rsid w:val="00DA0690"/>
    <w:rsid w:val="00DA369F"/>
    <w:rsid w:val="00DA56BA"/>
    <w:rsid w:val="00DB1BBA"/>
    <w:rsid w:val="00DE665B"/>
    <w:rsid w:val="00DF44DC"/>
    <w:rsid w:val="00DF69D7"/>
    <w:rsid w:val="00E01AD9"/>
    <w:rsid w:val="00E0484E"/>
    <w:rsid w:val="00E25892"/>
    <w:rsid w:val="00E307D8"/>
    <w:rsid w:val="00E36037"/>
    <w:rsid w:val="00E36EB4"/>
    <w:rsid w:val="00E37003"/>
    <w:rsid w:val="00E61F91"/>
    <w:rsid w:val="00E63917"/>
    <w:rsid w:val="00E72FB9"/>
    <w:rsid w:val="00E735DD"/>
    <w:rsid w:val="00E833D8"/>
    <w:rsid w:val="00E87474"/>
    <w:rsid w:val="00E9030C"/>
    <w:rsid w:val="00EC15BC"/>
    <w:rsid w:val="00EC6429"/>
    <w:rsid w:val="00EC7CAD"/>
    <w:rsid w:val="00ED2AA0"/>
    <w:rsid w:val="00EE13BA"/>
    <w:rsid w:val="00EE516B"/>
    <w:rsid w:val="00EF54AF"/>
    <w:rsid w:val="00EF6500"/>
    <w:rsid w:val="00F0203C"/>
    <w:rsid w:val="00F03065"/>
    <w:rsid w:val="00F16CB5"/>
    <w:rsid w:val="00F26E83"/>
    <w:rsid w:val="00F3309F"/>
    <w:rsid w:val="00F35F62"/>
    <w:rsid w:val="00F36087"/>
    <w:rsid w:val="00F8180C"/>
    <w:rsid w:val="00F85118"/>
    <w:rsid w:val="00F913C8"/>
    <w:rsid w:val="00F9156B"/>
    <w:rsid w:val="00F94A6F"/>
    <w:rsid w:val="00FB01F8"/>
    <w:rsid w:val="00FD79F9"/>
    <w:rsid w:val="00FE77BF"/>
    <w:rsid w:val="00FF657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C910"/>
  <w15:docId w15:val="{3B4A4BD3-7205-4413-AF76-3D5E623B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846"/>
  </w:style>
  <w:style w:type="paragraph" w:styleId="Heading1">
    <w:name w:val="heading 1"/>
    <w:basedOn w:val="Normal"/>
    <w:next w:val="Normal"/>
    <w:link w:val="Heading1Char"/>
    <w:uiPriority w:val="9"/>
    <w:qFormat/>
    <w:rsid w:val="00067C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7C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6E5"/>
  </w:style>
  <w:style w:type="paragraph" w:styleId="Footer">
    <w:name w:val="footer"/>
    <w:basedOn w:val="Normal"/>
    <w:link w:val="FooterChar"/>
    <w:uiPriority w:val="99"/>
    <w:unhideWhenUsed/>
    <w:rsid w:val="00076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6E5"/>
  </w:style>
  <w:style w:type="paragraph" w:styleId="BalloonText">
    <w:name w:val="Balloon Text"/>
    <w:basedOn w:val="Normal"/>
    <w:link w:val="BalloonTextChar"/>
    <w:uiPriority w:val="99"/>
    <w:semiHidden/>
    <w:unhideWhenUsed/>
    <w:rsid w:val="0007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6E5"/>
    <w:rPr>
      <w:rFonts w:ascii="Tahoma" w:hAnsi="Tahoma" w:cs="Tahoma"/>
      <w:sz w:val="16"/>
      <w:szCs w:val="16"/>
    </w:rPr>
  </w:style>
  <w:style w:type="character" w:styleId="Hyperlink">
    <w:name w:val="Hyperlink"/>
    <w:basedOn w:val="DefaultParagraphFont"/>
    <w:uiPriority w:val="99"/>
    <w:unhideWhenUsed/>
    <w:rsid w:val="009B1846"/>
    <w:rPr>
      <w:color w:val="0000FF" w:themeColor="hyperlink"/>
      <w:u w:val="single"/>
    </w:rPr>
  </w:style>
  <w:style w:type="character" w:customStyle="1" w:styleId="Heading2Char">
    <w:name w:val="Heading 2 Char"/>
    <w:basedOn w:val="DefaultParagraphFont"/>
    <w:link w:val="Heading2"/>
    <w:uiPriority w:val="9"/>
    <w:rsid w:val="00067C33"/>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unhideWhenUsed/>
    <w:qFormat/>
    <w:rsid w:val="00067C33"/>
    <w:pPr>
      <w:ind w:left="720"/>
      <w:contextualSpacing/>
    </w:pPr>
    <w:rPr>
      <w:rFonts w:eastAsiaTheme="minorEastAsia"/>
      <w:sz w:val="20"/>
      <w:szCs w:val="20"/>
      <w:lang w:eastAsia="zh-CN"/>
    </w:rPr>
  </w:style>
  <w:style w:type="character" w:customStyle="1" w:styleId="ListParagraphChar">
    <w:name w:val="List Paragraph Char"/>
    <w:link w:val="ListParagraph"/>
    <w:uiPriority w:val="34"/>
    <w:rsid w:val="00067C33"/>
    <w:rPr>
      <w:rFonts w:eastAsiaTheme="minorEastAsia"/>
      <w:sz w:val="20"/>
      <w:szCs w:val="20"/>
      <w:lang w:eastAsia="zh-CN"/>
    </w:rPr>
  </w:style>
  <w:style w:type="paragraph" w:customStyle="1" w:styleId="Default">
    <w:name w:val="Default"/>
    <w:qFormat/>
    <w:rsid w:val="00067C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67C3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7C33"/>
    <w:rPr>
      <w:rFonts w:asciiTheme="majorHAnsi" w:eastAsiaTheme="majorEastAsia" w:hAnsiTheme="majorHAnsi" w:cstheme="majorBidi"/>
      <w:b/>
      <w:bCs/>
      <w:color w:val="365F91" w:themeColor="accent1" w:themeShade="BF"/>
      <w:sz w:val="28"/>
      <w:szCs w:val="28"/>
    </w:rPr>
  </w:style>
  <w:style w:type="character" w:customStyle="1" w:styleId="A3">
    <w:name w:val="A3"/>
    <w:uiPriority w:val="99"/>
    <w:rsid w:val="00067C33"/>
    <w:rPr>
      <w:rFonts w:cs="Minion Pro"/>
      <w:color w:val="000000"/>
      <w:sz w:val="22"/>
      <w:szCs w:val="22"/>
    </w:rPr>
  </w:style>
  <w:style w:type="paragraph" w:styleId="BodyText">
    <w:name w:val="Body Text"/>
    <w:basedOn w:val="Normal"/>
    <w:link w:val="BodyTextChar"/>
    <w:uiPriority w:val="1"/>
    <w:qFormat/>
    <w:rsid w:val="007923E4"/>
    <w:pPr>
      <w:widowControl w:val="0"/>
      <w:autoSpaceDE w:val="0"/>
      <w:autoSpaceDN w:val="0"/>
      <w:adjustRightInd w:val="0"/>
      <w:spacing w:after="0" w:line="240" w:lineRule="auto"/>
      <w:ind w:left="548"/>
    </w:pPr>
    <w:rPr>
      <w:rFonts w:ascii="Times New Roman" w:eastAsiaTheme="minorEastAsia" w:hAnsi="Times New Roman" w:cs="Times New Roman"/>
      <w:sz w:val="24"/>
      <w:szCs w:val="24"/>
      <w:lang w:eastAsia="id-ID"/>
    </w:rPr>
  </w:style>
  <w:style w:type="character" w:customStyle="1" w:styleId="BodyTextChar">
    <w:name w:val="Body Text Char"/>
    <w:basedOn w:val="DefaultParagraphFont"/>
    <w:link w:val="BodyText"/>
    <w:uiPriority w:val="1"/>
    <w:rsid w:val="007923E4"/>
    <w:rPr>
      <w:rFonts w:ascii="Times New Roman" w:eastAsiaTheme="minorEastAsia" w:hAnsi="Times New Roman" w:cs="Times New Roman"/>
      <w:sz w:val="24"/>
      <w:szCs w:val="24"/>
      <w:lang w:eastAsia="id-ID"/>
    </w:rPr>
  </w:style>
  <w:style w:type="character" w:styleId="CommentReference">
    <w:name w:val="annotation reference"/>
    <w:basedOn w:val="DefaultParagraphFont"/>
    <w:uiPriority w:val="99"/>
    <w:semiHidden/>
    <w:unhideWhenUsed/>
    <w:rsid w:val="000445A3"/>
    <w:rPr>
      <w:sz w:val="16"/>
      <w:szCs w:val="16"/>
    </w:rPr>
  </w:style>
  <w:style w:type="paragraph" w:styleId="CommentText">
    <w:name w:val="annotation text"/>
    <w:basedOn w:val="Normal"/>
    <w:link w:val="CommentTextChar"/>
    <w:uiPriority w:val="99"/>
    <w:semiHidden/>
    <w:unhideWhenUsed/>
    <w:rsid w:val="000445A3"/>
    <w:pPr>
      <w:spacing w:line="240" w:lineRule="auto"/>
    </w:pPr>
    <w:rPr>
      <w:sz w:val="20"/>
      <w:szCs w:val="20"/>
    </w:rPr>
  </w:style>
  <w:style w:type="character" w:customStyle="1" w:styleId="CommentTextChar">
    <w:name w:val="Comment Text Char"/>
    <w:basedOn w:val="DefaultParagraphFont"/>
    <w:link w:val="CommentText"/>
    <w:uiPriority w:val="99"/>
    <w:semiHidden/>
    <w:rsid w:val="000445A3"/>
    <w:rPr>
      <w:sz w:val="20"/>
      <w:szCs w:val="20"/>
    </w:rPr>
  </w:style>
  <w:style w:type="paragraph" w:styleId="CommentSubject">
    <w:name w:val="annotation subject"/>
    <w:basedOn w:val="CommentText"/>
    <w:next w:val="CommentText"/>
    <w:link w:val="CommentSubjectChar"/>
    <w:uiPriority w:val="99"/>
    <w:semiHidden/>
    <w:unhideWhenUsed/>
    <w:rsid w:val="000445A3"/>
    <w:rPr>
      <w:b/>
      <w:bCs/>
    </w:rPr>
  </w:style>
  <w:style w:type="character" w:customStyle="1" w:styleId="CommentSubjectChar">
    <w:name w:val="Comment Subject Char"/>
    <w:basedOn w:val="CommentTextChar"/>
    <w:link w:val="CommentSubject"/>
    <w:uiPriority w:val="99"/>
    <w:semiHidden/>
    <w:rsid w:val="000445A3"/>
    <w:rPr>
      <w:b/>
      <w:bCs/>
      <w:sz w:val="20"/>
      <w:szCs w:val="20"/>
    </w:rPr>
  </w:style>
  <w:style w:type="paragraph" w:styleId="HTMLPreformatted">
    <w:name w:val="HTML Preformatted"/>
    <w:basedOn w:val="Normal"/>
    <w:link w:val="HTMLPreformattedChar"/>
    <w:uiPriority w:val="99"/>
    <w:unhideWhenUsed/>
    <w:rsid w:val="00335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35ABF"/>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03979">
      <w:bodyDiv w:val="1"/>
      <w:marLeft w:val="0"/>
      <w:marRight w:val="0"/>
      <w:marTop w:val="0"/>
      <w:marBottom w:val="0"/>
      <w:divBdr>
        <w:top w:val="none" w:sz="0" w:space="0" w:color="auto"/>
        <w:left w:val="none" w:sz="0" w:space="0" w:color="auto"/>
        <w:bottom w:val="none" w:sz="0" w:space="0" w:color="auto"/>
        <w:right w:val="none" w:sz="0" w:space="0" w:color="auto"/>
      </w:divBdr>
    </w:div>
    <w:div w:id="48643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revisi%20skripsi%20sena\BERAT%20BADAN%20TERBAR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visi%20skripsi%20sena\BERAT%20BADAN%20TERBARU.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visi%20skripsi%20sena\perubahan%20grafik%20deviasi%20sgot%20sgp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visi%20skripsi%20sena\perubahan%20grafik%20deviasi%20sgot%20sgp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revisi%20skripsi%20sena\perubahan%20grafik%20deviasi%20sgot%20sgp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revisi%20skripsi%20sena\perubahan%20grafik%20deviasi%20sgot%20sg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200">
                <a:latin typeface="Times New Roman" pitchFamily="18" charset="0"/>
                <a:cs typeface="Times New Roman" pitchFamily="18" charset="0"/>
              </a:rPr>
              <a:t>Hari</a:t>
            </a:r>
            <a:r>
              <a:rPr lang="en-US" sz="1200" baseline="0">
                <a:latin typeface="Times New Roman" pitchFamily="18" charset="0"/>
                <a:cs typeface="Times New Roman" pitchFamily="18" charset="0"/>
              </a:rPr>
              <a:t> ke-</a:t>
            </a:r>
            <a:endParaRPr lang="id-ID" sz="1200">
              <a:latin typeface="Times New Roman" pitchFamily="18" charset="0"/>
              <a:cs typeface="Times New Roman" pitchFamily="18" charset="0"/>
            </a:endParaRPr>
          </a:p>
        </c:rich>
      </c:tx>
      <c:layout>
        <c:manualLayout>
          <c:xMode val="edge"/>
          <c:yMode val="edge"/>
          <c:x val="0.81341461913119595"/>
          <c:y val="5.5646105631915166E-4"/>
        </c:manualLayout>
      </c:layout>
      <c:overlay val="1"/>
    </c:title>
    <c:autoTitleDeleted val="0"/>
    <c:plotArea>
      <c:layout>
        <c:manualLayout>
          <c:layoutTarget val="inner"/>
          <c:xMode val="edge"/>
          <c:yMode val="edge"/>
          <c:x val="0.11606061437442271"/>
          <c:y val="7.37440007172388E-2"/>
          <c:w val="0.61436235104758252"/>
          <c:h val="0.70411240982094481"/>
        </c:manualLayout>
      </c:layout>
      <c:barChart>
        <c:barDir val="col"/>
        <c:grouping val="clustered"/>
        <c:varyColors val="0"/>
        <c:ser>
          <c:idx val="0"/>
          <c:order val="0"/>
          <c:tx>
            <c:strRef>
              <c:f>Sheet1!$C$4:$C$5</c:f>
              <c:strCache>
                <c:ptCount val="1"/>
                <c:pt idx="0">
                  <c:v>1</c:v>
                </c:pt>
              </c:strCache>
            </c:strRef>
          </c:tx>
          <c:invertIfNegative val="0"/>
          <c:cat>
            <c:numRef>
              <c:f>Sheet1!$B$6:$B$9</c:f>
              <c:numCache>
                <c:formatCode>General</c:formatCode>
                <c:ptCount val="4"/>
                <c:pt idx="0">
                  <c:v>0</c:v>
                </c:pt>
                <c:pt idx="1">
                  <c:v>4</c:v>
                </c:pt>
                <c:pt idx="2">
                  <c:v>6</c:v>
                </c:pt>
                <c:pt idx="3">
                  <c:v>8</c:v>
                </c:pt>
              </c:numCache>
            </c:numRef>
          </c:cat>
          <c:val>
            <c:numRef>
              <c:f>Sheet1!$C$6:$C$9</c:f>
              <c:numCache>
                <c:formatCode>General</c:formatCode>
                <c:ptCount val="4"/>
                <c:pt idx="0">
                  <c:v>35.25</c:v>
                </c:pt>
                <c:pt idx="1">
                  <c:v>36.25</c:v>
                </c:pt>
                <c:pt idx="2">
                  <c:v>37.25</c:v>
                </c:pt>
                <c:pt idx="3">
                  <c:v>38.5</c:v>
                </c:pt>
              </c:numCache>
            </c:numRef>
          </c:val>
        </c:ser>
        <c:ser>
          <c:idx val="1"/>
          <c:order val="1"/>
          <c:tx>
            <c:strRef>
              <c:f>Sheet1!$D$4:$D$5</c:f>
              <c:strCache>
                <c:ptCount val="1"/>
                <c:pt idx="0">
                  <c:v>2</c:v>
                </c:pt>
              </c:strCache>
            </c:strRef>
          </c:tx>
          <c:invertIfNegative val="0"/>
          <c:cat>
            <c:numRef>
              <c:f>Sheet1!$B$6:$B$9</c:f>
              <c:numCache>
                <c:formatCode>General</c:formatCode>
                <c:ptCount val="4"/>
                <c:pt idx="0">
                  <c:v>0</c:v>
                </c:pt>
                <c:pt idx="1">
                  <c:v>4</c:v>
                </c:pt>
                <c:pt idx="2">
                  <c:v>6</c:v>
                </c:pt>
                <c:pt idx="3">
                  <c:v>8</c:v>
                </c:pt>
              </c:numCache>
            </c:numRef>
          </c:cat>
          <c:val>
            <c:numRef>
              <c:f>Sheet1!$D$6:$D$9</c:f>
              <c:numCache>
                <c:formatCode>General</c:formatCode>
                <c:ptCount val="4"/>
                <c:pt idx="0">
                  <c:v>35.25</c:v>
                </c:pt>
                <c:pt idx="1">
                  <c:v>36.25</c:v>
                </c:pt>
                <c:pt idx="2">
                  <c:v>37.25</c:v>
                </c:pt>
                <c:pt idx="3">
                  <c:v>38.5</c:v>
                </c:pt>
              </c:numCache>
            </c:numRef>
          </c:val>
        </c:ser>
        <c:ser>
          <c:idx val="2"/>
          <c:order val="2"/>
          <c:tx>
            <c:strRef>
              <c:f>Sheet1!$E$4:$E$5</c:f>
              <c:strCache>
                <c:ptCount val="1"/>
                <c:pt idx="0">
                  <c:v>3</c:v>
                </c:pt>
              </c:strCache>
            </c:strRef>
          </c:tx>
          <c:invertIfNegative val="0"/>
          <c:cat>
            <c:numRef>
              <c:f>Sheet1!$B$6:$B$9</c:f>
              <c:numCache>
                <c:formatCode>General</c:formatCode>
                <c:ptCount val="4"/>
                <c:pt idx="0">
                  <c:v>0</c:v>
                </c:pt>
                <c:pt idx="1">
                  <c:v>4</c:v>
                </c:pt>
                <c:pt idx="2">
                  <c:v>6</c:v>
                </c:pt>
                <c:pt idx="3">
                  <c:v>8</c:v>
                </c:pt>
              </c:numCache>
            </c:numRef>
          </c:cat>
          <c:val>
            <c:numRef>
              <c:f>Sheet1!$E$6:$E$9</c:f>
              <c:numCache>
                <c:formatCode>General</c:formatCode>
                <c:ptCount val="4"/>
                <c:pt idx="0">
                  <c:v>35.25</c:v>
                </c:pt>
                <c:pt idx="1">
                  <c:v>36.25</c:v>
                </c:pt>
                <c:pt idx="2">
                  <c:v>37.25</c:v>
                </c:pt>
                <c:pt idx="3">
                  <c:v>38.5</c:v>
                </c:pt>
              </c:numCache>
            </c:numRef>
          </c:val>
        </c:ser>
        <c:ser>
          <c:idx val="3"/>
          <c:order val="3"/>
          <c:tx>
            <c:strRef>
              <c:f>Sheet1!$F$4:$F$5</c:f>
              <c:strCache>
                <c:ptCount val="1"/>
                <c:pt idx="0">
                  <c:v>4</c:v>
                </c:pt>
              </c:strCache>
            </c:strRef>
          </c:tx>
          <c:invertIfNegative val="0"/>
          <c:cat>
            <c:numRef>
              <c:f>Sheet1!$B$6:$B$9</c:f>
              <c:numCache>
                <c:formatCode>General</c:formatCode>
                <c:ptCount val="4"/>
                <c:pt idx="0">
                  <c:v>0</c:v>
                </c:pt>
                <c:pt idx="1">
                  <c:v>4</c:v>
                </c:pt>
                <c:pt idx="2">
                  <c:v>6</c:v>
                </c:pt>
                <c:pt idx="3">
                  <c:v>8</c:v>
                </c:pt>
              </c:numCache>
            </c:numRef>
          </c:cat>
          <c:val>
            <c:numRef>
              <c:f>Sheet1!$F$6:$F$9</c:f>
              <c:numCache>
                <c:formatCode>General</c:formatCode>
                <c:ptCount val="4"/>
                <c:pt idx="0">
                  <c:v>35.25</c:v>
                </c:pt>
                <c:pt idx="1">
                  <c:v>36.25</c:v>
                </c:pt>
                <c:pt idx="2">
                  <c:v>37.25</c:v>
                </c:pt>
                <c:pt idx="3">
                  <c:v>38.5</c:v>
                </c:pt>
              </c:numCache>
            </c:numRef>
          </c:val>
        </c:ser>
        <c:ser>
          <c:idx val="4"/>
          <c:order val="4"/>
          <c:tx>
            <c:strRef>
              <c:f>Sheet1!$G$4:$G$5</c:f>
              <c:strCache>
                <c:ptCount val="1"/>
                <c:pt idx="0">
                  <c:v>5</c:v>
                </c:pt>
              </c:strCache>
            </c:strRef>
          </c:tx>
          <c:invertIfNegative val="0"/>
          <c:cat>
            <c:numRef>
              <c:f>Sheet1!$B$6:$B$9</c:f>
              <c:numCache>
                <c:formatCode>General</c:formatCode>
                <c:ptCount val="4"/>
                <c:pt idx="0">
                  <c:v>0</c:v>
                </c:pt>
                <c:pt idx="1">
                  <c:v>4</c:v>
                </c:pt>
                <c:pt idx="2">
                  <c:v>6</c:v>
                </c:pt>
                <c:pt idx="3">
                  <c:v>8</c:v>
                </c:pt>
              </c:numCache>
            </c:numRef>
          </c:cat>
          <c:val>
            <c:numRef>
              <c:f>Sheet1!$G$6:$G$9</c:f>
              <c:numCache>
                <c:formatCode>General</c:formatCode>
                <c:ptCount val="4"/>
                <c:pt idx="0">
                  <c:v>35.25</c:v>
                </c:pt>
                <c:pt idx="1">
                  <c:v>36.25</c:v>
                </c:pt>
                <c:pt idx="2">
                  <c:v>37.25</c:v>
                </c:pt>
                <c:pt idx="3">
                  <c:v>38.5</c:v>
                </c:pt>
              </c:numCache>
            </c:numRef>
          </c:val>
        </c:ser>
        <c:ser>
          <c:idx val="5"/>
          <c:order val="5"/>
          <c:tx>
            <c:strRef>
              <c:f>Sheet1!$H$4:$H$5</c:f>
              <c:strCache>
                <c:ptCount val="1"/>
                <c:pt idx="0">
                  <c:v>6</c:v>
                </c:pt>
              </c:strCache>
            </c:strRef>
          </c:tx>
          <c:invertIfNegative val="0"/>
          <c:cat>
            <c:numRef>
              <c:f>Sheet1!$B$6:$B$9</c:f>
              <c:numCache>
                <c:formatCode>General</c:formatCode>
                <c:ptCount val="4"/>
                <c:pt idx="0">
                  <c:v>0</c:v>
                </c:pt>
                <c:pt idx="1">
                  <c:v>4</c:v>
                </c:pt>
                <c:pt idx="2">
                  <c:v>6</c:v>
                </c:pt>
                <c:pt idx="3">
                  <c:v>8</c:v>
                </c:pt>
              </c:numCache>
            </c:numRef>
          </c:cat>
          <c:val>
            <c:numRef>
              <c:f>Sheet1!$H$6:$H$9</c:f>
              <c:numCache>
                <c:formatCode>General</c:formatCode>
                <c:ptCount val="4"/>
                <c:pt idx="0">
                  <c:v>35.25</c:v>
                </c:pt>
                <c:pt idx="1">
                  <c:v>36.5</c:v>
                </c:pt>
                <c:pt idx="2">
                  <c:v>37.25</c:v>
                </c:pt>
                <c:pt idx="3">
                  <c:v>38.5</c:v>
                </c:pt>
              </c:numCache>
            </c:numRef>
          </c:val>
        </c:ser>
        <c:ser>
          <c:idx val="6"/>
          <c:order val="6"/>
          <c:tx>
            <c:strRef>
              <c:f>Sheet1!$I$4:$I$5</c:f>
              <c:strCache>
                <c:ptCount val="1"/>
                <c:pt idx="0">
                  <c:v>7</c:v>
                </c:pt>
              </c:strCache>
            </c:strRef>
          </c:tx>
          <c:invertIfNegative val="0"/>
          <c:cat>
            <c:numRef>
              <c:f>Sheet1!$B$6:$B$9</c:f>
              <c:numCache>
                <c:formatCode>General</c:formatCode>
                <c:ptCount val="4"/>
                <c:pt idx="0">
                  <c:v>0</c:v>
                </c:pt>
                <c:pt idx="1">
                  <c:v>4</c:v>
                </c:pt>
                <c:pt idx="2">
                  <c:v>6</c:v>
                </c:pt>
                <c:pt idx="3">
                  <c:v>8</c:v>
                </c:pt>
              </c:numCache>
            </c:numRef>
          </c:cat>
          <c:val>
            <c:numRef>
              <c:f>Sheet1!$I$6:$I$9</c:f>
              <c:numCache>
                <c:formatCode>General</c:formatCode>
                <c:ptCount val="4"/>
                <c:pt idx="0">
                  <c:v>35.25</c:v>
                </c:pt>
                <c:pt idx="1">
                  <c:v>36.5</c:v>
                </c:pt>
                <c:pt idx="2">
                  <c:v>37.25</c:v>
                </c:pt>
                <c:pt idx="3">
                  <c:v>38.5</c:v>
                </c:pt>
              </c:numCache>
            </c:numRef>
          </c:val>
        </c:ser>
        <c:ser>
          <c:idx val="7"/>
          <c:order val="7"/>
          <c:tx>
            <c:strRef>
              <c:f>Sheet1!$J$4:$J$5</c:f>
              <c:strCache>
                <c:ptCount val="1"/>
                <c:pt idx="0">
                  <c:v>8</c:v>
                </c:pt>
              </c:strCache>
            </c:strRef>
          </c:tx>
          <c:invertIfNegative val="0"/>
          <c:cat>
            <c:numRef>
              <c:f>Sheet1!$B$6:$B$9</c:f>
              <c:numCache>
                <c:formatCode>General</c:formatCode>
                <c:ptCount val="4"/>
                <c:pt idx="0">
                  <c:v>0</c:v>
                </c:pt>
                <c:pt idx="1">
                  <c:v>4</c:v>
                </c:pt>
                <c:pt idx="2">
                  <c:v>6</c:v>
                </c:pt>
                <c:pt idx="3">
                  <c:v>8</c:v>
                </c:pt>
              </c:numCache>
            </c:numRef>
          </c:cat>
          <c:val>
            <c:numRef>
              <c:f>Sheet1!$J$6:$J$9</c:f>
              <c:numCache>
                <c:formatCode>General</c:formatCode>
                <c:ptCount val="4"/>
                <c:pt idx="0">
                  <c:v>35.5</c:v>
                </c:pt>
                <c:pt idx="1">
                  <c:v>36.5</c:v>
                </c:pt>
                <c:pt idx="2">
                  <c:v>37.25</c:v>
                </c:pt>
                <c:pt idx="3">
                  <c:v>38.75</c:v>
                </c:pt>
              </c:numCache>
            </c:numRef>
          </c:val>
        </c:ser>
        <c:ser>
          <c:idx val="8"/>
          <c:order val="8"/>
          <c:tx>
            <c:strRef>
              <c:f>Sheet1!$K$4:$K$5</c:f>
              <c:strCache>
                <c:ptCount val="1"/>
                <c:pt idx="0">
                  <c:v>9</c:v>
                </c:pt>
              </c:strCache>
            </c:strRef>
          </c:tx>
          <c:invertIfNegative val="0"/>
          <c:cat>
            <c:numRef>
              <c:f>Sheet1!$B$6:$B$9</c:f>
              <c:numCache>
                <c:formatCode>General</c:formatCode>
                <c:ptCount val="4"/>
                <c:pt idx="0">
                  <c:v>0</c:v>
                </c:pt>
                <c:pt idx="1">
                  <c:v>4</c:v>
                </c:pt>
                <c:pt idx="2">
                  <c:v>6</c:v>
                </c:pt>
                <c:pt idx="3">
                  <c:v>8</c:v>
                </c:pt>
              </c:numCache>
            </c:numRef>
          </c:cat>
          <c:val>
            <c:numRef>
              <c:f>Sheet1!$K$6:$K$9</c:f>
              <c:numCache>
                <c:formatCode>General</c:formatCode>
                <c:ptCount val="4"/>
                <c:pt idx="0">
                  <c:v>35.5</c:v>
                </c:pt>
                <c:pt idx="1">
                  <c:v>36.5</c:v>
                </c:pt>
                <c:pt idx="2">
                  <c:v>37.25</c:v>
                </c:pt>
                <c:pt idx="3">
                  <c:v>38.75</c:v>
                </c:pt>
              </c:numCache>
            </c:numRef>
          </c:val>
        </c:ser>
        <c:ser>
          <c:idx val="9"/>
          <c:order val="9"/>
          <c:tx>
            <c:strRef>
              <c:f>Sheet1!$L$4:$L$5</c:f>
              <c:strCache>
                <c:ptCount val="1"/>
                <c:pt idx="0">
                  <c:v>10</c:v>
                </c:pt>
              </c:strCache>
            </c:strRef>
          </c:tx>
          <c:invertIfNegative val="0"/>
          <c:cat>
            <c:numRef>
              <c:f>Sheet1!$B$6:$B$9</c:f>
              <c:numCache>
                <c:formatCode>General</c:formatCode>
                <c:ptCount val="4"/>
                <c:pt idx="0">
                  <c:v>0</c:v>
                </c:pt>
                <c:pt idx="1">
                  <c:v>4</c:v>
                </c:pt>
                <c:pt idx="2">
                  <c:v>6</c:v>
                </c:pt>
                <c:pt idx="3">
                  <c:v>8</c:v>
                </c:pt>
              </c:numCache>
            </c:numRef>
          </c:cat>
          <c:val>
            <c:numRef>
              <c:f>Sheet1!$L$6:$L$9</c:f>
              <c:numCache>
                <c:formatCode>General</c:formatCode>
                <c:ptCount val="4"/>
                <c:pt idx="0">
                  <c:v>35.5</c:v>
                </c:pt>
                <c:pt idx="1">
                  <c:v>36.5</c:v>
                </c:pt>
                <c:pt idx="2">
                  <c:v>37.25</c:v>
                </c:pt>
                <c:pt idx="3">
                  <c:v>38.75</c:v>
                </c:pt>
              </c:numCache>
            </c:numRef>
          </c:val>
        </c:ser>
        <c:ser>
          <c:idx val="10"/>
          <c:order val="10"/>
          <c:tx>
            <c:strRef>
              <c:f>Sheet1!$M$4:$M$5</c:f>
              <c:strCache>
                <c:ptCount val="1"/>
                <c:pt idx="0">
                  <c:v>11</c:v>
                </c:pt>
              </c:strCache>
            </c:strRef>
          </c:tx>
          <c:invertIfNegative val="0"/>
          <c:cat>
            <c:numRef>
              <c:f>Sheet1!$B$6:$B$9</c:f>
              <c:numCache>
                <c:formatCode>General</c:formatCode>
                <c:ptCount val="4"/>
                <c:pt idx="0">
                  <c:v>0</c:v>
                </c:pt>
                <c:pt idx="1">
                  <c:v>4</c:v>
                </c:pt>
                <c:pt idx="2">
                  <c:v>6</c:v>
                </c:pt>
                <c:pt idx="3">
                  <c:v>8</c:v>
                </c:pt>
              </c:numCache>
            </c:numRef>
          </c:cat>
          <c:val>
            <c:numRef>
              <c:f>Sheet1!$M$6:$M$9</c:f>
              <c:numCache>
                <c:formatCode>General</c:formatCode>
                <c:ptCount val="4"/>
                <c:pt idx="0">
                  <c:v>35.5</c:v>
                </c:pt>
                <c:pt idx="1">
                  <c:v>36.5</c:v>
                </c:pt>
                <c:pt idx="2">
                  <c:v>37.25</c:v>
                </c:pt>
                <c:pt idx="3">
                  <c:v>38.75</c:v>
                </c:pt>
              </c:numCache>
            </c:numRef>
          </c:val>
        </c:ser>
        <c:ser>
          <c:idx val="11"/>
          <c:order val="11"/>
          <c:tx>
            <c:strRef>
              <c:f>Sheet1!$N$4:$N$5</c:f>
              <c:strCache>
                <c:ptCount val="1"/>
                <c:pt idx="0">
                  <c:v>12</c:v>
                </c:pt>
              </c:strCache>
            </c:strRef>
          </c:tx>
          <c:invertIfNegative val="0"/>
          <c:cat>
            <c:numRef>
              <c:f>Sheet1!$B$6:$B$9</c:f>
              <c:numCache>
                <c:formatCode>General</c:formatCode>
                <c:ptCount val="4"/>
                <c:pt idx="0">
                  <c:v>0</c:v>
                </c:pt>
                <c:pt idx="1">
                  <c:v>4</c:v>
                </c:pt>
                <c:pt idx="2">
                  <c:v>6</c:v>
                </c:pt>
                <c:pt idx="3">
                  <c:v>8</c:v>
                </c:pt>
              </c:numCache>
            </c:numRef>
          </c:cat>
          <c:val>
            <c:numRef>
              <c:f>Sheet1!$N$6:$N$9</c:f>
              <c:numCache>
                <c:formatCode>General</c:formatCode>
                <c:ptCount val="4"/>
                <c:pt idx="0">
                  <c:v>35.5</c:v>
                </c:pt>
                <c:pt idx="1">
                  <c:v>36.5</c:v>
                </c:pt>
                <c:pt idx="2">
                  <c:v>37.25</c:v>
                </c:pt>
                <c:pt idx="3">
                  <c:v>38.75</c:v>
                </c:pt>
              </c:numCache>
            </c:numRef>
          </c:val>
        </c:ser>
        <c:ser>
          <c:idx val="12"/>
          <c:order val="12"/>
          <c:tx>
            <c:strRef>
              <c:f>Sheet1!$O$4:$O$5</c:f>
              <c:strCache>
                <c:ptCount val="1"/>
                <c:pt idx="0">
                  <c:v>13</c:v>
                </c:pt>
              </c:strCache>
            </c:strRef>
          </c:tx>
          <c:invertIfNegative val="0"/>
          <c:cat>
            <c:numRef>
              <c:f>Sheet1!$B$6:$B$9</c:f>
              <c:numCache>
                <c:formatCode>General</c:formatCode>
                <c:ptCount val="4"/>
                <c:pt idx="0">
                  <c:v>0</c:v>
                </c:pt>
                <c:pt idx="1">
                  <c:v>4</c:v>
                </c:pt>
                <c:pt idx="2">
                  <c:v>6</c:v>
                </c:pt>
                <c:pt idx="3">
                  <c:v>8</c:v>
                </c:pt>
              </c:numCache>
            </c:numRef>
          </c:cat>
          <c:val>
            <c:numRef>
              <c:f>Sheet1!$O$6:$O$9</c:f>
              <c:numCache>
                <c:formatCode>General</c:formatCode>
                <c:ptCount val="4"/>
                <c:pt idx="0">
                  <c:v>35.5</c:v>
                </c:pt>
                <c:pt idx="1">
                  <c:v>36.5</c:v>
                </c:pt>
                <c:pt idx="2">
                  <c:v>37.25</c:v>
                </c:pt>
                <c:pt idx="3">
                  <c:v>38.75</c:v>
                </c:pt>
              </c:numCache>
            </c:numRef>
          </c:val>
        </c:ser>
        <c:ser>
          <c:idx val="13"/>
          <c:order val="13"/>
          <c:tx>
            <c:strRef>
              <c:f>Sheet1!$P$4:$P$5</c:f>
              <c:strCache>
                <c:ptCount val="1"/>
                <c:pt idx="0">
                  <c:v>14</c:v>
                </c:pt>
              </c:strCache>
            </c:strRef>
          </c:tx>
          <c:invertIfNegative val="0"/>
          <c:cat>
            <c:numRef>
              <c:f>Sheet1!$B$6:$B$9</c:f>
              <c:numCache>
                <c:formatCode>General</c:formatCode>
                <c:ptCount val="4"/>
                <c:pt idx="0">
                  <c:v>0</c:v>
                </c:pt>
                <c:pt idx="1">
                  <c:v>4</c:v>
                </c:pt>
                <c:pt idx="2">
                  <c:v>6</c:v>
                </c:pt>
                <c:pt idx="3">
                  <c:v>8</c:v>
                </c:pt>
              </c:numCache>
            </c:numRef>
          </c:cat>
          <c:val>
            <c:numRef>
              <c:f>Sheet1!$P$6:$P$9</c:f>
              <c:numCache>
                <c:formatCode>General</c:formatCode>
                <c:ptCount val="4"/>
                <c:pt idx="0">
                  <c:v>35.5</c:v>
                </c:pt>
                <c:pt idx="1">
                  <c:v>36.5</c:v>
                </c:pt>
                <c:pt idx="2">
                  <c:v>38.25</c:v>
                </c:pt>
                <c:pt idx="3">
                  <c:v>38.75</c:v>
                </c:pt>
              </c:numCache>
            </c:numRef>
          </c:val>
        </c:ser>
        <c:ser>
          <c:idx val="14"/>
          <c:order val="14"/>
          <c:tx>
            <c:strRef>
              <c:f>Sheet1!$Q$4:$Q$5</c:f>
              <c:strCache>
                <c:ptCount val="1"/>
                <c:pt idx="0">
                  <c:v>15</c:v>
                </c:pt>
              </c:strCache>
            </c:strRef>
          </c:tx>
          <c:invertIfNegative val="0"/>
          <c:cat>
            <c:numRef>
              <c:f>Sheet1!$B$6:$B$9</c:f>
              <c:numCache>
                <c:formatCode>General</c:formatCode>
                <c:ptCount val="4"/>
                <c:pt idx="0">
                  <c:v>0</c:v>
                </c:pt>
                <c:pt idx="1">
                  <c:v>4</c:v>
                </c:pt>
                <c:pt idx="2">
                  <c:v>6</c:v>
                </c:pt>
                <c:pt idx="3">
                  <c:v>8</c:v>
                </c:pt>
              </c:numCache>
            </c:numRef>
          </c:cat>
          <c:val>
            <c:numRef>
              <c:f>Sheet1!$Q$6:$Q$9</c:f>
              <c:numCache>
                <c:formatCode>General</c:formatCode>
                <c:ptCount val="4"/>
                <c:pt idx="0">
                  <c:v>35.5</c:v>
                </c:pt>
                <c:pt idx="1">
                  <c:v>36.5</c:v>
                </c:pt>
                <c:pt idx="2">
                  <c:v>38.25</c:v>
                </c:pt>
                <c:pt idx="3">
                  <c:v>38.75</c:v>
                </c:pt>
              </c:numCache>
            </c:numRef>
          </c:val>
        </c:ser>
        <c:ser>
          <c:idx val="15"/>
          <c:order val="15"/>
          <c:tx>
            <c:strRef>
              <c:f>Sheet1!$R$4:$R$5</c:f>
              <c:strCache>
                <c:ptCount val="1"/>
                <c:pt idx="0">
                  <c:v>16</c:v>
                </c:pt>
              </c:strCache>
            </c:strRef>
          </c:tx>
          <c:invertIfNegative val="0"/>
          <c:cat>
            <c:numRef>
              <c:f>Sheet1!$B$6:$B$9</c:f>
              <c:numCache>
                <c:formatCode>General</c:formatCode>
                <c:ptCount val="4"/>
                <c:pt idx="0">
                  <c:v>0</c:v>
                </c:pt>
                <c:pt idx="1">
                  <c:v>4</c:v>
                </c:pt>
                <c:pt idx="2">
                  <c:v>6</c:v>
                </c:pt>
                <c:pt idx="3">
                  <c:v>8</c:v>
                </c:pt>
              </c:numCache>
            </c:numRef>
          </c:cat>
          <c:val>
            <c:numRef>
              <c:f>Sheet1!$R$6:$R$9</c:f>
              <c:numCache>
                <c:formatCode>General</c:formatCode>
                <c:ptCount val="4"/>
                <c:pt idx="0">
                  <c:v>35.5</c:v>
                </c:pt>
                <c:pt idx="1">
                  <c:v>36.5</c:v>
                </c:pt>
                <c:pt idx="2">
                  <c:v>38.25</c:v>
                </c:pt>
                <c:pt idx="3">
                  <c:v>38.75</c:v>
                </c:pt>
              </c:numCache>
            </c:numRef>
          </c:val>
        </c:ser>
        <c:ser>
          <c:idx val="16"/>
          <c:order val="16"/>
          <c:tx>
            <c:strRef>
              <c:f>Sheet1!$S$4:$S$5</c:f>
              <c:strCache>
                <c:ptCount val="1"/>
                <c:pt idx="0">
                  <c:v>17</c:v>
                </c:pt>
              </c:strCache>
            </c:strRef>
          </c:tx>
          <c:invertIfNegative val="0"/>
          <c:cat>
            <c:numRef>
              <c:f>Sheet1!$B$6:$B$9</c:f>
              <c:numCache>
                <c:formatCode>General</c:formatCode>
                <c:ptCount val="4"/>
                <c:pt idx="0">
                  <c:v>0</c:v>
                </c:pt>
                <c:pt idx="1">
                  <c:v>4</c:v>
                </c:pt>
                <c:pt idx="2">
                  <c:v>6</c:v>
                </c:pt>
                <c:pt idx="3">
                  <c:v>8</c:v>
                </c:pt>
              </c:numCache>
            </c:numRef>
          </c:cat>
          <c:val>
            <c:numRef>
              <c:f>Sheet1!$S$6:$S$9</c:f>
              <c:numCache>
                <c:formatCode>General</c:formatCode>
                <c:ptCount val="4"/>
                <c:pt idx="0">
                  <c:v>36.25</c:v>
                </c:pt>
                <c:pt idx="1">
                  <c:v>37.25</c:v>
                </c:pt>
                <c:pt idx="2">
                  <c:v>38.25</c:v>
                </c:pt>
                <c:pt idx="3">
                  <c:v>38.75</c:v>
                </c:pt>
              </c:numCache>
            </c:numRef>
          </c:val>
        </c:ser>
        <c:ser>
          <c:idx val="17"/>
          <c:order val="17"/>
          <c:tx>
            <c:strRef>
              <c:f>Sheet1!$T$4:$T$5</c:f>
              <c:strCache>
                <c:ptCount val="1"/>
                <c:pt idx="0">
                  <c:v>18</c:v>
                </c:pt>
              </c:strCache>
            </c:strRef>
          </c:tx>
          <c:invertIfNegative val="0"/>
          <c:cat>
            <c:numRef>
              <c:f>Sheet1!$B$6:$B$9</c:f>
              <c:numCache>
                <c:formatCode>General</c:formatCode>
                <c:ptCount val="4"/>
                <c:pt idx="0">
                  <c:v>0</c:v>
                </c:pt>
                <c:pt idx="1">
                  <c:v>4</c:v>
                </c:pt>
                <c:pt idx="2">
                  <c:v>6</c:v>
                </c:pt>
                <c:pt idx="3">
                  <c:v>8</c:v>
                </c:pt>
              </c:numCache>
            </c:numRef>
          </c:cat>
          <c:val>
            <c:numRef>
              <c:f>Sheet1!$T$6:$T$9</c:f>
              <c:numCache>
                <c:formatCode>General</c:formatCode>
                <c:ptCount val="4"/>
                <c:pt idx="0">
                  <c:v>36.25</c:v>
                </c:pt>
                <c:pt idx="1">
                  <c:v>37.25</c:v>
                </c:pt>
                <c:pt idx="2">
                  <c:v>38.25</c:v>
                </c:pt>
                <c:pt idx="3">
                  <c:v>39.5</c:v>
                </c:pt>
              </c:numCache>
            </c:numRef>
          </c:val>
        </c:ser>
        <c:ser>
          <c:idx val="18"/>
          <c:order val="18"/>
          <c:tx>
            <c:strRef>
              <c:f>Sheet1!$U$4:$U$5</c:f>
              <c:strCache>
                <c:ptCount val="1"/>
                <c:pt idx="0">
                  <c:v>19</c:v>
                </c:pt>
              </c:strCache>
            </c:strRef>
          </c:tx>
          <c:invertIfNegative val="0"/>
          <c:cat>
            <c:numRef>
              <c:f>Sheet1!$B$6:$B$9</c:f>
              <c:numCache>
                <c:formatCode>General</c:formatCode>
                <c:ptCount val="4"/>
                <c:pt idx="0">
                  <c:v>0</c:v>
                </c:pt>
                <c:pt idx="1">
                  <c:v>4</c:v>
                </c:pt>
                <c:pt idx="2">
                  <c:v>6</c:v>
                </c:pt>
                <c:pt idx="3">
                  <c:v>8</c:v>
                </c:pt>
              </c:numCache>
            </c:numRef>
          </c:cat>
          <c:val>
            <c:numRef>
              <c:f>Sheet1!$U$6:$U$9</c:f>
              <c:numCache>
                <c:formatCode>General</c:formatCode>
                <c:ptCount val="4"/>
                <c:pt idx="0">
                  <c:v>36.25</c:v>
                </c:pt>
                <c:pt idx="1">
                  <c:v>37.25</c:v>
                </c:pt>
                <c:pt idx="2">
                  <c:v>38.25</c:v>
                </c:pt>
                <c:pt idx="3">
                  <c:v>39.5</c:v>
                </c:pt>
              </c:numCache>
            </c:numRef>
          </c:val>
        </c:ser>
        <c:ser>
          <c:idx val="19"/>
          <c:order val="19"/>
          <c:tx>
            <c:strRef>
              <c:f>Sheet1!$V$4:$V$5</c:f>
              <c:strCache>
                <c:ptCount val="1"/>
                <c:pt idx="0">
                  <c:v>20</c:v>
                </c:pt>
              </c:strCache>
            </c:strRef>
          </c:tx>
          <c:invertIfNegative val="0"/>
          <c:cat>
            <c:numRef>
              <c:f>Sheet1!$B$6:$B$9</c:f>
              <c:numCache>
                <c:formatCode>General</c:formatCode>
                <c:ptCount val="4"/>
                <c:pt idx="0">
                  <c:v>0</c:v>
                </c:pt>
                <c:pt idx="1">
                  <c:v>4</c:v>
                </c:pt>
                <c:pt idx="2">
                  <c:v>6</c:v>
                </c:pt>
                <c:pt idx="3">
                  <c:v>8</c:v>
                </c:pt>
              </c:numCache>
            </c:numRef>
          </c:cat>
          <c:val>
            <c:numRef>
              <c:f>Sheet1!$V$6:$V$9</c:f>
              <c:numCache>
                <c:formatCode>General</c:formatCode>
                <c:ptCount val="4"/>
                <c:pt idx="0">
                  <c:v>36.25</c:v>
                </c:pt>
                <c:pt idx="1">
                  <c:v>37.25</c:v>
                </c:pt>
                <c:pt idx="2">
                  <c:v>38.25</c:v>
                </c:pt>
                <c:pt idx="3">
                  <c:v>39.5</c:v>
                </c:pt>
              </c:numCache>
            </c:numRef>
          </c:val>
        </c:ser>
        <c:ser>
          <c:idx val="20"/>
          <c:order val="20"/>
          <c:tx>
            <c:strRef>
              <c:f>Sheet1!$W$4:$W$5</c:f>
              <c:strCache>
                <c:ptCount val="1"/>
                <c:pt idx="0">
                  <c:v>21</c:v>
                </c:pt>
              </c:strCache>
            </c:strRef>
          </c:tx>
          <c:invertIfNegative val="0"/>
          <c:cat>
            <c:numRef>
              <c:f>Sheet1!$B$6:$B$9</c:f>
              <c:numCache>
                <c:formatCode>General</c:formatCode>
                <c:ptCount val="4"/>
                <c:pt idx="0">
                  <c:v>0</c:v>
                </c:pt>
                <c:pt idx="1">
                  <c:v>4</c:v>
                </c:pt>
                <c:pt idx="2">
                  <c:v>6</c:v>
                </c:pt>
                <c:pt idx="3">
                  <c:v>8</c:v>
                </c:pt>
              </c:numCache>
            </c:numRef>
          </c:cat>
          <c:val>
            <c:numRef>
              <c:f>Sheet1!$W$6:$W$9</c:f>
              <c:numCache>
                <c:formatCode>General</c:formatCode>
                <c:ptCount val="4"/>
                <c:pt idx="0">
                  <c:v>36.25</c:v>
                </c:pt>
                <c:pt idx="1">
                  <c:v>37.25</c:v>
                </c:pt>
                <c:pt idx="2">
                  <c:v>38.25</c:v>
                </c:pt>
                <c:pt idx="3">
                  <c:v>39.5</c:v>
                </c:pt>
              </c:numCache>
            </c:numRef>
          </c:val>
        </c:ser>
        <c:ser>
          <c:idx val="21"/>
          <c:order val="21"/>
          <c:tx>
            <c:strRef>
              <c:f>Sheet1!$X$4:$X$5</c:f>
              <c:strCache>
                <c:ptCount val="1"/>
                <c:pt idx="0">
                  <c:v>22</c:v>
                </c:pt>
              </c:strCache>
            </c:strRef>
          </c:tx>
          <c:invertIfNegative val="0"/>
          <c:cat>
            <c:numRef>
              <c:f>Sheet1!$B$6:$B$9</c:f>
              <c:numCache>
                <c:formatCode>General</c:formatCode>
                <c:ptCount val="4"/>
                <c:pt idx="0">
                  <c:v>0</c:v>
                </c:pt>
                <c:pt idx="1">
                  <c:v>4</c:v>
                </c:pt>
                <c:pt idx="2">
                  <c:v>6</c:v>
                </c:pt>
                <c:pt idx="3">
                  <c:v>8</c:v>
                </c:pt>
              </c:numCache>
            </c:numRef>
          </c:cat>
          <c:val>
            <c:numRef>
              <c:f>Sheet1!$X$6:$X$9</c:f>
              <c:numCache>
                <c:formatCode>General</c:formatCode>
                <c:ptCount val="4"/>
                <c:pt idx="0">
                  <c:v>36.25</c:v>
                </c:pt>
                <c:pt idx="1">
                  <c:v>37.25</c:v>
                </c:pt>
                <c:pt idx="2">
                  <c:v>38.25</c:v>
                </c:pt>
                <c:pt idx="3">
                  <c:v>39.5</c:v>
                </c:pt>
              </c:numCache>
            </c:numRef>
          </c:val>
        </c:ser>
        <c:ser>
          <c:idx val="22"/>
          <c:order val="22"/>
          <c:tx>
            <c:strRef>
              <c:f>Sheet1!$Y$4:$Y$5</c:f>
              <c:strCache>
                <c:ptCount val="1"/>
                <c:pt idx="0">
                  <c:v>23</c:v>
                </c:pt>
              </c:strCache>
            </c:strRef>
          </c:tx>
          <c:invertIfNegative val="0"/>
          <c:cat>
            <c:numRef>
              <c:f>Sheet1!$B$6:$B$9</c:f>
              <c:numCache>
                <c:formatCode>General</c:formatCode>
                <c:ptCount val="4"/>
                <c:pt idx="0">
                  <c:v>0</c:v>
                </c:pt>
                <c:pt idx="1">
                  <c:v>4</c:v>
                </c:pt>
                <c:pt idx="2">
                  <c:v>6</c:v>
                </c:pt>
                <c:pt idx="3">
                  <c:v>8</c:v>
                </c:pt>
              </c:numCache>
            </c:numRef>
          </c:cat>
          <c:val>
            <c:numRef>
              <c:f>Sheet1!$Y$6:$Y$9</c:f>
              <c:numCache>
                <c:formatCode>General</c:formatCode>
                <c:ptCount val="4"/>
                <c:pt idx="0">
                  <c:v>36.25</c:v>
                </c:pt>
                <c:pt idx="1">
                  <c:v>37.25</c:v>
                </c:pt>
                <c:pt idx="2">
                  <c:v>38.25</c:v>
                </c:pt>
                <c:pt idx="3">
                  <c:v>39.5</c:v>
                </c:pt>
              </c:numCache>
            </c:numRef>
          </c:val>
        </c:ser>
        <c:ser>
          <c:idx val="23"/>
          <c:order val="23"/>
          <c:tx>
            <c:strRef>
              <c:f>Sheet1!$Z$4:$Z$5</c:f>
              <c:strCache>
                <c:ptCount val="1"/>
                <c:pt idx="0">
                  <c:v>24</c:v>
                </c:pt>
              </c:strCache>
            </c:strRef>
          </c:tx>
          <c:invertIfNegative val="0"/>
          <c:cat>
            <c:numRef>
              <c:f>Sheet1!$B$6:$B$9</c:f>
              <c:numCache>
                <c:formatCode>General</c:formatCode>
                <c:ptCount val="4"/>
                <c:pt idx="0">
                  <c:v>0</c:v>
                </c:pt>
                <c:pt idx="1">
                  <c:v>4</c:v>
                </c:pt>
                <c:pt idx="2">
                  <c:v>6</c:v>
                </c:pt>
                <c:pt idx="3">
                  <c:v>8</c:v>
                </c:pt>
              </c:numCache>
            </c:numRef>
          </c:cat>
          <c:val>
            <c:numRef>
              <c:f>Sheet1!$Z$6:$Z$9</c:f>
              <c:numCache>
                <c:formatCode>General</c:formatCode>
                <c:ptCount val="4"/>
                <c:pt idx="0">
                  <c:v>36.25</c:v>
                </c:pt>
                <c:pt idx="1">
                  <c:v>37.25</c:v>
                </c:pt>
                <c:pt idx="2">
                  <c:v>38.25</c:v>
                </c:pt>
                <c:pt idx="3">
                  <c:v>39.5</c:v>
                </c:pt>
              </c:numCache>
            </c:numRef>
          </c:val>
        </c:ser>
        <c:ser>
          <c:idx val="24"/>
          <c:order val="24"/>
          <c:tx>
            <c:strRef>
              <c:f>Sheet1!$AA$4:$AA$5</c:f>
              <c:strCache>
                <c:ptCount val="1"/>
                <c:pt idx="0">
                  <c:v>25</c:v>
                </c:pt>
              </c:strCache>
            </c:strRef>
          </c:tx>
          <c:invertIfNegative val="0"/>
          <c:cat>
            <c:numRef>
              <c:f>Sheet1!$B$6:$B$9</c:f>
              <c:numCache>
                <c:formatCode>General</c:formatCode>
                <c:ptCount val="4"/>
                <c:pt idx="0">
                  <c:v>0</c:v>
                </c:pt>
                <c:pt idx="1">
                  <c:v>4</c:v>
                </c:pt>
                <c:pt idx="2">
                  <c:v>6</c:v>
                </c:pt>
                <c:pt idx="3">
                  <c:v>8</c:v>
                </c:pt>
              </c:numCache>
            </c:numRef>
          </c:cat>
          <c:val>
            <c:numRef>
              <c:f>Sheet1!$AA$6:$AA$9</c:f>
              <c:numCache>
                <c:formatCode>General</c:formatCode>
                <c:ptCount val="4"/>
                <c:pt idx="0">
                  <c:v>36.25</c:v>
                </c:pt>
                <c:pt idx="1">
                  <c:v>37.25</c:v>
                </c:pt>
                <c:pt idx="2">
                  <c:v>38.25</c:v>
                </c:pt>
                <c:pt idx="3">
                  <c:v>39.5</c:v>
                </c:pt>
              </c:numCache>
            </c:numRef>
          </c:val>
        </c:ser>
        <c:ser>
          <c:idx val="25"/>
          <c:order val="25"/>
          <c:tx>
            <c:strRef>
              <c:f>Sheet1!$AB$4:$AB$5</c:f>
              <c:strCache>
                <c:ptCount val="1"/>
                <c:pt idx="0">
                  <c:v>26</c:v>
                </c:pt>
              </c:strCache>
            </c:strRef>
          </c:tx>
          <c:invertIfNegative val="0"/>
          <c:cat>
            <c:numRef>
              <c:f>Sheet1!$B$6:$B$9</c:f>
              <c:numCache>
                <c:formatCode>General</c:formatCode>
                <c:ptCount val="4"/>
                <c:pt idx="0">
                  <c:v>0</c:v>
                </c:pt>
                <c:pt idx="1">
                  <c:v>4</c:v>
                </c:pt>
                <c:pt idx="2">
                  <c:v>6</c:v>
                </c:pt>
                <c:pt idx="3">
                  <c:v>8</c:v>
                </c:pt>
              </c:numCache>
            </c:numRef>
          </c:cat>
          <c:val>
            <c:numRef>
              <c:f>Sheet1!$AB$6:$AB$9</c:f>
              <c:numCache>
                <c:formatCode>General</c:formatCode>
                <c:ptCount val="4"/>
                <c:pt idx="0">
                  <c:v>36.25</c:v>
                </c:pt>
                <c:pt idx="1">
                  <c:v>37.25</c:v>
                </c:pt>
                <c:pt idx="2">
                  <c:v>38.25</c:v>
                </c:pt>
                <c:pt idx="3">
                  <c:v>39.5</c:v>
                </c:pt>
              </c:numCache>
            </c:numRef>
          </c:val>
        </c:ser>
        <c:ser>
          <c:idx val="26"/>
          <c:order val="26"/>
          <c:tx>
            <c:strRef>
              <c:f>Sheet1!$AC$4:$AC$5</c:f>
              <c:strCache>
                <c:ptCount val="1"/>
                <c:pt idx="0">
                  <c:v>27</c:v>
                </c:pt>
              </c:strCache>
            </c:strRef>
          </c:tx>
          <c:invertIfNegative val="0"/>
          <c:cat>
            <c:numRef>
              <c:f>Sheet1!$B$6:$B$9</c:f>
              <c:numCache>
                <c:formatCode>General</c:formatCode>
                <c:ptCount val="4"/>
                <c:pt idx="0">
                  <c:v>0</c:v>
                </c:pt>
                <c:pt idx="1">
                  <c:v>4</c:v>
                </c:pt>
                <c:pt idx="2">
                  <c:v>6</c:v>
                </c:pt>
                <c:pt idx="3">
                  <c:v>8</c:v>
                </c:pt>
              </c:numCache>
            </c:numRef>
          </c:cat>
          <c:val>
            <c:numRef>
              <c:f>Sheet1!$AC$6:$AC$9</c:f>
              <c:numCache>
                <c:formatCode>General</c:formatCode>
                <c:ptCount val="4"/>
                <c:pt idx="0">
                  <c:v>36.25</c:v>
                </c:pt>
                <c:pt idx="1">
                  <c:v>37.25</c:v>
                </c:pt>
                <c:pt idx="2">
                  <c:v>38.25</c:v>
                </c:pt>
                <c:pt idx="3">
                  <c:v>39.5</c:v>
                </c:pt>
              </c:numCache>
            </c:numRef>
          </c:val>
        </c:ser>
        <c:ser>
          <c:idx val="27"/>
          <c:order val="27"/>
          <c:tx>
            <c:strRef>
              <c:f>Sheet1!$AD$4:$AD$5</c:f>
              <c:strCache>
                <c:ptCount val="1"/>
                <c:pt idx="0">
                  <c:v>28</c:v>
                </c:pt>
              </c:strCache>
            </c:strRef>
          </c:tx>
          <c:invertIfNegative val="0"/>
          <c:cat>
            <c:numRef>
              <c:f>Sheet1!$B$6:$B$9</c:f>
              <c:numCache>
                <c:formatCode>General</c:formatCode>
                <c:ptCount val="4"/>
                <c:pt idx="0">
                  <c:v>0</c:v>
                </c:pt>
                <c:pt idx="1">
                  <c:v>4</c:v>
                </c:pt>
                <c:pt idx="2">
                  <c:v>6</c:v>
                </c:pt>
                <c:pt idx="3">
                  <c:v>8</c:v>
                </c:pt>
              </c:numCache>
            </c:numRef>
          </c:cat>
          <c:val>
            <c:numRef>
              <c:f>Sheet1!$AD$6:$AD$9</c:f>
              <c:numCache>
                <c:formatCode>General</c:formatCode>
                <c:ptCount val="4"/>
                <c:pt idx="0">
                  <c:v>36.25</c:v>
                </c:pt>
                <c:pt idx="1">
                  <c:v>37.25</c:v>
                </c:pt>
                <c:pt idx="2">
                  <c:v>38.25</c:v>
                </c:pt>
                <c:pt idx="3">
                  <c:v>39.5</c:v>
                </c:pt>
              </c:numCache>
            </c:numRef>
          </c:val>
        </c:ser>
        <c:dLbls>
          <c:showLegendKey val="0"/>
          <c:showVal val="0"/>
          <c:showCatName val="0"/>
          <c:showSerName val="0"/>
          <c:showPercent val="0"/>
          <c:showBubbleSize val="0"/>
        </c:dLbls>
        <c:gapWidth val="150"/>
        <c:axId val="1998186160"/>
        <c:axId val="1998188880"/>
      </c:barChart>
      <c:catAx>
        <c:axId val="1998186160"/>
        <c:scaling>
          <c:orientation val="minMax"/>
        </c:scaling>
        <c:delete val="0"/>
        <c:axPos val="b"/>
        <c:title>
          <c:tx>
            <c:rich>
              <a:bodyPr/>
              <a:lstStyle/>
              <a:p>
                <a:pPr>
                  <a:defRPr lang="en-US"/>
                </a:pPr>
                <a:r>
                  <a:rPr lang="en-US" sz="1200">
                    <a:latin typeface="Times New Roman" pitchFamily="18" charset="0"/>
                    <a:cs typeface="Times New Roman" pitchFamily="18" charset="0"/>
                  </a:rPr>
                  <a:t>Konsentrasi ekstrak biji pepaya 'California' (%)</a:t>
                </a:r>
                <a:endParaRPr lang="id-ID" sz="1200">
                  <a:latin typeface="Times New Roman" pitchFamily="18" charset="0"/>
                  <a:cs typeface="Times New Roman" pitchFamily="18" charset="0"/>
                </a:endParaRPr>
              </a:p>
            </c:rich>
          </c:tx>
          <c:layout>
            <c:manualLayout>
              <c:xMode val="edge"/>
              <c:yMode val="edge"/>
              <c:x val="0.12938883136473636"/>
              <c:y val="0.90089605093801761"/>
            </c:manualLayout>
          </c:layout>
          <c:overlay val="0"/>
        </c:title>
        <c:numFmt formatCode="General" sourceLinked="1"/>
        <c:majorTickMark val="none"/>
        <c:minorTickMark val="none"/>
        <c:tickLblPos val="nextTo"/>
        <c:txPr>
          <a:bodyPr/>
          <a:lstStyle/>
          <a:p>
            <a:pPr>
              <a:defRPr lang="en-US"/>
            </a:pPr>
            <a:endParaRPr lang="en-US"/>
          </a:p>
        </c:txPr>
        <c:crossAx val="1998188880"/>
        <c:crosses val="autoZero"/>
        <c:auto val="1"/>
        <c:lblAlgn val="ctr"/>
        <c:lblOffset val="100"/>
        <c:noMultiLvlLbl val="0"/>
      </c:catAx>
      <c:valAx>
        <c:axId val="1998188880"/>
        <c:scaling>
          <c:orientation val="minMax"/>
        </c:scaling>
        <c:delete val="0"/>
        <c:axPos val="l"/>
        <c:majorGridlines/>
        <c:title>
          <c:tx>
            <c:rich>
              <a:bodyPr rot="-5400000" vert="horz"/>
              <a:lstStyle/>
              <a:p>
                <a:pPr>
                  <a:defRPr lang="en-US"/>
                </a:pPr>
                <a:r>
                  <a:rPr lang="en-US" sz="1200">
                    <a:latin typeface="Times New Roman" pitchFamily="18" charset="0"/>
                    <a:cs typeface="Times New Roman" pitchFamily="18" charset="0"/>
                  </a:rPr>
                  <a:t>Berat</a:t>
                </a:r>
                <a:r>
                  <a:rPr lang="en-US" sz="1200" baseline="0">
                    <a:latin typeface="Times New Roman" pitchFamily="18" charset="0"/>
                    <a:cs typeface="Times New Roman" pitchFamily="18" charset="0"/>
                  </a:rPr>
                  <a:t> Badan (g</a:t>
                </a:r>
                <a:r>
                  <a:rPr lang="en-US" baseline="0"/>
                  <a:t>)</a:t>
                </a:r>
                <a:endParaRPr lang="id-ID"/>
              </a:p>
            </c:rich>
          </c:tx>
          <c:layout>
            <c:manualLayout>
              <c:xMode val="edge"/>
              <c:yMode val="edge"/>
              <c:x val="1.5836739919705165E-2"/>
              <c:y val="0.1609540474107404"/>
            </c:manualLayout>
          </c:layout>
          <c:overlay val="0"/>
        </c:title>
        <c:numFmt formatCode="General" sourceLinked="1"/>
        <c:majorTickMark val="none"/>
        <c:minorTickMark val="none"/>
        <c:tickLblPos val="nextTo"/>
        <c:txPr>
          <a:bodyPr/>
          <a:lstStyle/>
          <a:p>
            <a:pPr>
              <a:defRPr lang="en-US"/>
            </a:pPr>
            <a:endParaRPr lang="en-US"/>
          </a:p>
        </c:txPr>
        <c:crossAx val="1998186160"/>
        <c:crosses val="autoZero"/>
        <c:crossBetween val="between"/>
      </c:valAx>
    </c:plotArea>
    <c:legend>
      <c:legendPos val="r"/>
      <c:layout>
        <c:manualLayout>
          <c:xMode val="edge"/>
          <c:yMode val="edge"/>
          <c:x val="0.73650397848924587"/>
          <c:y val="0.10142652349044569"/>
          <c:w val="0.2613565188103979"/>
          <c:h val="0.79701304767179382"/>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200">
                <a:latin typeface="Times New Roman" pitchFamily="18" charset="0"/>
                <a:cs typeface="Times New Roman" pitchFamily="18" charset="0"/>
              </a:rPr>
              <a:t>Hari</a:t>
            </a:r>
            <a:r>
              <a:rPr lang="en-US" sz="1200" baseline="0">
                <a:latin typeface="Times New Roman" pitchFamily="18" charset="0"/>
                <a:cs typeface="Times New Roman" pitchFamily="18" charset="0"/>
              </a:rPr>
              <a:t> ke-</a:t>
            </a:r>
            <a:endParaRPr lang="id-ID" sz="1200">
              <a:latin typeface="Times New Roman" pitchFamily="18" charset="0"/>
              <a:cs typeface="Times New Roman" pitchFamily="18" charset="0"/>
            </a:endParaRPr>
          </a:p>
        </c:rich>
      </c:tx>
      <c:layout>
        <c:manualLayout>
          <c:xMode val="edge"/>
          <c:yMode val="edge"/>
          <c:x val="0.80861062944749262"/>
          <c:y val="4.6851131560362046E-2"/>
        </c:manualLayout>
      </c:layout>
      <c:overlay val="1"/>
    </c:title>
    <c:autoTitleDeleted val="0"/>
    <c:plotArea>
      <c:layout>
        <c:manualLayout>
          <c:layoutTarget val="inner"/>
          <c:xMode val="edge"/>
          <c:yMode val="edge"/>
          <c:x val="0.11768973518029052"/>
          <c:y val="6.8586628189773929E-2"/>
          <c:w val="0.6039743713933996"/>
          <c:h val="0.72101633683622246"/>
        </c:manualLayout>
      </c:layout>
      <c:barChart>
        <c:barDir val="col"/>
        <c:grouping val="clustered"/>
        <c:varyColors val="0"/>
        <c:ser>
          <c:idx val="0"/>
          <c:order val="0"/>
          <c:tx>
            <c:strRef>
              <c:f>Sheet1!$C$30:$C$31</c:f>
              <c:strCache>
                <c:ptCount val="1"/>
                <c:pt idx="0">
                  <c:v>1</c:v>
                </c:pt>
              </c:strCache>
            </c:strRef>
          </c:tx>
          <c:invertIfNegative val="0"/>
          <c:cat>
            <c:numRef>
              <c:f>Sheet1!$B$32:$B$35</c:f>
              <c:numCache>
                <c:formatCode>General</c:formatCode>
                <c:ptCount val="4"/>
                <c:pt idx="0">
                  <c:v>0</c:v>
                </c:pt>
                <c:pt idx="1">
                  <c:v>4</c:v>
                </c:pt>
                <c:pt idx="2">
                  <c:v>6</c:v>
                </c:pt>
                <c:pt idx="3">
                  <c:v>8</c:v>
                </c:pt>
              </c:numCache>
            </c:numRef>
          </c:cat>
          <c:val>
            <c:numRef>
              <c:f>Sheet1!$C$32:$C$35</c:f>
              <c:numCache>
                <c:formatCode>General</c:formatCode>
                <c:ptCount val="4"/>
                <c:pt idx="0">
                  <c:v>35.5</c:v>
                </c:pt>
                <c:pt idx="1">
                  <c:v>35.75</c:v>
                </c:pt>
                <c:pt idx="2">
                  <c:v>36.25</c:v>
                </c:pt>
                <c:pt idx="3">
                  <c:v>37.25</c:v>
                </c:pt>
              </c:numCache>
            </c:numRef>
          </c:val>
        </c:ser>
        <c:ser>
          <c:idx val="1"/>
          <c:order val="1"/>
          <c:tx>
            <c:strRef>
              <c:f>Sheet1!$D$30:$D$31</c:f>
              <c:strCache>
                <c:ptCount val="1"/>
                <c:pt idx="0">
                  <c:v>2</c:v>
                </c:pt>
              </c:strCache>
            </c:strRef>
          </c:tx>
          <c:invertIfNegative val="0"/>
          <c:cat>
            <c:numRef>
              <c:f>Sheet1!$B$32:$B$35</c:f>
              <c:numCache>
                <c:formatCode>General</c:formatCode>
                <c:ptCount val="4"/>
                <c:pt idx="0">
                  <c:v>0</c:v>
                </c:pt>
                <c:pt idx="1">
                  <c:v>4</c:v>
                </c:pt>
                <c:pt idx="2">
                  <c:v>6</c:v>
                </c:pt>
                <c:pt idx="3">
                  <c:v>8</c:v>
                </c:pt>
              </c:numCache>
            </c:numRef>
          </c:cat>
          <c:val>
            <c:numRef>
              <c:f>Sheet1!$D$32:$D$35</c:f>
              <c:numCache>
                <c:formatCode>General</c:formatCode>
                <c:ptCount val="4"/>
                <c:pt idx="0">
                  <c:v>35.5</c:v>
                </c:pt>
                <c:pt idx="1">
                  <c:v>35.75</c:v>
                </c:pt>
                <c:pt idx="2">
                  <c:v>36.25</c:v>
                </c:pt>
                <c:pt idx="3">
                  <c:v>37.25</c:v>
                </c:pt>
              </c:numCache>
            </c:numRef>
          </c:val>
        </c:ser>
        <c:ser>
          <c:idx val="2"/>
          <c:order val="2"/>
          <c:tx>
            <c:strRef>
              <c:f>Sheet1!$E$30:$E$31</c:f>
              <c:strCache>
                <c:ptCount val="1"/>
                <c:pt idx="0">
                  <c:v>3</c:v>
                </c:pt>
              </c:strCache>
            </c:strRef>
          </c:tx>
          <c:invertIfNegative val="0"/>
          <c:cat>
            <c:numRef>
              <c:f>Sheet1!$B$32:$B$35</c:f>
              <c:numCache>
                <c:formatCode>General</c:formatCode>
                <c:ptCount val="4"/>
                <c:pt idx="0">
                  <c:v>0</c:v>
                </c:pt>
                <c:pt idx="1">
                  <c:v>4</c:v>
                </c:pt>
                <c:pt idx="2">
                  <c:v>6</c:v>
                </c:pt>
                <c:pt idx="3">
                  <c:v>8</c:v>
                </c:pt>
              </c:numCache>
            </c:numRef>
          </c:cat>
          <c:val>
            <c:numRef>
              <c:f>Sheet1!$E$32:$E$35</c:f>
              <c:numCache>
                <c:formatCode>General</c:formatCode>
                <c:ptCount val="4"/>
                <c:pt idx="0">
                  <c:v>35.5</c:v>
                </c:pt>
                <c:pt idx="1">
                  <c:v>35.75</c:v>
                </c:pt>
                <c:pt idx="2">
                  <c:v>36.25</c:v>
                </c:pt>
                <c:pt idx="3">
                  <c:v>37.25</c:v>
                </c:pt>
              </c:numCache>
            </c:numRef>
          </c:val>
        </c:ser>
        <c:ser>
          <c:idx val="3"/>
          <c:order val="3"/>
          <c:tx>
            <c:strRef>
              <c:f>Sheet1!$F$30:$F$31</c:f>
              <c:strCache>
                <c:ptCount val="1"/>
                <c:pt idx="0">
                  <c:v>4</c:v>
                </c:pt>
              </c:strCache>
            </c:strRef>
          </c:tx>
          <c:invertIfNegative val="0"/>
          <c:cat>
            <c:numRef>
              <c:f>Sheet1!$B$32:$B$35</c:f>
              <c:numCache>
                <c:formatCode>General</c:formatCode>
                <c:ptCount val="4"/>
                <c:pt idx="0">
                  <c:v>0</c:v>
                </c:pt>
                <c:pt idx="1">
                  <c:v>4</c:v>
                </c:pt>
                <c:pt idx="2">
                  <c:v>6</c:v>
                </c:pt>
                <c:pt idx="3">
                  <c:v>8</c:v>
                </c:pt>
              </c:numCache>
            </c:numRef>
          </c:cat>
          <c:val>
            <c:numRef>
              <c:f>Sheet1!$F$32:$F$35</c:f>
              <c:numCache>
                <c:formatCode>General</c:formatCode>
                <c:ptCount val="4"/>
                <c:pt idx="0">
                  <c:v>35.75</c:v>
                </c:pt>
                <c:pt idx="1">
                  <c:v>35.75</c:v>
                </c:pt>
                <c:pt idx="2">
                  <c:v>36.25</c:v>
                </c:pt>
                <c:pt idx="3">
                  <c:v>37.25</c:v>
                </c:pt>
              </c:numCache>
            </c:numRef>
          </c:val>
        </c:ser>
        <c:ser>
          <c:idx val="4"/>
          <c:order val="4"/>
          <c:tx>
            <c:strRef>
              <c:f>Sheet1!$G$30:$G$31</c:f>
              <c:strCache>
                <c:ptCount val="1"/>
                <c:pt idx="0">
                  <c:v>5</c:v>
                </c:pt>
              </c:strCache>
            </c:strRef>
          </c:tx>
          <c:invertIfNegative val="0"/>
          <c:cat>
            <c:numRef>
              <c:f>Sheet1!$B$32:$B$35</c:f>
              <c:numCache>
                <c:formatCode>General</c:formatCode>
                <c:ptCount val="4"/>
                <c:pt idx="0">
                  <c:v>0</c:v>
                </c:pt>
                <c:pt idx="1">
                  <c:v>4</c:v>
                </c:pt>
                <c:pt idx="2">
                  <c:v>6</c:v>
                </c:pt>
                <c:pt idx="3">
                  <c:v>8</c:v>
                </c:pt>
              </c:numCache>
            </c:numRef>
          </c:cat>
          <c:val>
            <c:numRef>
              <c:f>Sheet1!$G$32:$G$35</c:f>
              <c:numCache>
                <c:formatCode>General</c:formatCode>
                <c:ptCount val="4"/>
                <c:pt idx="0">
                  <c:v>35.75</c:v>
                </c:pt>
                <c:pt idx="1">
                  <c:v>35.75</c:v>
                </c:pt>
                <c:pt idx="2">
                  <c:v>36.25</c:v>
                </c:pt>
                <c:pt idx="3">
                  <c:v>37.25</c:v>
                </c:pt>
              </c:numCache>
            </c:numRef>
          </c:val>
        </c:ser>
        <c:ser>
          <c:idx val="5"/>
          <c:order val="5"/>
          <c:tx>
            <c:strRef>
              <c:f>Sheet1!$H$30:$H$31</c:f>
              <c:strCache>
                <c:ptCount val="1"/>
                <c:pt idx="0">
                  <c:v>6</c:v>
                </c:pt>
              </c:strCache>
            </c:strRef>
          </c:tx>
          <c:invertIfNegative val="0"/>
          <c:cat>
            <c:numRef>
              <c:f>Sheet1!$B$32:$B$35</c:f>
              <c:numCache>
                <c:formatCode>General</c:formatCode>
                <c:ptCount val="4"/>
                <c:pt idx="0">
                  <c:v>0</c:v>
                </c:pt>
                <c:pt idx="1">
                  <c:v>4</c:v>
                </c:pt>
                <c:pt idx="2">
                  <c:v>6</c:v>
                </c:pt>
                <c:pt idx="3">
                  <c:v>8</c:v>
                </c:pt>
              </c:numCache>
            </c:numRef>
          </c:cat>
          <c:val>
            <c:numRef>
              <c:f>Sheet1!$H$32:$H$35</c:f>
              <c:numCache>
                <c:formatCode>General</c:formatCode>
                <c:ptCount val="4"/>
                <c:pt idx="0">
                  <c:v>35.75</c:v>
                </c:pt>
                <c:pt idx="1">
                  <c:v>35.75</c:v>
                </c:pt>
                <c:pt idx="2">
                  <c:v>36.25</c:v>
                </c:pt>
                <c:pt idx="3">
                  <c:v>37.25</c:v>
                </c:pt>
              </c:numCache>
            </c:numRef>
          </c:val>
        </c:ser>
        <c:ser>
          <c:idx val="6"/>
          <c:order val="6"/>
          <c:tx>
            <c:strRef>
              <c:f>Sheet1!$I$30:$I$31</c:f>
              <c:strCache>
                <c:ptCount val="1"/>
                <c:pt idx="0">
                  <c:v>7</c:v>
                </c:pt>
              </c:strCache>
            </c:strRef>
          </c:tx>
          <c:invertIfNegative val="0"/>
          <c:cat>
            <c:numRef>
              <c:f>Sheet1!$B$32:$B$35</c:f>
              <c:numCache>
                <c:formatCode>General</c:formatCode>
                <c:ptCount val="4"/>
                <c:pt idx="0">
                  <c:v>0</c:v>
                </c:pt>
                <c:pt idx="1">
                  <c:v>4</c:v>
                </c:pt>
                <c:pt idx="2">
                  <c:v>6</c:v>
                </c:pt>
                <c:pt idx="3">
                  <c:v>8</c:v>
                </c:pt>
              </c:numCache>
            </c:numRef>
          </c:cat>
          <c:val>
            <c:numRef>
              <c:f>Sheet1!$I$32:$I$35</c:f>
              <c:numCache>
                <c:formatCode>General</c:formatCode>
                <c:ptCount val="4"/>
                <c:pt idx="0">
                  <c:v>35.75</c:v>
                </c:pt>
                <c:pt idx="1">
                  <c:v>35.75</c:v>
                </c:pt>
                <c:pt idx="2">
                  <c:v>36.25</c:v>
                </c:pt>
                <c:pt idx="3">
                  <c:v>37.25</c:v>
                </c:pt>
              </c:numCache>
            </c:numRef>
          </c:val>
        </c:ser>
        <c:ser>
          <c:idx val="7"/>
          <c:order val="7"/>
          <c:tx>
            <c:strRef>
              <c:f>Sheet1!$J$30:$J$31</c:f>
              <c:strCache>
                <c:ptCount val="1"/>
                <c:pt idx="0">
                  <c:v>8</c:v>
                </c:pt>
              </c:strCache>
            </c:strRef>
          </c:tx>
          <c:invertIfNegative val="0"/>
          <c:cat>
            <c:numRef>
              <c:f>Sheet1!$B$32:$B$35</c:f>
              <c:numCache>
                <c:formatCode>General</c:formatCode>
                <c:ptCount val="4"/>
                <c:pt idx="0">
                  <c:v>0</c:v>
                </c:pt>
                <c:pt idx="1">
                  <c:v>4</c:v>
                </c:pt>
                <c:pt idx="2">
                  <c:v>6</c:v>
                </c:pt>
                <c:pt idx="3">
                  <c:v>8</c:v>
                </c:pt>
              </c:numCache>
            </c:numRef>
          </c:cat>
          <c:val>
            <c:numRef>
              <c:f>Sheet1!$J$32:$J$35</c:f>
              <c:numCache>
                <c:formatCode>General</c:formatCode>
                <c:ptCount val="4"/>
                <c:pt idx="0">
                  <c:v>35.75</c:v>
                </c:pt>
                <c:pt idx="1">
                  <c:v>35.75</c:v>
                </c:pt>
                <c:pt idx="2">
                  <c:v>36.25</c:v>
                </c:pt>
                <c:pt idx="3">
                  <c:v>37.25</c:v>
                </c:pt>
              </c:numCache>
            </c:numRef>
          </c:val>
        </c:ser>
        <c:ser>
          <c:idx val="8"/>
          <c:order val="8"/>
          <c:tx>
            <c:strRef>
              <c:f>Sheet1!$K$30:$K$31</c:f>
              <c:strCache>
                <c:ptCount val="1"/>
                <c:pt idx="0">
                  <c:v>9</c:v>
                </c:pt>
              </c:strCache>
            </c:strRef>
          </c:tx>
          <c:invertIfNegative val="0"/>
          <c:cat>
            <c:numRef>
              <c:f>Sheet1!$B$32:$B$35</c:f>
              <c:numCache>
                <c:formatCode>General</c:formatCode>
                <c:ptCount val="4"/>
                <c:pt idx="0">
                  <c:v>0</c:v>
                </c:pt>
                <c:pt idx="1">
                  <c:v>4</c:v>
                </c:pt>
                <c:pt idx="2">
                  <c:v>6</c:v>
                </c:pt>
                <c:pt idx="3">
                  <c:v>8</c:v>
                </c:pt>
              </c:numCache>
            </c:numRef>
          </c:cat>
          <c:val>
            <c:numRef>
              <c:f>Sheet1!$K$32:$K$35</c:f>
              <c:numCache>
                <c:formatCode>General</c:formatCode>
                <c:ptCount val="4"/>
                <c:pt idx="0">
                  <c:v>35.75</c:v>
                </c:pt>
                <c:pt idx="1">
                  <c:v>36.25</c:v>
                </c:pt>
                <c:pt idx="2">
                  <c:v>36.25</c:v>
                </c:pt>
                <c:pt idx="3">
                  <c:v>37.25</c:v>
                </c:pt>
              </c:numCache>
            </c:numRef>
          </c:val>
        </c:ser>
        <c:ser>
          <c:idx val="9"/>
          <c:order val="9"/>
          <c:tx>
            <c:strRef>
              <c:f>Sheet1!$L$30:$L$31</c:f>
              <c:strCache>
                <c:ptCount val="1"/>
                <c:pt idx="0">
                  <c:v>10</c:v>
                </c:pt>
              </c:strCache>
            </c:strRef>
          </c:tx>
          <c:invertIfNegative val="0"/>
          <c:cat>
            <c:numRef>
              <c:f>Sheet1!$B$32:$B$35</c:f>
              <c:numCache>
                <c:formatCode>General</c:formatCode>
                <c:ptCount val="4"/>
                <c:pt idx="0">
                  <c:v>0</c:v>
                </c:pt>
                <c:pt idx="1">
                  <c:v>4</c:v>
                </c:pt>
                <c:pt idx="2">
                  <c:v>6</c:v>
                </c:pt>
                <c:pt idx="3">
                  <c:v>8</c:v>
                </c:pt>
              </c:numCache>
            </c:numRef>
          </c:cat>
          <c:val>
            <c:numRef>
              <c:f>Sheet1!$L$32:$L$35</c:f>
              <c:numCache>
                <c:formatCode>General</c:formatCode>
                <c:ptCount val="4"/>
                <c:pt idx="0">
                  <c:v>35.75</c:v>
                </c:pt>
                <c:pt idx="1">
                  <c:v>36.25</c:v>
                </c:pt>
                <c:pt idx="2">
                  <c:v>36.5</c:v>
                </c:pt>
                <c:pt idx="3">
                  <c:v>37.5</c:v>
                </c:pt>
              </c:numCache>
            </c:numRef>
          </c:val>
        </c:ser>
        <c:ser>
          <c:idx val="10"/>
          <c:order val="10"/>
          <c:tx>
            <c:strRef>
              <c:f>Sheet1!$M$30:$M$31</c:f>
              <c:strCache>
                <c:ptCount val="1"/>
                <c:pt idx="0">
                  <c:v>11</c:v>
                </c:pt>
              </c:strCache>
            </c:strRef>
          </c:tx>
          <c:invertIfNegative val="0"/>
          <c:cat>
            <c:numRef>
              <c:f>Sheet1!$B$32:$B$35</c:f>
              <c:numCache>
                <c:formatCode>General</c:formatCode>
                <c:ptCount val="4"/>
                <c:pt idx="0">
                  <c:v>0</c:v>
                </c:pt>
                <c:pt idx="1">
                  <c:v>4</c:v>
                </c:pt>
                <c:pt idx="2">
                  <c:v>6</c:v>
                </c:pt>
                <c:pt idx="3">
                  <c:v>8</c:v>
                </c:pt>
              </c:numCache>
            </c:numRef>
          </c:cat>
          <c:val>
            <c:numRef>
              <c:f>Sheet1!$M$32:$M$35</c:f>
              <c:numCache>
                <c:formatCode>General</c:formatCode>
                <c:ptCount val="4"/>
                <c:pt idx="0">
                  <c:v>35.75</c:v>
                </c:pt>
                <c:pt idx="1">
                  <c:v>36.25</c:v>
                </c:pt>
                <c:pt idx="2">
                  <c:v>36.5</c:v>
                </c:pt>
                <c:pt idx="3">
                  <c:v>37.5</c:v>
                </c:pt>
              </c:numCache>
            </c:numRef>
          </c:val>
        </c:ser>
        <c:ser>
          <c:idx val="11"/>
          <c:order val="11"/>
          <c:tx>
            <c:strRef>
              <c:f>Sheet1!$N$30:$N$31</c:f>
              <c:strCache>
                <c:ptCount val="1"/>
                <c:pt idx="0">
                  <c:v>12</c:v>
                </c:pt>
              </c:strCache>
            </c:strRef>
          </c:tx>
          <c:invertIfNegative val="0"/>
          <c:cat>
            <c:numRef>
              <c:f>Sheet1!$B$32:$B$35</c:f>
              <c:numCache>
                <c:formatCode>General</c:formatCode>
                <c:ptCount val="4"/>
                <c:pt idx="0">
                  <c:v>0</c:v>
                </c:pt>
                <c:pt idx="1">
                  <c:v>4</c:v>
                </c:pt>
                <c:pt idx="2">
                  <c:v>6</c:v>
                </c:pt>
                <c:pt idx="3">
                  <c:v>8</c:v>
                </c:pt>
              </c:numCache>
            </c:numRef>
          </c:cat>
          <c:val>
            <c:numRef>
              <c:f>Sheet1!$N$32:$N$35</c:f>
              <c:numCache>
                <c:formatCode>General</c:formatCode>
                <c:ptCount val="4"/>
                <c:pt idx="0">
                  <c:v>35.75</c:v>
                </c:pt>
                <c:pt idx="1">
                  <c:v>36.25</c:v>
                </c:pt>
                <c:pt idx="2">
                  <c:v>36.5</c:v>
                </c:pt>
                <c:pt idx="3">
                  <c:v>37.5</c:v>
                </c:pt>
              </c:numCache>
            </c:numRef>
          </c:val>
        </c:ser>
        <c:ser>
          <c:idx val="12"/>
          <c:order val="12"/>
          <c:tx>
            <c:strRef>
              <c:f>Sheet1!$O$30:$O$31</c:f>
              <c:strCache>
                <c:ptCount val="1"/>
                <c:pt idx="0">
                  <c:v>13</c:v>
                </c:pt>
              </c:strCache>
            </c:strRef>
          </c:tx>
          <c:invertIfNegative val="0"/>
          <c:cat>
            <c:numRef>
              <c:f>Sheet1!$B$32:$B$35</c:f>
              <c:numCache>
                <c:formatCode>General</c:formatCode>
                <c:ptCount val="4"/>
                <c:pt idx="0">
                  <c:v>0</c:v>
                </c:pt>
                <c:pt idx="1">
                  <c:v>4</c:v>
                </c:pt>
                <c:pt idx="2">
                  <c:v>6</c:v>
                </c:pt>
                <c:pt idx="3">
                  <c:v>8</c:v>
                </c:pt>
              </c:numCache>
            </c:numRef>
          </c:cat>
          <c:val>
            <c:numRef>
              <c:f>Sheet1!$O$32:$O$35</c:f>
              <c:numCache>
                <c:formatCode>General</c:formatCode>
                <c:ptCount val="4"/>
                <c:pt idx="0">
                  <c:v>35.75</c:v>
                </c:pt>
                <c:pt idx="1">
                  <c:v>36.25</c:v>
                </c:pt>
                <c:pt idx="2">
                  <c:v>36.5</c:v>
                </c:pt>
                <c:pt idx="3">
                  <c:v>37.5</c:v>
                </c:pt>
              </c:numCache>
            </c:numRef>
          </c:val>
        </c:ser>
        <c:ser>
          <c:idx val="13"/>
          <c:order val="13"/>
          <c:tx>
            <c:strRef>
              <c:f>Sheet1!$P$30:$P$31</c:f>
              <c:strCache>
                <c:ptCount val="1"/>
                <c:pt idx="0">
                  <c:v>14</c:v>
                </c:pt>
              </c:strCache>
            </c:strRef>
          </c:tx>
          <c:invertIfNegative val="0"/>
          <c:cat>
            <c:numRef>
              <c:f>Sheet1!$B$32:$B$35</c:f>
              <c:numCache>
                <c:formatCode>General</c:formatCode>
                <c:ptCount val="4"/>
                <c:pt idx="0">
                  <c:v>0</c:v>
                </c:pt>
                <c:pt idx="1">
                  <c:v>4</c:v>
                </c:pt>
                <c:pt idx="2">
                  <c:v>6</c:v>
                </c:pt>
                <c:pt idx="3">
                  <c:v>8</c:v>
                </c:pt>
              </c:numCache>
            </c:numRef>
          </c:cat>
          <c:val>
            <c:numRef>
              <c:f>Sheet1!$P$32:$P$35</c:f>
              <c:numCache>
                <c:formatCode>General</c:formatCode>
                <c:ptCount val="4"/>
                <c:pt idx="0">
                  <c:v>35.75</c:v>
                </c:pt>
                <c:pt idx="1">
                  <c:v>36.25</c:v>
                </c:pt>
                <c:pt idx="2">
                  <c:v>36.5</c:v>
                </c:pt>
                <c:pt idx="3">
                  <c:v>37.5</c:v>
                </c:pt>
              </c:numCache>
            </c:numRef>
          </c:val>
        </c:ser>
        <c:ser>
          <c:idx val="14"/>
          <c:order val="14"/>
          <c:tx>
            <c:strRef>
              <c:f>Sheet1!$Q$30:$Q$31</c:f>
              <c:strCache>
                <c:ptCount val="1"/>
                <c:pt idx="0">
                  <c:v>15</c:v>
                </c:pt>
              </c:strCache>
            </c:strRef>
          </c:tx>
          <c:invertIfNegative val="0"/>
          <c:cat>
            <c:numRef>
              <c:f>Sheet1!$B$32:$B$35</c:f>
              <c:numCache>
                <c:formatCode>General</c:formatCode>
                <c:ptCount val="4"/>
                <c:pt idx="0">
                  <c:v>0</c:v>
                </c:pt>
                <c:pt idx="1">
                  <c:v>4</c:v>
                </c:pt>
                <c:pt idx="2">
                  <c:v>6</c:v>
                </c:pt>
                <c:pt idx="3">
                  <c:v>8</c:v>
                </c:pt>
              </c:numCache>
            </c:numRef>
          </c:cat>
          <c:val>
            <c:numRef>
              <c:f>Sheet1!$Q$32:$Q$35</c:f>
              <c:numCache>
                <c:formatCode>General</c:formatCode>
                <c:ptCount val="4"/>
                <c:pt idx="0">
                  <c:v>35.75</c:v>
                </c:pt>
                <c:pt idx="1">
                  <c:v>36.25</c:v>
                </c:pt>
                <c:pt idx="2">
                  <c:v>36.5</c:v>
                </c:pt>
                <c:pt idx="3">
                  <c:v>37.5</c:v>
                </c:pt>
              </c:numCache>
            </c:numRef>
          </c:val>
        </c:ser>
        <c:ser>
          <c:idx val="15"/>
          <c:order val="15"/>
          <c:tx>
            <c:strRef>
              <c:f>Sheet1!$R$30:$R$31</c:f>
              <c:strCache>
                <c:ptCount val="1"/>
                <c:pt idx="0">
                  <c:v>16</c:v>
                </c:pt>
              </c:strCache>
            </c:strRef>
          </c:tx>
          <c:invertIfNegative val="0"/>
          <c:cat>
            <c:numRef>
              <c:f>Sheet1!$B$32:$B$35</c:f>
              <c:numCache>
                <c:formatCode>General</c:formatCode>
                <c:ptCount val="4"/>
                <c:pt idx="0">
                  <c:v>0</c:v>
                </c:pt>
                <c:pt idx="1">
                  <c:v>4</c:v>
                </c:pt>
                <c:pt idx="2">
                  <c:v>6</c:v>
                </c:pt>
                <c:pt idx="3">
                  <c:v>8</c:v>
                </c:pt>
              </c:numCache>
            </c:numRef>
          </c:cat>
          <c:val>
            <c:numRef>
              <c:f>Sheet1!$R$32:$R$35</c:f>
              <c:numCache>
                <c:formatCode>General</c:formatCode>
                <c:ptCount val="4"/>
                <c:pt idx="0">
                  <c:v>35.75</c:v>
                </c:pt>
                <c:pt idx="1">
                  <c:v>36.25</c:v>
                </c:pt>
                <c:pt idx="2">
                  <c:v>36.5</c:v>
                </c:pt>
                <c:pt idx="3">
                  <c:v>37.5</c:v>
                </c:pt>
              </c:numCache>
            </c:numRef>
          </c:val>
        </c:ser>
        <c:ser>
          <c:idx val="16"/>
          <c:order val="16"/>
          <c:tx>
            <c:strRef>
              <c:f>Sheet1!$S$30:$S$31</c:f>
              <c:strCache>
                <c:ptCount val="1"/>
                <c:pt idx="0">
                  <c:v>17</c:v>
                </c:pt>
              </c:strCache>
            </c:strRef>
          </c:tx>
          <c:invertIfNegative val="0"/>
          <c:cat>
            <c:numRef>
              <c:f>Sheet1!$B$32:$B$35</c:f>
              <c:numCache>
                <c:formatCode>General</c:formatCode>
                <c:ptCount val="4"/>
                <c:pt idx="0">
                  <c:v>0</c:v>
                </c:pt>
                <c:pt idx="1">
                  <c:v>4</c:v>
                </c:pt>
                <c:pt idx="2">
                  <c:v>6</c:v>
                </c:pt>
                <c:pt idx="3">
                  <c:v>8</c:v>
                </c:pt>
              </c:numCache>
            </c:numRef>
          </c:cat>
          <c:val>
            <c:numRef>
              <c:f>Sheet1!$S$32:$S$35</c:f>
              <c:numCache>
                <c:formatCode>General</c:formatCode>
                <c:ptCount val="4"/>
                <c:pt idx="0">
                  <c:v>36.25</c:v>
                </c:pt>
                <c:pt idx="1">
                  <c:v>36.25</c:v>
                </c:pt>
                <c:pt idx="2">
                  <c:v>37.25</c:v>
                </c:pt>
                <c:pt idx="3">
                  <c:v>37.5</c:v>
                </c:pt>
              </c:numCache>
            </c:numRef>
          </c:val>
        </c:ser>
        <c:ser>
          <c:idx val="17"/>
          <c:order val="17"/>
          <c:tx>
            <c:strRef>
              <c:f>Sheet1!$T$30:$T$31</c:f>
              <c:strCache>
                <c:ptCount val="1"/>
                <c:pt idx="0">
                  <c:v>18</c:v>
                </c:pt>
              </c:strCache>
            </c:strRef>
          </c:tx>
          <c:invertIfNegative val="0"/>
          <c:cat>
            <c:numRef>
              <c:f>Sheet1!$B$32:$B$35</c:f>
              <c:numCache>
                <c:formatCode>General</c:formatCode>
                <c:ptCount val="4"/>
                <c:pt idx="0">
                  <c:v>0</c:v>
                </c:pt>
                <c:pt idx="1">
                  <c:v>4</c:v>
                </c:pt>
                <c:pt idx="2">
                  <c:v>6</c:v>
                </c:pt>
                <c:pt idx="3">
                  <c:v>8</c:v>
                </c:pt>
              </c:numCache>
            </c:numRef>
          </c:cat>
          <c:val>
            <c:numRef>
              <c:f>Sheet1!$T$32:$T$35</c:f>
              <c:numCache>
                <c:formatCode>General</c:formatCode>
                <c:ptCount val="4"/>
                <c:pt idx="0">
                  <c:v>36.25</c:v>
                </c:pt>
                <c:pt idx="1">
                  <c:v>36.5</c:v>
                </c:pt>
                <c:pt idx="2">
                  <c:v>37.25</c:v>
                </c:pt>
                <c:pt idx="3">
                  <c:v>37.5</c:v>
                </c:pt>
              </c:numCache>
            </c:numRef>
          </c:val>
        </c:ser>
        <c:ser>
          <c:idx val="18"/>
          <c:order val="18"/>
          <c:tx>
            <c:strRef>
              <c:f>Sheet1!$U$30:$U$31</c:f>
              <c:strCache>
                <c:ptCount val="1"/>
                <c:pt idx="0">
                  <c:v>19</c:v>
                </c:pt>
              </c:strCache>
            </c:strRef>
          </c:tx>
          <c:invertIfNegative val="0"/>
          <c:cat>
            <c:numRef>
              <c:f>Sheet1!$B$32:$B$35</c:f>
              <c:numCache>
                <c:formatCode>General</c:formatCode>
                <c:ptCount val="4"/>
                <c:pt idx="0">
                  <c:v>0</c:v>
                </c:pt>
                <c:pt idx="1">
                  <c:v>4</c:v>
                </c:pt>
                <c:pt idx="2">
                  <c:v>6</c:v>
                </c:pt>
                <c:pt idx="3">
                  <c:v>8</c:v>
                </c:pt>
              </c:numCache>
            </c:numRef>
          </c:cat>
          <c:val>
            <c:numRef>
              <c:f>Sheet1!$U$32:$U$35</c:f>
              <c:numCache>
                <c:formatCode>General</c:formatCode>
                <c:ptCount val="4"/>
                <c:pt idx="0">
                  <c:v>36.25</c:v>
                </c:pt>
                <c:pt idx="1">
                  <c:v>36.5</c:v>
                </c:pt>
                <c:pt idx="2">
                  <c:v>37.25</c:v>
                </c:pt>
                <c:pt idx="3">
                  <c:v>37.75</c:v>
                </c:pt>
              </c:numCache>
            </c:numRef>
          </c:val>
        </c:ser>
        <c:ser>
          <c:idx val="19"/>
          <c:order val="19"/>
          <c:tx>
            <c:strRef>
              <c:f>Sheet1!$V$30:$V$31</c:f>
              <c:strCache>
                <c:ptCount val="1"/>
                <c:pt idx="0">
                  <c:v>20</c:v>
                </c:pt>
              </c:strCache>
            </c:strRef>
          </c:tx>
          <c:invertIfNegative val="0"/>
          <c:cat>
            <c:numRef>
              <c:f>Sheet1!$B$32:$B$35</c:f>
              <c:numCache>
                <c:formatCode>General</c:formatCode>
                <c:ptCount val="4"/>
                <c:pt idx="0">
                  <c:v>0</c:v>
                </c:pt>
                <c:pt idx="1">
                  <c:v>4</c:v>
                </c:pt>
                <c:pt idx="2">
                  <c:v>6</c:v>
                </c:pt>
                <c:pt idx="3">
                  <c:v>8</c:v>
                </c:pt>
              </c:numCache>
            </c:numRef>
          </c:cat>
          <c:val>
            <c:numRef>
              <c:f>Sheet1!$V$32:$V$35</c:f>
              <c:numCache>
                <c:formatCode>General</c:formatCode>
                <c:ptCount val="4"/>
                <c:pt idx="0">
                  <c:v>36.25</c:v>
                </c:pt>
                <c:pt idx="1">
                  <c:v>36.5</c:v>
                </c:pt>
                <c:pt idx="2">
                  <c:v>37.25</c:v>
                </c:pt>
                <c:pt idx="3">
                  <c:v>37.75</c:v>
                </c:pt>
              </c:numCache>
            </c:numRef>
          </c:val>
        </c:ser>
        <c:ser>
          <c:idx val="20"/>
          <c:order val="20"/>
          <c:tx>
            <c:strRef>
              <c:f>Sheet1!$W$30:$W$31</c:f>
              <c:strCache>
                <c:ptCount val="1"/>
                <c:pt idx="0">
                  <c:v>21</c:v>
                </c:pt>
              </c:strCache>
            </c:strRef>
          </c:tx>
          <c:invertIfNegative val="0"/>
          <c:cat>
            <c:numRef>
              <c:f>Sheet1!$B$32:$B$35</c:f>
              <c:numCache>
                <c:formatCode>General</c:formatCode>
                <c:ptCount val="4"/>
                <c:pt idx="0">
                  <c:v>0</c:v>
                </c:pt>
                <c:pt idx="1">
                  <c:v>4</c:v>
                </c:pt>
                <c:pt idx="2">
                  <c:v>6</c:v>
                </c:pt>
                <c:pt idx="3">
                  <c:v>8</c:v>
                </c:pt>
              </c:numCache>
            </c:numRef>
          </c:cat>
          <c:val>
            <c:numRef>
              <c:f>Sheet1!$W$32:$W$35</c:f>
              <c:numCache>
                <c:formatCode>General</c:formatCode>
                <c:ptCount val="4"/>
                <c:pt idx="0">
                  <c:v>36.25</c:v>
                </c:pt>
                <c:pt idx="1">
                  <c:v>36.5</c:v>
                </c:pt>
                <c:pt idx="2">
                  <c:v>37.25</c:v>
                </c:pt>
                <c:pt idx="3">
                  <c:v>37.75</c:v>
                </c:pt>
              </c:numCache>
            </c:numRef>
          </c:val>
        </c:ser>
        <c:ser>
          <c:idx val="21"/>
          <c:order val="21"/>
          <c:tx>
            <c:strRef>
              <c:f>Sheet1!$X$30:$X$31</c:f>
              <c:strCache>
                <c:ptCount val="1"/>
                <c:pt idx="0">
                  <c:v>22</c:v>
                </c:pt>
              </c:strCache>
            </c:strRef>
          </c:tx>
          <c:invertIfNegative val="0"/>
          <c:cat>
            <c:numRef>
              <c:f>Sheet1!$B$32:$B$35</c:f>
              <c:numCache>
                <c:formatCode>General</c:formatCode>
                <c:ptCount val="4"/>
                <c:pt idx="0">
                  <c:v>0</c:v>
                </c:pt>
                <c:pt idx="1">
                  <c:v>4</c:v>
                </c:pt>
                <c:pt idx="2">
                  <c:v>6</c:v>
                </c:pt>
                <c:pt idx="3">
                  <c:v>8</c:v>
                </c:pt>
              </c:numCache>
            </c:numRef>
          </c:cat>
          <c:val>
            <c:numRef>
              <c:f>Sheet1!$X$32:$X$35</c:f>
              <c:numCache>
                <c:formatCode>General</c:formatCode>
                <c:ptCount val="4"/>
                <c:pt idx="0">
                  <c:v>36.25</c:v>
                </c:pt>
                <c:pt idx="1">
                  <c:v>36.5</c:v>
                </c:pt>
                <c:pt idx="2">
                  <c:v>37.25</c:v>
                </c:pt>
                <c:pt idx="3">
                  <c:v>37.75</c:v>
                </c:pt>
              </c:numCache>
            </c:numRef>
          </c:val>
        </c:ser>
        <c:ser>
          <c:idx val="22"/>
          <c:order val="22"/>
          <c:tx>
            <c:strRef>
              <c:f>Sheet1!$Y$30:$Y$31</c:f>
              <c:strCache>
                <c:ptCount val="1"/>
                <c:pt idx="0">
                  <c:v>23</c:v>
                </c:pt>
              </c:strCache>
            </c:strRef>
          </c:tx>
          <c:invertIfNegative val="0"/>
          <c:cat>
            <c:numRef>
              <c:f>Sheet1!$B$32:$B$35</c:f>
              <c:numCache>
                <c:formatCode>General</c:formatCode>
                <c:ptCount val="4"/>
                <c:pt idx="0">
                  <c:v>0</c:v>
                </c:pt>
                <c:pt idx="1">
                  <c:v>4</c:v>
                </c:pt>
                <c:pt idx="2">
                  <c:v>6</c:v>
                </c:pt>
                <c:pt idx="3">
                  <c:v>8</c:v>
                </c:pt>
              </c:numCache>
            </c:numRef>
          </c:cat>
          <c:val>
            <c:numRef>
              <c:f>Sheet1!$Y$32:$Y$35</c:f>
              <c:numCache>
                <c:formatCode>General</c:formatCode>
                <c:ptCount val="4"/>
                <c:pt idx="0">
                  <c:v>36.25</c:v>
                </c:pt>
                <c:pt idx="1">
                  <c:v>36.5</c:v>
                </c:pt>
                <c:pt idx="2">
                  <c:v>37.25</c:v>
                </c:pt>
                <c:pt idx="3">
                  <c:v>37.75</c:v>
                </c:pt>
              </c:numCache>
            </c:numRef>
          </c:val>
        </c:ser>
        <c:ser>
          <c:idx val="23"/>
          <c:order val="23"/>
          <c:tx>
            <c:strRef>
              <c:f>Sheet1!$Z$30:$Z$31</c:f>
              <c:strCache>
                <c:ptCount val="1"/>
                <c:pt idx="0">
                  <c:v>24</c:v>
                </c:pt>
              </c:strCache>
            </c:strRef>
          </c:tx>
          <c:invertIfNegative val="0"/>
          <c:cat>
            <c:numRef>
              <c:f>Sheet1!$B$32:$B$35</c:f>
              <c:numCache>
                <c:formatCode>General</c:formatCode>
                <c:ptCount val="4"/>
                <c:pt idx="0">
                  <c:v>0</c:v>
                </c:pt>
                <c:pt idx="1">
                  <c:v>4</c:v>
                </c:pt>
                <c:pt idx="2">
                  <c:v>6</c:v>
                </c:pt>
                <c:pt idx="3">
                  <c:v>8</c:v>
                </c:pt>
              </c:numCache>
            </c:numRef>
          </c:cat>
          <c:val>
            <c:numRef>
              <c:f>Sheet1!$Z$32:$Z$35</c:f>
              <c:numCache>
                <c:formatCode>General</c:formatCode>
                <c:ptCount val="4"/>
                <c:pt idx="0">
                  <c:v>36.25</c:v>
                </c:pt>
                <c:pt idx="1">
                  <c:v>36.5</c:v>
                </c:pt>
                <c:pt idx="2">
                  <c:v>37.25</c:v>
                </c:pt>
                <c:pt idx="3">
                  <c:v>37.75</c:v>
                </c:pt>
              </c:numCache>
            </c:numRef>
          </c:val>
        </c:ser>
        <c:ser>
          <c:idx val="24"/>
          <c:order val="24"/>
          <c:tx>
            <c:strRef>
              <c:f>Sheet1!$AA$30:$AA$31</c:f>
              <c:strCache>
                <c:ptCount val="1"/>
                <c:pt idx="0">
                  <c:v>25</c:v>
                </c:pt>
              </c:strCache>
            </c:strRef>
          </c:tx>
          <c:invertIfNegative val="0"/>
          <c:cat>
            <c:numRef>
              <c:f>Sheet1!$B$32:$B$35</c:f>
              <c:numCache>
                <c:formatCode>General</c:formatCode>
                <c:ptCount val="4"/>
                <c:pt idx="0">
                  <c:v>0</c:v>
                </c:pt>
                <c:pt idx="1">
                  <c:v>4</c:v>
                </c:pt>
                <c:pt idx="2">
                  <c:v>6</c:v>
                </c:pt>
                <c:pt idx="3">
                  <c:v>8</c:v>
                </c:pt>
              </c:numCache>
            </c:numRef>
          </c:cat>
          <c:val>
            <c:numRef>
              <c:f>Sheet1!$AA$32:$AA$35</c:f>
              <c:numCache>
                <c:formatCode>General</c:formatCode>
                <c:ptCount val="4"/>
                <c:pt idx="0">
                  <c:v>36.25</c:v>
                </c:pt>
                <c:pt idx="1">
                  <c:v>36.5</c:v>
                </c:pt>
                <c:pt idx="2">
                  <c:v>37.25</c:v>
                </c:pt>
                <c:pt idx="3">
                  <c:v>37.75</c:v>
                </c:pt>
              </c:numCache>
            </c:numRef>
          </c:val>
        </c:ser>
        <c:ser>
          <c:idx val="25"/>
          <c:order val="25"/>
          <c:tx>
            <c:strRef>
              <c:f>Sheet1!$AB$30:$AB$31</c:f>
              <c:strCache>
                <c:ptCount val="1"/>
                <c:pt idx="0">
                  <c:v>26</c:v>
                </c:pt>
              </c:strCache>
            </c:strRef>
          </c:tx>
          <c:invertIfNegative val="0"/>
          <c:cat>
            <c:numRef>
              <c:f>Sheet1!$B$32:$B$35</c:f>
              <c:numCache>
                <c:formatCode>General</c:formatCode>
                <c:ptCount val="4"/>
                <c:pt idx="0">
                  <c:v>0</c:v>
                </c:pt>
                <c:pt idx="1">
                  <c:v>4</c:v>
                </c:pt>
                <c:pt idx="2">
                  <c:v>6</c:v>
                </c:pt>
                <c:pt idx="3">
                  <c:v>8</c:v>
                </c:pt>
              </c:numCache>
            </c:numRef>
          </c:cat>
          <c:val>
            <c:numRef>
              <c:f>Sheet1!$AB$32:$AB$35</c:f>
              <c:numCache>
                <c:formatCode>General</c:formatCode>
                <c:ptCount val="4"/>
                <c:pt idx="0">
                  <c:v>36.25</c:v>
                </c:pt>
                <c:pt idx="1">
                  <c:v>36.5</c:v>
                </c:pt>
                <c:pt idx="2">
                  <c:v>37.25</c:v>
                </c:pt>
                <c:pt idx="3">
                  <c:v>37.75</c:v>
                </c:pt>
              </c:numCache>
            </c:numRef>
          </c:val>
        </c:ser>
        <c:ser>
          <c:idx val="26"/>
          <c:order val="26"/>
          <c:tx>
            <c:strRef>
              <c:f>Sheet1!$AC$30:$AC$31</c:f>
              <c:strCache>
                <c:ptCount val="1"/>
                <c:pt idx="0">
                  <c:v>27</c:v>
                </c:pt>
              </c:strCache>
            </c:strRef>
          </c:tx>
          <c:invertIfNegative val="0"/>
          <c:cat>
            <c:numRef>
              <c:f>Sheet1!$B$32:$B$35</c:f>
              <c:numCache>
                <c:formatCode>General</c:formatCode>
                <c:ptCount val="4"/>
                <c:pt idx="0">
                  <c:v>0</c:v>
                </c:pt>
                <c:pt idx="1">
                  <c:v>4</c:v>
                </c:pt>
                <c:pt idx="2">
                  <c:v>6</c:v>
                </c:pt>
                <c:pt idx="3">
                  <c:v>8</c:v>
                </c:pt>
              </c:numCache>
            </c:numRef>
          </c:cat>
          <c:val>
            <c:numRef>
              <c:f>Sheet1!$AC$32:$AC$35</c:f>
              <c:numCache>
                <c:formatCode>General</c:formatCode>
                <c:ptCount val="4"/>
                <c:pt idx="0">
                  <c:v>36.25</c:v>
                </c:pt>
                <c:pt idx="1">
                  <c:v>36.5</c:v>
                </c:pt>
                <c:pt idx="2">
                  <c:v>37.25</c:v>
                </c:pt>
                <c:pt idx="3">
                  <c:v>37.75</c:v>
                </c:pt>
              </c:numCache>
            </c:numRef>
          </c:val>
        </c:ser>
        <c:ser>
          <c:idx val="27"/>
          <c:order val="27"/>
          <c:tx>
            <c:strRef>
              <c:f>Sheet1!$AD$30:$AD$31</c:f>
              <c:strCache>
                <c:ptCount val="1"/>
                <c:pt idx="0">
                  <c:v>28</c:v>
                </c:pt>
              </c:strCache>
            </c:strRef>
          </c:tx>
          <c:invertIfNegative val="0"/>
          <c:cat>
            <c:numRef>
              <c:f>Sheet1!$B$32:$B$35</c:f>
              <c:numCache>
                <c:formatCode>General</c:formatCode>
                <c:ptCount val="4"/>
                <c:pt idx="0">
                  <c:v>0</c:v>
                </c:pt>
                <c:pt idx="1">
                  <c:v>4</c:v>
                </c:pt>
                <c:pt idx="2">
                  <c:v>6</c:v>
                </c:pt>
                <c:pt idx="3">
                  <c:v>8</c:v>
                </c:pt>
              </c:numCache>
            </c:numRef>
          </c:cat>
          <c:val>
            <c:numRef>
              <c:f>Sheet1!$AD$32:$AD$35</c:f>
              <c:numCache>
                <c:formatCode>General</c:formatCode>
                <c:ptCount val="4"/>
                <c:pt idx="0">
                  <c:v>36.25</c:v>
                </c:pt>
                <c:pt idx="1">
                  <c:v>36.5</c:v>
                </c:pt>
                <c:pt idx="2">
                  <c:v>37.25</c:v>
                </c:pt>
                <c:pt idx="3">
                  <c:v>37.75</c:v>
                </c:pt>
              </c:numCache>
            </c:numRef>
          </c:val>
        </c:ser>
        <c:dLbls>
          <c:showLegendKey val="0"/>
          <c:showVal val="0"/>
          <c:showCatName val="0"/>
          <c:showSerName val="0"/>
          <c:showPercent val="0"/>
          <c:showBubbleSize val="0"/>
        </c:dLbls>
        <c:gapWidth val="150"/>
        <c:axId val="1998183440"/>
        <c:axId val="1998182896"/>
      </c:barChart>
      <c:catAx>
        <c:axId val="1998183440"/>
        <c:scaling>
          <c:orientation val="minMax"/>
        </c:scaling>
        <c:delete val="0"/>
        <c:axPos val="b"/>
        <c:title>
          <c:tx>
            <c:rich>
              <a:bodyPr/>
              <a:lstStyle/>
              <a:p>
                <a:pPr>
                  <a:defRPr lang="en-US"/>
                </a:pPr>
                <a:r>
                  <a:rPr lang="en-US" sz="1200">
                    <a:latin typeface="Times New Roman" pitchFamily="18" charset="0"/>
                    <a:cs typeface="Times New Roman" pitchFamily="18" charset="0"/>
                  </a:rPr>
                  <a:t>Konsentrasi</a:t>
                </a:r>
                <a:r>
                  <a:rPr lang="en-US" sz="1200" baseline="0">
                    <a:latin typeface="Times New Roman" pitchFamily="18" charset="0"/>
                    <a:cs typeface="Times New Roman" pitchFamily="18" charset="0"/>
                  </a:rPr>
                  <a:t> ekstrak biji pepaya 'Bangkok' (%)</a:t>
                </a:r>
                <a:endParaRPr lang="id-ID" sz="1200">
                  <a:latin typeface="Times New Roman" pitchFamily="18" charset="0"/>
                  <a:cs typeface="Times New Roman" pitchFamily="18" charset="0"/>
                </a:endParaRPr>
              </a:p>
            </c:rich>
          </c:tx>
          <c:layout>
            <c:manualLayout>
              <c:xMode val="edge"/>
              <c:yMode val="edge"/>
              <c:x val="0.14060278179513291"/>
              <c:y val="0.91482889733842776"/>
            </c:manualLayout>
          </c:layout>
          <c:overlay val="0"/>
        </c:title>
        <c:numFmt formatCode="General" sourceLinked="1"/>
        <c:majorTickMark val="none"/>
        <c:minorTickMark val="none"/>
        <c:tickLblPos val="nextTo"/>
        <c:txPr>
          <a:bodyPr/>
          <a:lstStyle/>
          <a:p>
            <a:pPr>
              <a:defRPr lang="en-US"/>
            </a:pPr>
            <a:endParaRPr lang="en-US"/>
          </a:p>
        </c:txPr>
        <c:crossAx val="1998182896"/>
        <c:crosses val="autoZero"/>
        <c:auto val="1"/>
        <c:lblAlgn val="ctr"/>
        <c:lblOffset val="100"/>
        <c:noMultiLvlLbl val="0"/>
      </c:catAx>
      <c:valAx>
        <c:axId val="1998182896"/>
        <c:scaling>
          <c:orientation val="minMax"/>
        </c:scaling>
        <c:delete val="0"/>
        <c:axPos val="l"/>
        <c:majorGridlines/>
        <c:title>
          <c:tx>
            <c:rich>
              <a:bodyPr rot="-5400000" vert="horz"/>
              <a:lstStyle/>
              <a:p>
                <a:pPr>
                  <a:defRPr lang="en-US"/>
                </a:pPr>
                <a:r>
                  <a:rPr lang="en-US" sz="1200">
                    <a:latin typeface="Times New Roman" pitchFamily="18" charset="0"/>
                    <a:cs typeface="Times New Roman" pitchFamily="18" charset="0"/>
                  </a:rPr>
                  <a:t>Berat</a:t>
                </a:r>
                <a:r>
                  <a:rPr lang="en-US" sz="1200" baseline="0">
                    <a:latin typeface="Times New Roman" pitchFamily="18" charset="0"/>
                    <a:cs typeface="Times New Roman" pitchFamily="18" charset="0"/>
                  </a:rPr>
                  <a:t> Badan (g)</a:t>
                </a:r>
                <a:endParaRPr lang="id-ID" sz="1200">
                  <a:latin typeface="Times New Roman" pitchFamily="18" charset="0"/>
                  <a:cs typeface="Times New Roman" pitchFamily="18" charset="0"/>
                </a:endParaRPr>
              </a:p>
            </c:rich>
          </c:tx>
          <c:layout>
            <c:manualLayout>
              <c:xMode val="edge"/>
              <c:yMode val="edge"/>
              <c:x val="2.8863210450521281E-3"/>
              <c:y val="0.18072935154139977"/>
            </c:manualLayout>
          </c:layout>
          <c:overlay val="0"/>
        </c:title>
        <c:numFmt formatCode="General" sourceLinked="1"/>
        <c:majorTickMark val="none"/>
        <c:minorTickMark val="none"/>
        <c:tickLblPos val="nextTo"/>
        <c:txPr>
          <a:bodyPr/>
          <a:lstStyle/>
          <a:p>
            <a:pPr>
              <a:defRPr lang="en-US"/>
            </a:pPr>
            <a:endParaRPr lang="en-US"/>
          </a:p>
        </c:txPr>
        <c:crossAx val="1998183440"/>
        <c:crosses val="autoZero"/>
        <c:crossBetween val="between"/>
      </c:valAx>
    </c:plotArea>
    <c:legend>
      <c:legendPos val="r"/>
      <c:layout>
        <c:manualLayout>
          <c:xMode val="edge"/>
          <c:yMode val="edge"/>
          <c:x val="0.73015236012897322"/>
          <c:y val="0.16060751820248412"/>
          <c:w val="0.25023852686252529"/>
          <c:h val="0.7279016901130263"/>
        </c:manualLayout>
      </c:layout>
      <c:overlay val="0"/>
      <c:txPr>
        <a:bodyPr/>
        <a:lstStyle/>
        <a:p>
          <a:pPr>
            <a:defRPr lang="en-US"/>
          </a:pPr>
          <a:endParaRPr lang="en-US"/>
        </a:p>
      </c:txPr>
    </c:legend>
    <c:plotVisOnly val="1"/>
    <c:dispBlanksAs val="gap"/>
    <c:showDLblsOverMax val="0"/>
  </c:chart>
  <c:txPr>
    <a:bodyPr/>
    <a:lstStyle/>
    <a:p>
      <a:pPr>
        <a:defRPr>
          <a:solidFill>
            <a:schemeClr val="tx1"/>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a:t>SGOT</a:t>
            </a:r>
            <a:endParaRPr lang="id-ID"/>
          </a:p>
        </c:rich>
      </c:tx>
      <c:overlay val="0"/>
    </c:title>
    <c:autoTitleDeleted val="0"/>
    <c:plotArea>
      <c:layout>
        <c:manualLayout>
          <c:layoutTarget val="inner"/>
          <c:xMode val="edge"/>
          <c:yMode val="edge"/>
          <c:x val="0.16190507436570428"/>
          <c:y val="0.13658573928258966"/>
          <c:w val="0.8075393700787401"/>
          <c:h val="0.61211395450568684"/>
        </c:manualLayout>
      </c:layout>
      <c:barChart>
        <c:barDir val="col"/>
        <c:grouping val="clustered"/>
        <c:varyColors val="0"/>
        <c:ser>
          <c:idx val="0"/>
          <c:order val="0"/>
          <c:invertIfNegative val="0"/>
          <c:dLbls>
            <c:dLbl>
              <c:idx val="0"/>
              <c:layout>
                <c:manualLayout>
                  <c:x val="2.6881720430107807E-3"/>
                  <c:y val="-3.2855247932718462E-2"/>
                </c:manualLayout>
              </c:layout>
              <c:tx>
                <c:rich>
                  <a:bodyPr/>
                  <a:lstStyle/>
                  <a:p>
                    <a:r>
                      <a:rPr lang="en-US" b="1"/>
                      <a:t>54.51</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4.9282584805241459E-17"/>
                  <c:y val="-1.8667720298403811E-2"/>
                </c:manualLayout>
              </c:layout>
              <c:tx>
                <c:rich>
                  <a:bodyPr/>
                  <a:lstStyle/>
                  <a:p>
                    <a:r>
                      <a:rPr lang="en-US" b="1"/>
                      <a:t>*90.21*</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9.1097752565875746E-3"/>
                </c:manualLayout>
              </c:layout>
              <c:tx>
                <c:rich>
                  <a:bodyPr/>
                  <a:lstStyle/>
                  <a:p>
                    <a:r>
                      <a:rPr lang="en-US" b="1"/>
                      <a:t>*113.49*</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2.1872265966754799E-7"/>
                  <c:y val="-2.8225665340219572E-2"/>
                </c:manualLayout>
              </c:layout>
              <c:tx>
                <c:rich>
                  <a:bodyPr/>
                  <a:lstStyle/>
                  <a:p>
                    <a:r>
                      <a:rPr lang="en-US" b="1"/>
                      <a:t>*139.68*</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Sheet2!$D$3:$D$6</c:f>
                <c:numCache>
                  <c:formatCode>General</c:formatCode>
                  <c:ptCount val="4"/>
                  <c:pt idx="0">
                    <c:v>10.063481836157345</c:v>
                  </c:pt>
                  <c:pt idx="1">
                    <c:v>7.5135876916425719</c:v>
                  </c:pt>
                  <c:pt idx="2">
                    <c:v>7.5135876916422495</c:v>
                  </c:pt>
                  <c:pt idx="3">
                    <c:v>12.572636954911422</c:v>
                  </c:pt>
                </c:numCache>
              </c:numRef>
            </c:plus>
            <c:minus>
              <c:numRef>
                <c:f>Sheet2!$D$3:$D$6</c:f>
                <c:numCache>
                  <c:formatCode>General</c:formatCode>
                  <c:ptCount val="4"/>
                  <c:pt idx="0">
                    <c:v>10.063481836157345</c:v>
                  </c:pt>
                  <c:pt idx="1">
                    <c:v>7.5135876916425719</c:v>
                  </c:pt>
                  <c:pt idx="2">
                    <c:v>7.5135876916422495</c:v>
                  </c:pt>
                  <c:pt idx="3">
                    <c:v>12.572636954911422</c:v>
                  </c:pt>
                </c:numCache>
              </c:numRef>
            </c:minus>
          </c:errBars>
          <c:val>
            <c:numRef>
              <c:f>Sheet2!$C$3:$C$6</c:f>
              <c:numCache>
                <c:formatCode>General</c:formatCode>
                <c:ptCount val="4"/>
                <c:pt idx="0">
                  <c:v>54.51</c:v>
                </c:pt>
                <c:pt idx="1">
                  <c:v>90.210000000000022</c:v>
                </c:pt>
                <c:pt idx="2">
                  <c:v>113.49000000000002</c:v>
                </c:pt>
                <c:pt idx="3">
                  <c:v>139.68</c:v>
                </c:pt>
              </c:numCache>
            </c:numRef>
          </c:val>
        </c:ser>
        <c:dLbls>
          <c:showLegendKey val="0"/>
          <c:showVal val="1"/>
          <c:showCatName val="0"/>
          <c:showSerName val="0"/>
          <c:showPercent val="0"/>
          <c:showBubbleSize val="0"/>
        </c:dLbls>
        <c:gapWidth val="75"/>
        <c:axId val="1998180176"/>
        <c:axId val="1998188336"/>
      </c:barChart>
      <c:catAx>
        <c:axId val="1998180176"/>
        <c:scaling>
          <c:orientation val="minMax"/>
        </c:scaling>
        <c:delete val="0"/>
        <c:axPos val="b"/>
        <c:title>
          <c:tx>
            <c:rich>
              <a:bodyPr/>
              <a:lstStyle/>
              <a:p>
                <a:pPr>
                  <a:defRPr lang="en-US"/>
                </a:pPr>
                <a:r>
                  <a:rPr lang="en-US" sz="1200">
                    <a:latin typeface="Times New Roman" pitchFamily="18" charset="0"/>
                    <a:cs typeface="Times New Roman" pitchFamily="18" charset="0"/>
                  </a:rPr>
                  <a:t>Konsentrasi ekstrak biji pepaya 'California' (%)</a:t>
                </a:r>
                <a:endParaRPr lang="id-ID" sz="1200">
                  <a:latin typeface="Times New Roman" pitchFamily="18" charset="0"/>
                  <a:cs typeface="Times New Roman" pitchFamily="18" charset="0"/>
                </a:endParaRPr>
              </a:p>
            </c:rich>
          </c:tx>
          <c:layout>
            <c:manualLayout>
              <c:xMode val="edge"/>
              <c:yMode val="edge"/>
              <c:x val="0.22381984019953324"/>
              <c:y val="0.88380524934383264"/>
            </c:manualLayout>
          </c:layout>
          <c:overlay val="0"/>
        </c:title>
        <c:numFmt formatCode="General" sourceLinked="1"/>
        <c:majorTickMark val="none"/>
        <c:minorTickMark val="none"/>
        <c:tickLblPos val="nextTo"/>
        <c:txPr>
          <a:bodyPr/>
          <a:lstStyle/>
          <a:p>
            <a:pPr>
              <a:defRPr lang="en-US"/>
            </a:pPr>
            <a:endParaRPr lang="en-US"/>
          </a:p>
        </c:txPr>
        <c:crossAx val="1998188336"/>
        <c:crosses val="autoZero"/>
        <c:auto val="1"/>
        <c:lblAlgn val="ctr"/>
        <c:lblOffset val="100"/>
        <c:noMultiLvlLbl val="0"/>
      </c:catAx>
      <c:valAx>
        <c:axId val="1998188336"/>
        <c:scaling>
          <c:orientation val="minMax"/>
        </c:scaling>
        <c:delete val="0"/>
        <c:axPos val="l"/>
        <c:title>
          <c:tx>
            <c:rich>
              <a:bodyPr rot="-5400000" vert="horz"/>
              <a:lstStyle/>
              <a:p>
                <a:pPr>
                  <a:defRPr lang="en-US"/>
                </a:pPr>
                <a:r>
                  <a:rPr lang="en-US" sz="1200">
                    <a:latin typeface="Times New Roman" pitchFamily="18" charset="0"/>
                    <a:cs typeface="Times New Roman" pitchFamily="18" charset="0"/>
                  </a:rPr>
                  <a:t>Kadar GOT (U/I)</a:t>
                </a:r>
                <a:endParaRPr lang="id-ID" sz="120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pPr>
            <a:endParaRPr lang="en-US"/>
          </a:p>
        </c:txPr>
        <c:crossAx val="1998180176"/>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a:t>SGOT</a:t>
            </a:r>
            <a:endParaRPr lang="id-ID"/>
          </a:p>
        </c:rich>
      </c:tx>
      <c:layout>
        <c:manualLayout>
          <c:xMode val="edge"/>
          <c:yMode val="edge"/>
          <c:x val="0.48100970873786753"/>
          <c:y val="0"/>
        </c:manualLayout>
      </c:layout>
      <c:overlay val="1"/>
    </c:title>
    <c:autoTitleDeleted val="0"/>
    <c:plotArea>
      <c:layout/>
      <c:barChart>
        <c:barDir val="col"/>
        <c:grouping val="clustered"/>
        <c:varyColors val="0"/>
        <c:ser>
          <c:idx val="0"/>
          <c:order val="0"/>
          <c:invertIfNegative val="0"/>
          <c:dLbls>
            <c:dLbl>
              <c:idx val="0"/>
              <c:layout>
                <c:manualLayout>
                  <c:x val="0"/>
                  <c:y val="-1.3888888888889058E-2"/>
                </c:manualLayout>
              </c:layout>
              <c:tx>
                <c:rich>
                  <a:bodyPr/>
                  <a:lstStyle/>
                  <a:p>
                    <a:r>
                      <a:rPr lang="en-US" b="1"/>
                      <a:t>54.51</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
                  <c:y val="-6.9444444444444503E-2"/>
                </c:manualLayout>
              </c:layout>
              <c:tx>
                <c:rich>
                  <a:bodyPr/>
                  <a:lstStyle/>
                  <a:p>
                    <a:r>
                      <a:rPr lang="en-US" b="1"/>
                      <a:t>*128.04*</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b="1"/>
                      <a:t>*161.5*</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1.0185067526416334E-16"/>
                  <c:y val="-2.3148148148148147E-2"/>
                </c:manualLayout>
              </c:layout>
              <c:tx>
                <c:rich>
                  <a:bodyPr/>
                  <a:lstStyle/>
                  <a:p>
                    <a:r>
                      <a:rPr lang="en-US" b="1"/>
                      <a:t>*178.96*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Sheet2!$D$20:$D$23</c:f>
                <c:numCache>
                  <c:formatCode>General</c:formatCode>
                  <c:ptCount val="4"/>
                  <c:pt idx="0">
                    <c:v>10.063481836157345</c:v>
                  </c:pt>
                  <c:pt idx="1">
                    <c:v>25.590357559049444</c:v>
                  </c:pt>
                  <c:pt idx="2">
                    <c:v>7.3233394022128584</c:v>
                  </c:pt>
                  <c:pt idx="3">
                    <c:v>16.027030292602547</c:v>
                  </c:pt>
                </c:numCache>
              </c:numRef>
            </c:plus>
            <c:minus>
              <c:numRef>
                <c:f>Sheet2!$D$20:$D$23</c:f>
                <c:numCache>
                  <c:formatCode>General</c:formatCode>
                  <c:ptCount val="4"/>
                  <c:pt idx="0">
                    <c:v>10.063481836157345</c:v>
                  </c:pt>
                  <c:pt idx="1">
                    <c:v>25.590357559049444</c:v>
                  </c:pt>
                  <c:pt idx="2">
                    <c:v>7.3233394022128584</c:v>
                  </c:pt>
                  <c:pt idx="3">
                    <c:v>16.027030292602547</c:v>
                  </c:pt>
                </c:numCache>
              </c:numRef>
            </c:minus>
          </c:errBars>
          <c:cat>
            <c:numLit>
              <c:formatCode>General</c:formatCode>
              <c:ptCount val="4"/>
              <c:pt idx="0">
                <c:v>0</c:v>
              </c:pt>
              <c:pt idx="1">
                <c:v>4</c:v>
              </c:pt>
              <c:pt idx="2">
                <c:v>6</c:v>
              </c:pt>
              <c:pt idx="3">
                <c:v>8</c:v>
              </c:pt>
            </c:numLit>
          </c:cat>
          <c:val>
            <c:numRef>
              <c:f>Sheet2!$C$20:$C$23</c:f>
              <c:numCache>
                <c:formatCode>General</c:formatCode>
                <c:ptCount val="4"/>
                <c:pt idx="0">
                  <c:v>54.51</c:v>
                </c:pt>
                <c:pt idx="1">
                  <c:v>128.04</c:v>
                </c:pt>
                <c:pt idx="2">
                  <c:v>161.5</c:v>
                </c:pt>
                <c:pt idx="3">
                  <c:v>178.96</c:v>
                </c:pt>
              </c:numCache>
            </c:numRef>
          </c:val>
        </c:ser>
        <c:dLbls>
          <c:showLegendKey val="0"/>
          <c:showVal val="1"/>
          <c:showCatName val="0"/>
          <c:showSerName val="0"/>
          <c:showPercent val="0"/>
          <c:showBubbleSize val="0"/>
        </c:dLbls>
        <c:gapWidth val="75"/>
        <c:axId val="1998187792"/>
        <c:axId val="1998189968"/>
      </c:barChart>
      <c:catAx>
        <c:axId val="1998187792"/>
        <c:scaling>
          <c:orientation val="minMax"/>
        </c:scaling>
        <c:delete val="0"/>
        <c:axPos val="b"/>
        <c:title>
          <c:tx>
            <c:rich>
              <a:bodyPr/>
              <a:lstStyle/>
              <a:p>
                <a:pPr>
                  <a:defRPr lang="en-US"/>
                </a:pPr>
                <a:r>
                  <a:rPr lang="en-US" sz="1200">
                    <a:latin typeface="Times New Roman" pitchFamily="18" charset="0"/>
                    <a:cs typeface="Times New Roman" pitchFamily="18" charset="0"/>
                  </a:rPr>
                  <a:t>Konsentrasi</a:t>
                </a:r>
                <a:r>
                  <a:rPr lang="en-US" sz="1200" baseline="0">
                    <a:latin typeface="Times New Roman" pitchFamily="18" charset="0"/>
                    <a:cs typeface="Times New Roman" pitchFamily="18" charset="0"/>
                  </a:rPr>
                  <a:t> ekstrak biji pepaya 'Bangkok' (%)</a:t>
                </a:r>
                <a:endParaRPr lang="id-ID" sz="120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pPr>
            <a:endParaRPr lang="en-US"/>
          </a:p>
        </c:txPr>
        <c:crossAx val="1998189968"/>
        <c:crosses val="autoZero"/>
        <c:auto val="1"/>
        <c:lblAlgn val="ctr"/>
        <c:lblOffset val="100"/>
        <c:noMultiLvlLbl val="0"/>
      </c:catAx>
      <c:valAx>
        <c:axId val="1998189968"/>
        <c:scaling>
          <c:orientation val="minMax"/>
        </c:scaling>
        <c:delete val="0"/>
        <c:axPos val="l"/>
        <c:title>
          <c:tx>
            <c:rich>
              <a:bodyPr rot="-5400000" vert="horz"/>
              <a:lstStyle/>
              <a:p>
                <a:pPr>
                  <a:defRPr lang="en-US"/>
                </a:pPr>
                <a:r>
                  <a:rPr lang="en-US" sz="1200">
                    <a:latin typeface="Times New Roman" pitchFamily="18" charset="0"/>
                    <a:cs typeface="Times New Roman" pitchFamily="18" charset="0"/>
                  </a:rPr>
                  <a:t>Kadar GOT (U/I)</a:t>
                </a:r>
                <a:endParaRPr lang="id-ID" sz="1200">
                  <a:latin typeface="Times New Roman" pitchFamily="18" charset="0"/>
                  <a:cs typeface="Times New Roman" pitchFamily="18" charset="0"/>
                </a:endParaRPr>
              </a:p>
            </c:rich>
          </c:tx>
          <c:layout>
            <c:manualLayout>
              <c:xMode val="edge"/>
              <c:yMode val="edge"/>
              <c:x val="2.4999923553245186E-2"/>
              <c:y val="0.13601902650255371"/>
            </c:manualLayout>
          </c:layout>
          <c:overlay val="0"/>
        </c:title>
        <c:numFmt formatCode="General" sourceLinked="1"/>
        <c:majorTickMark val="none"/>
        <c:minorTickMark val="none"/>
        <c:tickLblPos val="nextTo"/>
        <c:txPr>
          <a:bodyPr/>
          <a:lstStyle/>
          <a:p>
            <a:pPr>
              <a:defRPr lang="en-US"/>
            </a:pPr>
            <a:endParaRPr lang="en-US"/>
          </a:p>
        </c:txPr>
        <c:crossAx val="19981877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lang="en-US"/>
            </a:pPr>
            <a:r>
              <a:rPr lang="en-US" sz="1400">
                <a:latin typeface="Times New Roman" pitchFamily="18" charset="0"/>
                <a:cs typeface="Times New Roman" pitchFamily="18" charset="0"/>
              </a:rPr>
              <a:t>SGPT</a:t>
            </a:r>
            <a:endParaRPr lang="id-ID" sz="1400">
              <a:latin typeface="Times New Roman" pitchFamily="18" charset="0"/>
              <a:cs typeface="Times New Roman" pitchFamily="18" charset="0"/>
            </a:endParaRPr>
          </a:p>
        </c:rich>
      </c:tx>
      <c:layout>
        <c:manualLayout>
          <c:xMode val="edge"/>
          <c:yMode val="edge"/>
          <c:x val="0.45095222252148059"/>
          <c:y val="0"/>
        </c:manualLayout>
      </c:layout>
      <c:overlay val="1"/>
    </c:title>
    <c:autoTitleDeleted val="0"/>
    <c:plotArea>
      <c:layout>
        <c:manualLayout>
          <c:layoutTarget val="inner"/>
          <c:xMode val="edge"/>
          <c:yMode val="edge"/>
          <c:x val="0.15636707383408074"/>
          <c:y val="3.1294972743791651E-2"/>
          <c:w val="0.8141225304583406"/>
          <c:h val="0.66416079569001263"/>
        </c:manualLayout>
      </c:layout>
      <c:barChart>
        <c:barDir val="col"/>
        <c:grouping val="clustered"/>
        <c:varyColors val="0"/>
        <c:ser>
          <c:idx val="0"/>
          <c:order val="0"/>
          <c:invertIfNegative val="0"/>
          <c:dLbls>
            <c:dLbl>
              <c:idx val="0"/>
              <c:layout>
                <c:manualLayout>
                  <c:x val="0"/>
                  <c:y val="-8.3333333333333343E-2"/>
                </c:manualLayout>
              </c:layout>
              <c:tx>
                <c:rich>
                  <a:bodyPr/>
                  <a:lstStyle/>
                  <a:p>
                    <a:r>
                      <a:rPr lang="en-US" b="1"/>
                      <a:t>43.65</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
                  <c:y val="-8.3333333333333343E-2"/>
                </c:manualLayout>
              </c:layout>
              <c:tx>
                <c:rich>
                  <a:bodyPr/>
                  <a:lstStyle/>
                  <a:p>
                    <a:r>
                      <a:rPr lang="en-US" b="1"/>
                      <a:t>57.46</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6.9444444444444503E-2"/>
                </c:manualLayout>
              </c:layout>
              <c:tx>
                <c:rich>
                  <a:bodyPr/>
                  <a:lstStyle/>
                  <a:p>
                    <a:r>
                      <a:rPr lang="en-US" b="1"/>
                      <a:t>75.14</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2.7778217863611608E-3"/>
                  <c:y val="-5.9504138905713932E-2"/>
                </c:manualLayout>
              </c:layout>
              <c:tx>
                <c:rich>
                  <a:bodyPr/>
                  <a:lstStyle/>
                  <a:p>
                    <a:r>
                      <a:rPr lang="en-US" b="1"/>
                      <a:t>*98.71*</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Sheet3!$D$9:$D$12</c:f>
                <c:numCache>
                  <c:formatCode>General</c:formatCode>
                  <c:ptCount val="4"/>
                  <c:pt idx="0">
                    <c:v>18.095115362992278</c:v>
                  </c:pt>
                  <c:pt idx="1">
                    <c:v>16.229176401366207</c:v>
                  </c:pt>
                  <c:pt idx="2">
                    <c:v>16.229176401366189</c:v>
                  </c:pt>
                  <c:pt idx="3">
                    <c:v>13.06962126459667</c:v>
                  </c:pt>
                </c:numCache>
              </c:numRef>
            </c:plus>
            <c:minus>
              <c:numRef>
                <c:f>Sheet3!$D$9:$D$12</c:f>
                <c:numCache>
                  <c:formatCode>General</c:formatCode>
                  <c:ptCount val="4"/>
                  <c:pt idx="0">
                    <c:v>18.095115362992278</c:v>
                  </c:pt>
                  <c:pt idx="1">
                    <c:v>16.229176401366207</c:v>
                  </c:pt>
                  <c:pt idx="2">
                    <c:v>16.229176401366189</c:v>
                  </c:pt>
                  <c:pt idx="3">
                    <c:v>13.06962126459667</c:v>
                  </c:pt>
                </c:numCache>
              </c:numRef>
            </c:minus>
          </c:errBars>
          <c:cat>
            <c:numLit>
              <c:formatCode>General</c:formatCode>
              <c:ptCount val="4"/>
              <c:pt idx="0">
                <c:v>0</c:v>
              </c:pt>
              <c:pt idx="1">
                <c:v>4</c:v>
              </c:pt>
              <c:pt idx="2">
                <c:v>6</c:v>
              </c:pt>
              <c:pt idx="3">
                <c:v>8</c:v>
              </c:pt>
            </c:numLit>
          </c:cat>
          <c:val>
            <c:numRef>
              <c:f>Sheet3!$C$9:$C$12</c:f>
              <c:numCache>
                <c:formatCode>General</c:formatCode>
                <c:ptCount val="4"/>
                <c:pt idx="0">
                  <c:v>43.65</c:v>
                </c:pt>
                <c:pt idx="1">
                  <c:v>57.46</c:v>
                </c:pt>
                <c:pt idx="2">
                  <c:v>75.14</c:v>
                </c:pt>
                <c:pt idx="3">
                  <c:v>98.710000000000022</c:v>
                </c:pt>
              </c:numCache>
            </c:numRef>
          </c:val>
        </c:ser>
        <c:dLbls>
          <c:showLegendKey val="0"/>
          <c:showVal val="1"/>
          <c:showCatName val="0"/>
          <c:showSerName val="0"/>
          <c:showPercent val="0"/>
          <c:showBubbleSize val="0"/>
        </c:dLbls>
        <c:gapWidth val="75"/>
        <c:axId val="1998184528"/>
        <c:axId val="1998189424"/>
      </c:barChart>
      <c:catAx>
        <c:axId val="1998184528"/>
        <c:scaling>
          <c:orientation val="minMax"/>
        </c:scaling>
        <c:delete val="0"/>
        <c:axPos val="b"/>
        <c:title>
          <c:tx>
            <c:rich>
              <a:bodyPr/>
              <a:lstStyle/>
              <a:p>
                <a:pPr>
                  <a:defRPr lang="en-US"/>
                </a:pPr>
                <a:r>
                  <a:rPr lang="en-US" sz="1200">
                    <a:latin typeface="Times New Roman" pitchFamily="18" charset="0"/>
                    <a:cs typeface="Times New Roman" pitchFamily="18" charset="0"/>
                  </a:rPr>
                  <a:t>Konsentrasi</a:t>
                </a:r>
                <a:r>
                  <a:rPr lang="en-US" sz="1200" baseline="0">
                    <a:latin typeface="Times New Roman" pitchFamily="18" charset="0"/>
                    <a:cs typeface="Times New Roman" pitchFamily="18" charset="0"/>
                  </a:rPr>
                  <a:t> ekstrak biji pepaya 'California' (%)</a:t>
                </a:r>
                <a:endParaRPr lang="id-ID" sz="1200">
                  <a:latin typeface="Times New Roman" pitchFamily="18" charset="0"/>
                  <a:cs typeface="Times New Roman" pitchFamily="18" charset="0"/>
                </a:endParaRPr>
              </a:p>
            </c:rich>
          </c:tx>
          <c:layout>
            <c:manualLayout>
              <c:xMode val="edge"/>
              <c:yMode val="edge"/>
              <c:x val="0.23139417612168559"/>
              <c:y val="0.84701754385964856"/>
            </c:manualLayout>
          </c:layout>
          <c:overlay val="0"/>
        </c:title>
        <c:numFmt formatCode="General" sourceLinked="1"/>
        <c:majorTickMark val="none"/>
        <c:minorTickMark val="none"/>
        <c:tickLblPos val="nextTo"/>
        <c:txPr>
          <a:bodyPr/>
          <a:lstStyle/>
          <a:p>
            <a:pPr>
              <a:defRPr lang="en-US"/>
            </a:pPr>
            <a:endParaRPr lang="en-US"/>
          </a:p>
        </c:txPr>
        <c:crossAx val="1998189424"/>
        <c:crosses val="autoZero"/>
        <c:auto val="1"/>
        <c:lblAlgn val="ctr"/>
        <c:lblOffset val="100"/>
        <c:noMultiLvlLbl val="0"/>
      </c:catAx>
      <c:valAx>
        <c:axId val="1998189424"/>
        <c:scaling>
          <c:orientation val="minMax"/>
        </c:scaling>
        <c:delete val="0"/>
        <c:axPos val="l"/>
        <c:title>
          <c:tx>
            <c:rich>
              <a:bodyPr rot="-5400000" vert="horz"/>
              <a:lstStyle/>
              <a:p>
                <a:pPr>
                  <a:defRPr lang="en-US"/>
                </a:pPr>
                <a:r>
                  <a:rPr lang="en-US" sz="1200">
                    <a:latin typeface="Times New Roman" pitchFamily="18" charset="0"/>
                    <a:cs typeface="Times New Roman" pitchFamily="18" charset="0"/>
                  </a:rPr>
                  <a:t>Kadar</a:t>
                </a:r>
                <a:r>
                  <a:rPr lang="en-US" sz="1200" baseline="0">
                    <a:latin typeface="Times New Roman" pitchFamily="18" charset="0"/>
                    <a:cs typeface="Times New Roman" pitchFamily="18" charset="0"/>
                  </a:rPr>
                  <a:t> GPT (U/I)</a:t>
                </a:r>
                <a:endParaRPr lang="id-ID" sz="120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pPr>
            <a:endParaRPr lang="en-US"/>
          </a:p>
        </c:txPr>
        <c:crossAx val="199818452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lang="en-US"/>
            </a:pPr>
            <a:r>
              <a:rPr lang="en-US" sz="1400">
                <a:latin typeface="Times New Roman" pitchFamily="18" charset="0"/>
                <a:cs typeface="Times New Roman" pitchFamily="18" charset="0"/>
              </a:rPr>
              <a:t>SGPT</a:t>
            </a:r>
            <a:endParaRPr lang="id-ID" sz="1400">
              <a:latin typeface="Times New Roman" pitchFamily="18" charset="0"/>
              <a:cs typeface="Times New Roman" pitchFamily="18" charset="0"/>
            </a:endParaRPr>
          </a:p>
        </c:rich>
      </c:tx>
      <c:layout>
        <c:manualLayout>
          <c:xMode val="edge"/>
          <c:yMode val="edge"/>
          <c:x val="0.49088188976378455"/>
          <c:y val="2.4783147459727841E-2"/>
        </c:manualLayout>
      </c:layout>
      <c:overlay val="1"/>
    </c:title>
    <c:autoTitleDeleted val="0"/>
    <c:plotArea>
      <c:layout/>
      <c:barChart>
        <c:barDir val="col"/>
        <c:grouping val="clustered"/>
        <c:varyColors val="0"/>
        <c:ser>
          <c:idx val="0"/>
          <c:order val="0"/>
          <c:invertIfNegative val="0"/>
          <c:dLbls>
            <c:dLbl>
              <c:idx val="0"/>
              <c:layout>
                <c:manualLayout>
                  <c:x val="0"/>
                  <c:y val="-9.558723375191483E-2"/>
                </c:manualLayout>
              </c:layout>
              <c:tx>
                <c:rich>
                  <a:bodyPr/>
                  <a:lstStyle/>
                  <a:p>
                    <a:r>
                      <a:rPr lang="en-US" b="1"/>
                      <a:t>43.65</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896E-3"/>
                  <c:y val="-3.5729102635404811E-2"/>
                </c:manualLayout>
              </c:layout>
              <c:tx>
                <c:rich>
                  <a:bodyPr/>
                  <a:lstStyle/>
                  <a:p>
                    <a:r>
                      <a:rPr lang="en-US" b="1"/>
                      <a:t>53.03</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7777777777778395E-3"/>
                  <c:y val="-3.1426592122081397E-2"/>
                </c:manualLayout>
              </c:layout>
              <c:tx>
                <c:rich>
                  <a:bodyPr/>
                  <a:lstStyle/>
                  <a:p>
                    <a:r>
                      <a:rPr lang="en-US" b="1"/>
                      <a:t>58.93</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7.7395622944902584E-2"/>
                </c:manualLayout>
              </c:layout>
              <c:tx>
                <c:rich>
                  <a:bodyPr/>
                  <a:lstStyle/>
                  <a:p>
                    <a:r>
                      <a:rPr lang="en-US" b="1"/>
                      <a:t>*85.45*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Sheet3!$D$29:$D$32</c:f>
                <c:numCache>
                  <c:formatCode>General</c:formatCode>
                  <c:ptCount val="4"/>
                  <c:pt idx="0">
                    <c:v>18.095115362992278</c:v>
                  </c:pt>
                  <c:pt idx="1">
                    <c:v>8.3344320942300865</c:v>
                  </c:pt>
                  <c:pt idx="2">
                    <c:v>8.3344320942301593</c:v>
                  </c:pt>
                  <c:pt idx="3">
                    <c:v>15.592924410342865</c:v>
                  </c:pt>
                </c:numCache>
              </c:numRef>
            </c:plus>
            <c:minus>
              <c:numRef>
                <c:f>Sheet3!$D$29:$D$32</c:f>
                <c:numCache>
                  <c:formatCode>General</c:formatCode>
                  <c:ptCount val="4"/>
                  <c:pt idx="0">
                    <c:v>18.095115362992278</c:v>
                  </c:pt>
                  <c:pt idx="1">
                    <c:v>8.3344320942300865</c:v>
                  </c:pt>
                  <c:pt idx="2">
                    <c:v>8.3344320942301593</c:v>
                  </c:pt>
                  <c:pt idx="3">
                    <c:v>15.592924410342865</c:v>
                  </c:pt>
                </c:numCache>
              </c:numRef>
            </c:minus>
          </c:errBars>
          <c:cat>
            <c:numLit>
              <c:formatCode>General</c:formatCode>
              <c:ptCount val="4"/>
              <c:pt idx="0">
                <c:v>0</c:v>
              </c:pt>
              <c:pt idx="1">
                <c:v>4</c:v>
              </c:pt>
              <c:pt idx="2">
                <c:v>6</c:v>
              </c:pt>
              <c:pt idx="3">
                <c:v>8</c:v>
              </c:pt>
            </c:numLit>
          </c:cat>
          <c:val>
            <c:numRef>
              <c:f>Sheet3!$C$29:$C$32</c:f>
              <c:numCache>
                <c:formatCode>General</c:formatCode>
                <c:ptCount val="4"/>
                <c:pt idx="0">
                  <c:v>43.65</c:v>
                </c:pt>
                <c:pt idx="1">
                  <c:v>53.03</c:v>
                </c:pt>
                <c:pt idx="2">
                  <c:v>58.93</c:v>
                </c:pt>
                <c:pt idx="3">
                  <c:v>85.45</c:v>
                </c:pt>
              </c:numCache>
            </c:numRef>
          </c:val>
        </c:ser>
        <c:dLbls>
          <c:showLegendKey val="0"/>
          <c:showVal val="1"/>
          <c:showCatName val="0"/>
          <c:showSerName val="0"/>
          <c:showPercent val="0"/>
          <c:showBubbleSize val="0"/>
        </c:dLbls>
        <c:gapWidth val="75"/>
        <c:axId val="1998176368"/>
        <c:axId val="1998191056"/>
      </c:barChart>
      <c:catAx>
        <c:axId val="1998176368"/>
        <c:scaling>
          <c:orientation val="minMax"/>
        </c:scaling>
        <c:delete val="0"/>
        <c:axPos val="b"/>
        <c:title>
          <c:tx>
            <c:rich>
              <a:bodyPr/>
              <a:lstStyle/>
              <a:p>
                <a:pPr>
                  <a:defRPr lang="en-US"/>
                </a:pPr>
                <a:r>
                  <a:rPr lang="en-US" sz="1200">
                    <a:latin typeface="Times New Roman" pitchFamily="18" charset="0"/>
                    <a:cs typeface="Times New Roman" pitchFamily="18" charset="0"/>
                  </a:rPr>
                  <a:t>Konsentrasi</a:t>
                </a:r>
                <a:r>
                  <a:rPr lang="en-US" sz="1200" baseline="0">
                    <a:latin typeface="Times New Roman" pitchFamily="18" charset="0"/>
                    <a:cs typeface="Times New Roman" pitchFamily="18" charset="0"/>
                  </a:rPr>
                  <a:t> ekstrak biji pepaya 'Bangkok' (%)</a:t>
                </a:r>
                <a:endParaRPr lang="id-ID" sz="120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pPr>
            <a:endParaRPr lang="en-US"/>
          </a:p>
        </c:txPr>
        <c:crossAx val="1998191056"/>
        <c:crosses val="autoZero"/>
        <c:auto val="1"/>
        <c:lblAlgn val="ctr"/>
        <c:lblOffset val="100"/>
        <c:noMultiLvlLbl val="0"/>
      </c:catAx>
      <c:valAx>
        <c:axId val="1998191056"/>
        <c:scaling>
          <c:orientation val="minMax"/>
        </c:scaling>
        <c:delete val="0"/>
        <c:axPos val="l"/>
        <c:title>
          <c:tx>
            <c:rich>
              <a:bodyPr rot="-5400000" vert="horz"/>
              <a:lstStyle/>
              <a:p>
                <a:pPr>
                  <a:defRPr lang="en-US"/>
                </a:pPr>
                <a:r>
                  <a:rPr lang="en-US" sz="1200">
                    <a:latin typeface="Times New Roman" pitchFamily="18" charset="0"/>
                    <a:cs typeface="Times New Roman" pitchFamily="18" charset="0"/>
                  </a:rPr>
                  <a:t>Kadar</a:t>
                </a:r>
                <a:r>
                  <a:rPr lang="en-US" sz="1200" baseline="0">
                    <a:latin typeface="Times New Roman" pitchFamily="18" charset="0"/>
                    <a:cs typeface="Times New Roman" pitchFamily="18" charset="0"/>
                  </a:rPr>
                  <a:t> GPT (U/I</a:t>
                </a:r>
                <a:endParaRPr lang="id-ID" sz="1200">
                  <a:latin typeface="Times New Roman" pitchFamily="18" charset="0"/>
                  <a:cs typeface="Times New Roman" pitchFamily="18" charset="0"/>
                </a:endParaRPr>
              </a:p>
            </c:rich>
          </c:tx>
          <c:layout>
            <c:manualLayout>
              <c:xMode val="edge"/>
              <c:yMode val="edge"/>
              <c:x val="2.4999973162864012E-2"/>
              <c:y val="0.13618085843358635"/>
            </c:manualLayout>
          </c:layout>
          <c:overlay val="0"/>
        </c:title>
        <c:numFmt formatCode="General" sourceLinked="1"/>
        <c:majorTickMark val="none"/>
        <c:minorTickMark val="none"/>
        <c:tickLblPos val="nextTo"/>
        <c:txPr>
          <a:bodyPr/>
          <a:lstStyle/>
          <a:p>
            <a:pPr>
              <a:defRPr lang="en-US"/>
            </a:pPr>
            <a:endParaRPr lang="en-US"/>
          </a:p>
        </c:txPr>
        <c:crossAx val="1998176368"/>
        <c:crosses val="autoZero"/>
        <c:crossBetween val="between"/>
      </c:valAx>
    </c:plotArea>
    <c:plotVisOnly val="1"/>
    <c:dispBlanksAs val="gap"/>
    <c:showDLblsOverMax val="0"/>
  </c:chart>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0.16183</cdr:x>
      <cdr:y>0.74328</cdr:y>
    </cdr:from>
    <cdr:to>
      <cdr:x>0.97473</cdr:x>
      <cdr:y>0.905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36991" y="1415951"/>
          <a:ext cx="4204374" cy="308074"/>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93DB8-1D5B-4B8F-B9DD-1D39496C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4579</Words>
  <Characters>26103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13</cp:revision>
  <dcterms:created xsi:type="dcterms:W3CDTF">2020-06-15T01:11:00Z</dcterms:created>
  <dcterms:modified xsi:type="dcterms:W3CDTF">2020-06-16T09:56:00Z</dcterms:modified>
</cp:coreProperties>
</file>