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5D96" w14:textId="493AF5BA" w:rsidR="003A1A78" w:rsidRDefault="003A1A78" w:rsidP="003A1A78">
      <w:pPr>
        <w:jc w:val="center"/>
        <w:rPr>
          <w:b/>
          <w:bCs/>
        </w:rPr>
      </w:pPr>
      <w:r w:rsidRPr="00DF472B">
        <w:rPr>
          <w:b/>
          <w:bCs/>
        </w:rPr>
        <w:t xml:space="preserve">Who </w:t>
      </w:r>
      <w:r>
        <w:rPr>
          <w:b/>
          <w:bCs/>
        </w:rPr>
        <w:t>M</w:t>
      </w:r>
      <w:r w:rsidRPr="00DF472B">
        <w:rPr>
          <w:b/>
          <w:bCs/>
        </w:rPr>
        <w:t>ove</w:t>
      </w:r>
      <w:r>
        <w:rPr>
          <w:b/>
          <w:bCs/>
        </w:rPr>
        <w:t>d</w:t>
      </w:r>
      <w:r w:rsidRPr="00DF472B">
        <w:rPr>
          <w:b/>
          <w:bCs/>
        </w:rPr>
        <w:t xml:space="preserve"> </w:t>
      </w:r>
      <w:r>
        <w:rPr>
          <w:b/>
          <w:bCs/>
        </w:rPr>
        <w:t>My</w:t>
      </w:r>
      <w:r w:rsidRPr="00DF472B">
        <w:rPr>
          <w:b/>
          <w:bCs/>
        </w:rPr>
        <w:t xml:space="preserve"> </w:t>
      </w:r>
      <w:r w:rsidRPr="00DF472B">
        <w:rPr>
          <w:b/>
          <w:bCs/>
          <w:i/>
          <w:iCs/>
        </w:rPr>
        <w:t>Sanad</w:t>
      </w:r>
      <w:r w:rsidRPr="00DF472B">
        <w:rPr>
          <w:b/>
          <w:bCs/>
        </w:rPr>
        <w:t xml:space="preserve">? - Another History of </w:t>
      </w:r>
      <w:proofErr w:type="spellStart"/>
      <w:r w:rsidRPr="00DF472B">
        <w:rPr>
          <w:b/>
          <w:bCs/>
          <w:i/>
          <w:iCs/>
        </w:rPr>
        <w:t>Isnād</w:t>
      </w:r>
      <w:proofErr w:type="spellEnd"/>
      <w:r w:rsidRPr="00DF472B">
        <w:rPr>
          <w:b/>
          <w:bCs/>
        </w:rPr>
        <w:t xml:space="preserve"> in the Transmission and Conveyance of </w:t>
      </w:r>
      <w:r w:rsidRPr="00DF472B">
        <w:rPr>
          <w:b/>
          <w:bCs/>
          <w:i/>
          <w:iCs/>
          <w:vanish/>
        </w:rPr>
        <w:t>aḤ</w:t>
      </w:r>
      <w:proofErr w:type="spellStart"/>
      <w:r w:rsidRPr="00DF472B">
        <w:rPr>
          <w:b/>
          <w:bCs/>
          <w:i/>
          <w:iCs/>
        </w:rPr>
        <w:t>Ḥadīth</w:t>
      </w:r>
      <w:proofErr w:type="spellEnd"/>
      <w:r w:rsidRPr="00DF472B">
        <w:rPr>
          <w:b/>
          <w:bCs/>
        </w:rPr>
        <w:t xml:space="preserve"> and Sunnah</w:t>
      </w:r>
    </w:p>
    <w:p w14:paraId="75F1C87E" w14:textId="57A58781" w:rsidR="003A1A78" w:rsidRDefault="003A1A78">
      <w:pPr>
        <w:rPr>
          <w:b/>
          <w:bCs/>
        </w:rPr>
      </w:pPr>
    </w:p>
    <w:p w14:paraId="4360CC44" w14:textId="77777777" w:rsidR="003A1A78" w:rsidRPr="00DF472B" w:rsidRDefault="003A1A78" w:rsidP="003A1A78">
      <w:pPr>
        <w:tabs>
          <w:tab w:val="left" w:pos="24"/>
        </w:tabs>
        <w:adjustRightInd w:val="0"/>
        <w:snapToGrid w:val="0"/>
        <w:ind w:left="426"/>
        <w:jc w:val="center"/>
        <w:rPr>
          <w:bCs/>
          <w:color w:val="000000"/>
          <w:lang w:eastAsia="ko-KR"/>
        </w:rPr>
      </w:pPr>
      <w:proofErr w:type="spellStart"/>
      <w:r w:rsidRPr="00DF472B">
        <w:rPr>
          <w:bCs/>
          <w:color w:val="000000"/>
          <w:lang w:eastAsia="ko-KR"/>
        </w:rPr>
        <w:t>Khairil</w:t>
      </w:r>
      <w:proofErr w:type="spellEnd"/>
      <w:r w:rsidRPr="00DF472B">
        <w:rPr>
          <w:bCs/>
          <w:color w:val="000000"/>
          <w:lang w:eastAsia="ko-KR"/>
        </w:rPr>
        <w:t xml:space="preserve"> </w:t>
      </w:r>
      <w:proofErr w:type="spellStart"/>
      <w:r w:rsidRPr="00DF472B">
        <w:rPr>
          <w:bCs/>
          <w:color w:val="000000"/>
          <w:lang w:eastAsia="ko-KR"/>
        </w:rPr>
        <w:t>Husaini</w:t>
      </w:r>
      <w:proofErr w:type="spellEnd"/>
      <w:r w:rsidRPr="00DF472B">
        <w:rPr>
          <w:bCs/>
          <w:color w:val="000000"/>
          <w:lang w:eastAsia="ko-KR"/>
        </w:rPr>
        <w:t xml:space="preserve"> Bin Jamil</w:t>
      </w:r>
    </w:p>
    <w:p w14:paraId="044C31EA" w14:textId="79EC73D7" w:rsidR="003A1A78" w:rsidRDefault="003A1A78" w:rsidP="003A1A78">
      <w:pPr>
        <w:jc w:val="center"/>
        <w:rPr>
          <w:bCs/>
          <w:color w:val="000000"/>
          <w:lang w:eastAsia="ko-KR"/>
        </w:rPr>
      </w:pPr>
      <w:hyperlink r:id="rId7" w:history="1">
        <w:r w:rsidRPr="00C86ED3">
          <w:rPr>
            <w:rStyle w:val="Hyperlink"/>
            <w:bCs/>
            <w:lang w:eastAsia="ko-KR"/>
          </w:rPr>
          <w:t>husaini@iium.edu.my</w:t>
        </w:r>
      </w:hyperlink>
    </w:p>
    <w:p w14:paraId="1B442102" w14:textId="77777777" w:rsidR="003A1A78" w:rsidRDefault="003A1A78" w:rsidP="003A1A78">
      <w:pPr>
        <w:jc w:val="center"/>
      </w:pPr>
    </w:p>
    <w:p w14:paraId="15752C82" w14:textId="77777777" w:rsidR="003A1A78" w:rsidRPr="00DF472B" w:rsidRDefault="003A1A78" w:rsidP="003A1A78">
      <w:pPr>
        <w:widowControl w:val="0"/>
        <w:spacing w:after="100" w:line="276" w:lineRule="auto"/>
        <w:jc w:val="both"/>
        <w:rPr>
          <w:rFonts w:eastAsia="SimSun"/>
          <w:kern w:val="2"/>
          <w:lang w:eastAsia="zh-CN"/>
        </w:rPr>
      </w:pPr>
      <w:r w:rsidRPr="00DF472B">
        <w:rPr>
          <w:rFonts w:eastAsia="SimSun"/>
          <w:b/>
          <w:bCs/>
          <w:kern w:val="2"/>
          <w:lang w:eastAsia="zh-CN"/>
        </w:rPr>
        <w:t xml:space="preserve">Abstract: </w:t>
      </w:r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This paper investigates the beginning of a phenomenon observed amongst later </w:t>
      </w:r>
      <w:proofErr w:type="spellStart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>ḥadīth</w:t>
      </w:r>
      <w:proofErr w:type="spellEnd"/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 compilers that is the omission of </w:t>
      </w:r>
      <w:proofErr w:type="spellStart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>sanad</w:t>
      </w:r>
      <w:r w:rsidRPr="00DF472B">
        <w:rPr>
          <w:rFonts w:asciiTheme="majorBidi" w:eastAsia="SimSun" w:hAnsiTheme="majorBidi" w:cstheme="majorBidi"/>
          <w:kern w:val="2"/>
          <w:lang w:eastAsia="zh-CN"/>
        </w:rPr>
        <w:t>s</w:t>
      </w:r>
      <w:proofErr w:type="spellEnd"/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 from </w:t>
      </w:r>
      <w:r>
        <w:rPr>
          <w:rFonts w:asciiTheme="majorBidi" w:eastAsia="SimSun" w:hAnsiTheme="majorBidi" w:cstheme="majorBidi"/>
          <w:kern w:val="2"/>
          <w:lang w:eastAsia="zh-CN"/>
        </w:rPr>
        <w:t xml:space="preserve">some of </w:t>
      </w:r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their works dedicated to conveying the </w:t>
      </w:r>
      <w:proofErr w:type="spellStart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>ḥadīth</w:t>
      </w:r>
      <w:r w:rsidRPr="00DF472B">
        <w:rPr>
          <w:rFonts w:asciiTheme="majorBidi" w:eastAsia="SimSun" w:hAnsiTheme="majorBidi" w:cstheme="majorBidi"/>
          <w:kern w:val="2"/>
          <w:lang w:eastAsia="zh-CN"/>
        </w:rPr>
        <w:t>s</w:t>
      </w:r>
      <w:proofErr w:type="spellEnd"/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 of Prophet </w:t>
      </w:r>
      <w:proofErr w:type="spellStart"/>
      <w:r w:rsidRPr="00DF472B">
        <w:rPr>
          <w:rFonts w:asciiTheme="majorBidi" w:eastAsia="SimSun" w:hAnsiTheme="majorBidi" w:cstheme="majorBidi"/>
          <w:kern w:val="2"/>
          <w:lang w:eastAsia="zh-CN"/>
        </w:rPr>
        <w:t>Muḥammad</w:t>
      </w:r>
      <w:proofErr w:type="spellEnd"/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. Some of them produced another specific work to present the </w:t>
      </w:r>
      <w:proofErr w:type="spellStart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>ḥadīth</w:t>
      </w:r>
      <w:r w:rsidRPr="00DF472B">
        <w:rPr>
          <w:rFonts w:asciiTheme="majorBidi" w:eastAsia="SimSun" w:hAnsiTheme="majorBidi" w:cstheme="majorBidi"/>
          <w:kern w:val="2"/>
          <w:lang w:eastAsia="zh-CN"/>
        </w:rPr>
        <w:t>s</w:t>
      </w:r>
      <w:proofErr w:type="spellEnd"/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 with </w:t>
      </w:r>
      <w:proofErr w:type="spellStart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>sanad</w:t>
      </w:r>
      <w:r w:rsidRPr="00DF472B">
        <w:rPr>
          <w:rFonts w:asciiTheme="majorBidi" w:eastAsia="SimSun" w:hAnsiTheme="majorBidi" w:cstheme="majorBidi"/>
          <w:kern w:val="2"/>
          <w:lang w:eastAsia="zh-CN"/>
        </w:rPr>
        <w:t>s</w:t>
      </w:r>
      <w:proofErr w:type="spellEnd"/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 and others may resort to compiling only </w:t>
      </w:r>
      <w:proofErr w:type="spellStart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>sanad</w:t>
      </w:r>
      <w:r w:rsidRPr="00DF472B">
        <w:rPr>
          <w:rFonts w:asciiTheme="majorBidi" w:eastAsia="SimSun" w:hAnsiTheme="majorBidi" w:cstheme="majorBidi"/>
          <w:kern w:val="2"/>
          <w:lang w:eastAsia="zh-CN"/>
        </w:rPr>
        <w:t>s</w:t>
      </w:r>
      <w:proofErr w:type="spellEnd"/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 in their </w:t>
      </w:r>
      <w:proofErr w:type="spellStart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>thabat</w:t>
      </w:r>
      <w:proofErr w:type="spellEnd"/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 or records of </w:t>
      </w:r>
      <w:proofErr w:type="spellStart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>ijāzāt</w:t>
      </w:r>
      <w:proofErr w:type="spellEnd"/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 and </w:t>
      </w:r>
      <w:proofErr w:type="spellStart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>samāʿāt</w:t>
      </w:r>
      <w:proofErr w:type="spellEnd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 xml:space="preserve"> </w:t>
      </w:r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(audition certificates). This phenomenon speaks volumes about the authority of </w:t>
      </w:r>
      <w:proofErr w:type="spellStart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>sanad</w:t>
      </w:r>
      <w:proofErr w:type="spellEnd"/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 and </w:t>
      </w:r>
      <w:proofErr w:type="spellStart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>isnād</w:t>
      </w:r>
      <w:proofErr w:type="spellEnd"/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 in later Muslim intellectual tradition. Since many modern studies have mostly accorded its attention to the dating and function of </w:t>
      </w:r>
      <w:proofErr w:type="spellStart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>isnād</w:t>
      </w:r>
      <w:proofErr w:type="spellEnd"/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 methodology, and expectedly of the formative periods of Islam, the study of </w:t>
      </w:r>
      <w:proofErr w:type="spellStart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>sanad</w:t>
      </w:r>
      <w:proofErr w:type="spellEnd"/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 omission from a </w:t>
      </w:r>
      <w:proofErr w:type="spellStart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>ḥadīth</w:t>
      </w:r>
      <w:proofErr w:type="spellEnd"/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 treatise has been completely neglected although it should have been examined careful</w:t>
      </w:r>
      <w:r>
        <w:rPr>
          <w:rFonts w:asciiTheme="majorBidi" w:eastAsia="SimSun" w:hAnsiTheme="majorBidi" w:cstheme="majorBidi"/>
          <w:kern w:val="2"/>
          <w:lang w:eastAsia="zh-CN"/>
        </w:rPr>
        <w:t>ly</w:t>
      </w:r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, </w:t>
      </w:r>
      <w:r>
        <w:rPr>
          <w:rFonts w:asciiTheme="majorBidi" w:eastAsia="SimSun" w:hAnsiTheme="majorBidi" w:cstheme="majorBidi"/>
          <w:kern w:val="2"/>
          <w:lang w:eastAsia="zh-CN"/>
        </w:rPr>
        <w:t xml:space="preserve">in </w:t>
      </w:r>
      <w:r w:rsidRPr="00DF472B">
        <w:rPr>
          <w:rFonts w:asciiTheme="majorBidi" w:eastAsia="SimSun" w:hAnsiTheme="majorBidi" w:cstheme="majorBidi"/>
          <w:kern w:val="2"/>
          <w:lang w:eastAsia="zh-CN"/>
        </w:rPr>
        <w:t>particular</w:t>
      </w:r>
      <w:r>
        <w:rPr>
          <w:rFonts w:asciiTheme="majorBidi" w:eastAsia="SimSun" w:hAnsiTheme="majorBidi" w:cstheme="majorBidi"/>
          <w:kern w:val="2"/>
          <w:lang w:eastAsia="zh-CN"/>
        </w:rPr>
        <w:t xml:space="preserve"> </w:t>
      </w:r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on the reception of and responses to the phenomenon </w:t>
      </w:r>
      <w:r>
        <w:rPr>
          <w:rFonts w:asciiTheme="majorBidi" w:eastAsia="SimSun" w:hAnsiTheme="majorBidi" w:cstheme="majorBidi"/>
          <w:kern w:val="2"/>
          <w:lang w:eastAsia="zh-CN"/>
        </w:rPr>
        <w:t>amongst the scholars</w:t>
      </w:r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 of </w:t>
      </w:r>
      <w:proofErr w:type="spellStart"/>
      <w:r w:rsidRPr="00DF472B">
        <w:rPr>
          <w:rFonts w:asciiTheme="majorBidi" w:eastAsia="SimSun" w:hAnsiTheme="majorBidi" w:cstheme="majorBidi"/>
          <w:i/>
          <w:iCs/>
          <w:kern w:val="2"/>
          <w:lang w:eastAsia="zh-CN"/>
        </w:rPr>
        <w:t>ḥadīth</w:t>
      </w:r>
      <w:proofErr w:type="spellEnd"/>
      <w:r w:rsidRPr="00DF472B">
        <w:rPr>
          <w:rFonts w:asciiTheme="majorBidi" w:eastAsia="SimSun" w:hAnsiTheme="majorBidi" w:cstheme="majorBidi"/>
          <w:kern w:val="2"/>
          <w:lang w:eastAsia="zh-CN"/>
        </w:rPr>
        <w:t xml:space="preserve">. This paper argues that the Egyptian judge, </w:t>
      </w:r>
      <w:bookmarkStart w:id="0" w:name="_Hlk98424233"/>
      <w:proofErr w:type="spellStart"/>
      <w:r w:rsidRPr="00DF472B">
        <w:rPr>
          <w:rFonts w:asciiTheme="majorBidi" w:eastAsia="Garamond" w:hAnsiTheme="majorBidi" w:cstheme="majorBidi"/>
        </w:rPr>
        <w:t>Muḥammad</w:t>
      </w:r>
      <w:proofErr w:type="spellEnd"/>
      <w:r w:rsidRPr="00DF472B">
        <w:rPr>
          <w:rFonts w:asciiTheme="majorBidi" w:eastAsia="Garamond" w:hAnsiTheme="majorBidi" w:cstheme="majorBidi"/>
        </w:rPr>
        <w:t xml:space="preserve"> ibn </w:t>
      </w:r>
      <w:proofErr w:type="spellStart"/>
      <w:r w:rsidRPr="00DF472B">
        <w:rPr>
          <w:rFonts w:asciiTheme="majorBidi" w:eastAsia="Garamond" w:hAnsiTheme="majorBidi" w:cstheme="majorBidi"/>
        </w:rPr>
        <w:t>Salāmah</w:t>
      </w:r>
      <w:proofErr w:type="spellEnd"/>
      <w:r w:rsidRPr="00DF472B">
        <w:rPr>
          <w:rFonts w:asciiTheme="majorBidi" w:eastAsia="Garamond" w:hAnsiTheme="majorBidi" w:cstheme="majorBidi"/>
        </w:rPr>
        <w:t xml:space="preserve"> al-</w:t>
      </w:r>
      <w:proofErr w:type="spellStart"/>
      <w:r w:rsidRPr="00DF472B">
        <w:rPr>
          <w:rFonts w:asciiTheme="majorBidi" w:eastAsia="Garamond" w:hAnsiTheme="majorBidi" w:cstheme="majorBidi"/>
        </w:rPr>
        <w:t>Quḍāʿī</w:t>
      </w:r>
      <w:proofErr w:type="spellEnd"/>
      <w:r w:rsidRPr="00DF472B">
        <w:rPr>
          <w:rFonts w:asciiTheme="majorBidi" w:eastAsia="Garamond" w:hAnsiTheme="majorBidi" w:cstheme="majorBidi"/>
        </w:rPr>
        <w:t xml:space="preserve"> </w:t>
      </w:r>
      <w:bookmarkEnd w:id="0"/>
      <w:r w:rsidRPr="00DF472B">
        <w:rPr>
          <w:rFonts w:asciiTheme="majorBidi" w:eastAsia="Garamond" w:hAnsiTheme="majorBidi" w:cstheme="majorBidi"/>
        </w:rPr>
        <w:t xml:space="preserve">(454AH) shall be recognised as the first </w:t>
      </w:r>
      <w:proofErr w:type="spellStart"/>
      <w:r w:rsidRPr="00DF472B">
        <w:rPr>
          <w:rFonts w:asciiTheme="majorBidi" w:eastAsia="Garamond" w:hAnsiTheme="majorBidi" w:cstheme="majorBidi"/>
          <w:i/>
          <w:iCs/>
        </w:rPr>
        <w:t>ḥadīth</w:t>
      </w:r>
      <w:proofErr w:type="spellEnd"/>
      <w:r w:rsidRPr="00DF472B">
        <w:rPr>
          <w:rFonts w:asciiTheme="majorBidi" w:eastAsia="Garamond" w:hAnsiTheme="majorBidi" w:cstheme="majorBidi"/>
        </w:rPr>
        <w:t xml:space="preserve"> scholar to produce a </w:t>
      </w:r>
      <w:proofErr w:type="spellStart"/>
      <w:r w:rsidRPr="00DF472B">
        <w:rPr>
          <w:rFonts w:asciiTheme="majorBidi" w:eastAsia="Garamond" w:hAnsiTheme="majorBidi" w:cstheme="majorBidi"/>
          <w:i/>
          <w:iCs/>
        </w:rPr>
        <w:t>ḥadīth</w:t>
      </w:r>
      <w:proofErr w:type="spellEnd"/>
      <w:r w:rsidRPr="00DF472B">
        <w:rPr>
          <w:rFonts w:asciiTheme="majorBidi" w:eastAsia="Garamond" w:hAnsiTheme="majorBidi" w:cstheme="majorBidi"/>
        </w:rPr>
        <w:t xml:space="preserve"> </w:t>
      </w:r>
      <w:r>
        <w:rPr>
          <w:rFonts w:asciiTheme="majorBidi" w:eastAsia="Garamond" w:hAnsiTheme="majorBidi" w:cstheme="majorBidi"/>
        </w:rPr>
        <w:t>treatise</w:t>
      </w:r>
      <w:r w:rsidRPr="00DF472B">
        <w:rPr>
          <w:rFonts w:asciiTheme="majorBidi" w:eastAsia="Garamond" w:hAnsiTheme="majorBidi" w:cstheme="majorBidi"/>
        </w:rPr>
        <w:t xml:space="preserve"> whose </w:t>
      </w:r>
      <w:proofErr w:type="spellStart"/>
      <w:r w:rsidRPr="00DF472B">
        <w:rPr>
          <w:rFonts w:asciiTheme="majorBidi" w:eastAsia="Garamond" w:hAnsiTheme="majorBidi" w:cstheme="majorBidi"/>
          <w:i/>
          <w:iCs/>
        </w:rPr>
        <w:t>ḥadīth</w:t>
      </w:r>
      <w:r w:rsidRPr="00DF472B">
        <w:rPr>
          <w:rFonts w:asciiTheme="majorBidi" w:eastAsia="Garamond" w:hAnsiTheme="majorBidi" w:cstheme="majorBidi"/>
        </w:rPr>
        <w:t>s</w:t>
      </w:r>
      <w:proofErr w:type="spellEnd"/>
      <w:r w:rsidRPr="00DF472B">
        <w:rPr>
          <w:rFonts w:asciiTheme="majorBidi" w:eastAsia="Garamond" w:hAnsiTheme="majorBidi" w:cstheme="majorBidi"/>
        </w:rPr>
        <w:t xml:space="preserve"> are not accompanied by </w:t>
      </w:r>
      <w:proofErr w:type="spellStart"/>
      <w:r w:rsidRPr="00DF472B">
        <w:rPr>
          <w:rFonts w:asciiTheme="majorBidi" w:eastAsia="Garamond" w:hAnsiTheme="majorBidi" w:cstheme="majorBidi"/>
          <w:i/>
          <w:iCs/>
        </w:rPr>
        <w:t>sanad</w:t>
      </w:r>
      <w:proofErr w:type="spellEnd"/>
      <w:r w:rsidRPr="00DF472B">
        <w:rPr>
          <w:rFonts w:asciiTheme="majorBidi" w:eastAsia="Garamond" w:hAnsiTheme="majorBidi" w:cstheme="majorBidi"/>
        </w:rPr>
        <w:t xml:space="preserve">. He dedicated another work to preserve its </w:t>
      </w:r>
      <w:proofErr w:type="spellStart"/>
      <w:r w:rsidRPr="00DF472B">
        <w:rPr>
          <w:rFonts w:asciiTheme="majorBidi" w:eastAsia="Garamond" w:hAnsiTheme="majorBidi" w:cstheme="majorBidi"/>
          <w:i/>
          <w:iCs/>
        </w:rPr>
        <w:t>sanad</w:t>
      </w:r>
      <w:r w:rsidRPr="00DF472B">
        <w:rPr>
          <w:rFonts w:asciiTheme="majorBidi" w:eastAsia="Garamond" w:hAnsiTheme="majorBidi" w:cstheme="majorBidi"/>
        </w:rPr>
        <w:t>s</w:t>
      </w:r>
      <w:proofErr w:type="spellEnd"/>
      <w:r w:rsidRPr="00DF472B">
        <w:rPr>
          <w:rFonts w:asciiTheme="majorBidi" w:eastAsia="Garamond" w:hAnsiTheme="majorBidi" w:cstheme="majorBidi"/>
        </w:rPr>
        <w:t xml:space="preserve"> and by so doing, introduced the </w:t>
      </w:r>
      <w:proofErr w:type="spellStart"/>
      <w:r w:rsidRPr="00DF472B">
        <w:rPr>
          <w:rFonts w:asciiTheme="majorBidi" w:eastAsia="Garamond" w:hAnsiTheme="majorBidi" w:cstheme="majorBidi"/>
          <w:i/>
          <w:iCs/>
        </w:rPr>
        <w:t>mujarrad-musnad</w:t>
      </w:r>
      <w:proofErr w:type="spellEnd"/>
      <w:r w:rsidRPr="00DF472B">
        <w:rPr>
          <w:rFonts w:asciiTheme="majorBidi" w:eastAsia="Garamond" w:hAnsiTheme="majorBidi" w:cstheme="majorBidi"/>
        </w:rPr>
        <w:t xml:space="preserve"> method into </w:t>
      </w:r>
      <w:proofErr w:type="spellStart"/>
      <w:r w:rsidRPr="00DF472B">
        <w:rPr>
          <w:rFonts w:asciiTheme="majorBidi" w:eastAsia="Garamond" w:hAnsiTheme="majorBidi" w:cstheme="majorBidi"/>
          <w:i/>
          <w:iCs/>
        </w:rPr>
        <w:t>ḥadīth</w:t>
      </w:r>
      <w:proofErr w:type="spellEnd"/>
      <w:r w:rsidRPr="00DF472B">
        <w:rPr>
          <w:rFonts w:asciiTheme="majorBidi" w:eastAsia="Garamond" w:hAnsiTheme="majorBidi" w:cstheme="majorBidi"/>
          <w:i/>
          <w:iCs/>
        </w:rPr>
        <w:t xml:space="preserve"> </w:t>
      </w:r>
      <w:r w:rsidRPr="00DF472B">
        <w:rPr>
          <w:rFonts w:asciiTheme="majorBidi" w:eastAsia="Garamond" w:hAnsiTheme="majorBidi" w:cstheme="majorBidi"/>
        </w:rPr>
        <w:t xml:space="preserve">literature. His </w:t>
      </w:r>
      <w:proofErr w:type="spellStart"/>
      <w:r w:rsidRPr="00DF472B">
        <w:rPr>
          <w:rFonts w:asciiTheme="majorBidi" w:eastAsia="Garamond" w:hAnsiTheme="majorBidi" w:cstheme="majorBidi"/>
          <w:i/>
          <w:iCs/>
        </w:rPr>
        <w:t>mujarrad</w:t>
      </w:r>
      <w:proofErr w:type="spellEnd"/>
      <w:r w:rsidRPr="00DF472B">
        <w:rPr>
          <w:rFonts w:asciiTheme="majorBidi" w:eastAsia="Garamond" w:hAnsiTheme="majorBidi" w:cstheme="majorBidi"/>
        </w:rPr>
        <w:t xml:space="preserve"> collection titled </w:t>
      </w:r>
      <w:proofErr w:type="spellStart"/>
      <w:r w:rsidRPr="00DF472B">
        <w:rPr>
          <w:rFonts w:asciiTheme="majorBidi" w:eastAsia="Garamond" w:hAnsiTheme="majorBidi" w:cstheme="majorBidi"/>
          <w:i/>
          <w:iCs/>
        </w:rPr>
        <w:t>Shihāb</w:t>
      </w:r>
      <w:proofErr w:type="spellEnd"/>
      <w:r w:rsidRPr="00DF472B">
        <w:rPr>
          <w:rFonts w:asciiTheme="majorBidi" w:eastAsia="Garamond" w:hAnsiTheme="majorBidi" w:cstheme="majorBidi"/>
          <w:i/>
          <w:iCs/>
        </w:rPr>
        <w:t xml:space="preserve"> al-</w:t>
      </w:r>
      <w:proofErr w:type="spellStart"/>
      <w:r w:rsidRPr="00DF472B">
        <w:rPr>
          <w:rFonts w:asciiTheme="majorBidi" w:eastAsia="Garamond" w:hAnsiTheme="majorBidi" w:cstheme="majorBidi"/>
          <w:i/>
          <w:iCs/>
        </w:rPr>
        <w:t>Akhbār</w:t>
      </w:r>
      <w:proofErr w:type="spellEnd"/>
      <w:r w:rsidRPr="00DF472B">
        <w:rPr>
          <w:rFonts w:asciiTheme="majorBidi" w:eastAsia="Garamond" w:hAnsiTheme="majorBidi" w:cstheme="majorBidi"/>
        </w:rPr>
        <w:t xml:space="preserve"> gained incredible praise and became one of the most memorised works of </w:t>
      </w:r>
      <w:proofErr w:type="spellStart"/>
      <w:r w:rsidRPr="00DF472B">
        <w:rPr>
          <w:rFonts w:asciiTheme="majorBidi" w:eastAsia="Garamond" w:hAnsiTheme="majorBidi" w:cstheme="majorBidi"/>
          <w:i/>
          <w:iCs/>
        </w:rPr>
        <w:t>ḥadīth</w:t>
      </w:r>
      <w:proofErr w:type="spellEnd"/>
      <w:r w:rsidRPr="00DF472B">
        <w:rPr>
          <w:rFonts w:asciiTheme="majorBidi" w:eastAsia="Garamond" w:hAnsiTheme="majorBidi" w:cstheme="majorBidi"/>
        </w:rPr>
        <w:t xml:space="preserve">. The method of </w:t>
      </w:r>
      <w:proofErr w:type="spellStart"/>
      <w:r w:rsidRPr="00DF472B">
        <w:rPr>
          <w:rFonts w:asciiTheme="majorBidi" w:eastAsia="Garamond" w:hAnsiTheme="majorBidi" w:cstheme="majorBidi"/>
          <w:i/>
          <w:iCs/>
        </w:rPr>
        <w:t>mujarrad</w:t>
      </w:r>
      <w:proofErr w:type="spellEnd"/>
      <w:r w:rsidRPr="00DF472B">
        <w:rPr>
          <w:rFonts w:asciiTheme="majorBidi" w:eastAsia="Garamond" w:hAnsiTheme="majorBidi" w:cstheme="majorBidi"/>
          <w:i/>
          <w:iCs/>
        </w:rPr>
        <w:t xml:space="preserve"> </w:t>
      </w:r>
      <w:r w:rsidRPr="00DF472B">
        <w:rPr>
          <w:rFonts w:asciiTheme="majorBidi" w:eastAsia="Garamond" w:hAnsiTheme="majorBidi" w:cstheme="majorBidi"/>
        </w:rPr>
        <w:t xml:space="preserve">has also been emulated by other eminent </w:t>
      </w:r>
      <w:proofErr w:type="spellStart"/>
      <w:r w:rsidRPr="00DF472B">
        <w:rPr>
          <w:rFonts w:asciiTheme="majorBidi" w:eastAsia="Garamond" w:hAnsiTheme="majorBidi" w:cstheme="majorBidi"/>
          <w:i/>
          <w:iCs/>
        </w:rPr>
        <w:t>ḥadīth</w:t>
      </w:r>
      <w:proofErr w:type="spellEnd"/>
      <w:r w:rsidRPr="00DF472B">
        <w:rPr>
          <w:rFonts w:asciiTheme="majorBidi" w:eastAsia="Garamond" w:hAnsiTheme="majorBidi" w:cstheme="majorBidi"/>
        </w:rPr>
        <w:t xml:space="preserve"> scholars such as al-</w:t>
      </w:r>
      <w:proofErr w:type="spellStart"/>
      <w:r w:rsidRPr="00DF472B">
        <w:rPr>
          <w:rFonts w:asciiTheme="majorBidi" w:eastAsia="Garamond" w:hAnsiTheme="majorBidi" w:cstheme="majorBidi"/>
        </w:rPr>
        <w:t>Daylamī</w:t>
      </w:r>
      <w:proofErr w:type="spellEnd"/>
      <w:r w:rsidRPr="00DF472B">
        <w:rPr>
          <w:rFonts w:asciiTheme="majorBidi" w:eastAsia="Garamond" w:hAnsiTheme="majorBidi" w:cstheme="majorBidi"/>
        </w:rPr>
        <w:t xml:space="preserve"> and al-</w:t>
      </w:r>
      <w:proofErr w:type="spellStart"/>
      <w:r w:rsidRPr="00DF472B">
        <w:rPr>
          <w:rFonts w:asciiTheme="majorBidi" w:eastAsia="Garamond" w:hAnsiTheme="majorBidi" w:cstheme="majorBidi"/>
        </w:rPr>
        <w:t>Nawawī</w:t>
      </w:r>
      <w:proofErr w:type="spellEnd"/>
      <w:r w:rsidRPr="00DF472B">
        <w:rPr>
          <w:rFonts w:asciiTheme="majorBidi" w:eastAsia="Garamond" w:hAnsiTheme="majorBidi" w:cstheme="majorBidi"/>
        </w:rPr>
        <w:t xml:space="preserve"> and contributed to the successful dissemination of </w:t>
      </w:r>
      <w:proofErr w:type="spellStart"/>
      <w:r w:rsidRPr="00DF472B">
        <w:rPr>
          <w:rFonts w:asciiTheme="majorBidi" w:eastAsia="Garamond" w:hAnsiTheme="majorBidi" w:cstheme="majorBidi"/>
          <w:i/>
          <w:iCs/>
        </w:rPr>
        <w:t>ḥadīth</w:t>
      </w:r>
      <w:r w:rsidRPr="00DF472B">
        <w:rPr>
          <w:rFonts w:asciiTheme="majorBidi" w:eastAsia="Garamond" w:hAnsiTheme="majorBidi" w:cstheme="majorBidi"/>
        </w:rPr>
        <w:t>s</w:t>
      </w:r>
      <w:proofErr w:type="spellEnd"/>
      <w:r w:rsidRPr="00DF472B">
        <w:rPr>
          <w:rFonts w:asciiTheme="majorBidi" w:eastAsia="Garamond" w:hAnsiTheme="majorBidi" w:cstheme="majorBidi"/>
        </w:rPr>
        <w:t xml:space="preserve"> in later Muslim communities.</w:t>
      </w:r>
    </w:p>
    <w:p w14:paraId="4B39308C" w14:textId="77777777" w:rsidR="003A1A78" w:rsidRPr="00DF472B" w:rsidRDefault="003A1A78" w:rsidP="003A1A78">
      <w:pPr>
        <w:widowControl w:val="0"/>
        <w:spacing w:after="100" w:line="276" w:lineRule="auto"/>
        <w:jc w:val="both"/>
        <w:rPr>
          <w:rFonts w:eastAsia="SimSun"/>
          <w:b/>
          <w:bCs/>
          <w:kern w:val="2"/>
          <w:lang w:eastAsia="zh-CN"/>
        </w:rPr>
      </w:pPr>
    </w:p>
    <w:p w14:paraId="6C0842F9" w14:textId="77777777" w:rsidR="003A1A78" w:rsidRPr="00DF472B" w:rsidRDefault="003A1A78" w:rsidP="003A1A78">
      <w:pPr>
        <w:widowControl w:val="0"/>
        <w:spacing w:after="320" w:line="276" w:lineRule="auto"/>
        <w:ind w:left="1276" w:hanging="1276"/>
        <w:jc w:val="both"/>
        <w:rPr>
          <w:rFonts w:eastAsia="Garamond"/>
          <w:b/>
        </w:rPr>
      </w:pPr>
      <w:r w:rsidRPr="00DF472B">
        <w:rPr>
          <w:b/>
        </w:rPr>
        <w:t xml:space="preserve">Keywords: </w:t>
      </w:r>
      <w:r w:rsidRPr="00DF472B">
        <w:t xml:space="preserve">The authority of </w:t>
      </w:r>
      <w:proofErr w:type="spellStart"/>
      <w:r w:rsidRPr="00DF472B">
        <w:rPr>
          <w:i/>
          <w:iCs/>
        </w:rPr>
        <w:t>sanad</w:t>
      </w:r>
      <w:proofErr w:type="spellEnd"/>
      <w:r w:rsidRPr="00DF472B">
        <w:t xml:space="preserve">, </w:t>
      </w:r>
      <w:r w:rsidRPr="00DF472B">
        <w:rPr>
          <w:i/>
          <w:iCs/>
        </w:rPr>
        <w:t>isnad</w:t>
      </w:r>
      <w:r w:rsidRPr="00DF472B">
        <w:t xml:space="preserve"> and </w:t>
      </w:r>
      <w:proofErr w:type="spellStart"/>
      <w:r w:rsidRPr="00DF472B">
        <w:rPr>
          <w:i/>
          <w:iCs/>
        </w:rPr>
        <w:t>tajrīd</w:t>
      </w:r>
      <w:proofErr w:type="spellEnd"/>
      <w:r w:rsidRPr="00DF472B">
        <w:t xml:space="preserve"> methodology, </w:t>
      </w:r>
      <w:proofErr w:type="spellStart"/>
      <w:r w:rsidRPr="00DF472B">
        <w:rPr>
          <w:i/>
          <w:iCs/>
        </w:rPr>
        <w:t>ḥadīth</w:t>
      </w:r>
      <w:proofErr w:type="spellEnd"/>
      <w:r w:rsidRPr="00DF472B">
        <w:t xml:space="preserve"> literature, al-</w:t>
      </w:r>
      <w:proofErr w:type="spellStart"/>
      <w:r w:rsidRPr="00DF472B">
        <w:t>Qāḍī</w:t>
      </w:r>
      <w:proofErr w:type="spellEnd"/>
      <w:r w:rsidRPr="00DF472B">
        <w:t xml:space="preserve"> al-</w:t>
      </w:r>
      <w:proofErr w:type="spellStart"/>
      <w:r w:rsidRPr="00DF472B">
        <w:t>Quḍāʿī</w:t>
      </w:r>
      <w:proofErr w:type="spellEnd"/>
      <w:r w:rsidRPr="00DF472B">
        <w:t xml:space="preserve">, </w:t>
      </w:r>
      <w:r w:rsidRPr="00DF472B">
        <w:rPr>
          <w:i/>
          <w:iCs/>
        </w:rPr>
        <w:t>al-</w:t>
      </w:r>
      <w:proofErr w:type="spellStart"/>
      <w:r w:rsidRPr="00DF472B">
        <w:rPr>
          <w:i/>
          <w:iCs/>
        </w:rPr>
        <w:t>Shihāb</w:t>
      </w:r>
      <w:proofErr w:type="spellEnd"/>
      <w:r w:rsidRPr="00DF472B">
        <w:t>.</w:t>
      </w:r>
    </w:p>
    <w:p w14:paraId="40F8BA93" w14:textId="7F24F4D0" w:rsidR="003A1A78" w:rsidRDefault="003A1A78"/>
    <w:p w14:paraId="47D0DD8D" w14:textId="32D04C28" w:rsidR="003A1A78" w:rsidRDefault="003A1A78"/>
    <w:p w14:paraId="7C065D84" w14:textId="1B3E79A1" w:rsidR="003A1A78" w:rsidRDefault="003A1A78"/>
    <w:p w14:paraId="46CCE5E3" w14:textId="3D9C0B7C" w:rsidR="003A1A78" w:rsidRDefault="003A1A78"/>
    <w:p w14:paraId="26715B9B" w14:textId="65D40EB1" w:rsidR="003A1A78" w:rsidRDefault="003A1A78"/>
    <w:p w14:paraId="13447DC9" w14:textId="459A478F" w:rsidR="003A1A78" w:rsidRDefault="003A1A78"/>
    <w:p w14:paraId="4AB813FD" w14:textId="12E39EFD" w:rsidR="003A1A78" w:rsidRDefault="003A1A78"/>
    <w:p w14:paraId="41570DBA" w14:textId="43B66CCA" w:rsidR="003A1A78" w:rsidRDefault="003A1A78"/>
    <w:p w14:paraId="48786184" w14:textId="4D41E084" w:rsidR="003A1A78" w:rsidRDefault="003A1A78"/>
    <w:p w14:paraId="734F0071" w14:textId="38D0DCBF" w:rsidR="003A1A78" w:rsidRDefault="003A1A78"/>
    <w:p w14:paraId="3FB1623B" w14:textId="131238EB" w:rsidR="003A1A78" w:rsidRDefault="003A1A78"/>
    <w:p w14:paraId="3D1E4DC9" w14:textId="4E9AFD9F" w:rsidR="003A1A78" w:rsidRDefault="003A1A78"/>
    <w:p w14:paraId="2B00A24B" w14:textId="525ECF71" w:rsidR="003A1A78" w:rsidRDefault="003A1A78"/>
    <w:p w14:paraId="1A4904BC" w14:textId="7E475C3C" w:rsidR="003A1A78" w:rsidRDefault="003A1A78"/>
    <w:p w14:paraId="5DD70E21" w14:textId="77777777" w:rsidR="003A1A78" w:rsidRPr="00DF472B" w:rsidRDefault="003A1A78" w:rsidP="003A1A78">
      <w:pPr>
        <w:widowControl w:val="0"/>
        <w:spacing w:after="240" w:line="360" w:lineRule="auto"/>
        <w:ind w:right="-40"/>
        <w:rPr>
          <w:rFonts w:asciiTheme="majorBidi" w:eastAsia="Garamond" w:hAnsiTheme="majorBidi" w:cstheme="majorBidi"/>
          <w:b/>
        </w:rPr>
      </w:pPr>
      <w:r w:rsidRPr="00DF472B">
        <w:rPr>
          <w:rFonts w:asciiTheme="majorBidi" w:eastAsia="Garamond" w:hAnsiTheme="majorBidi" w:cstheme="majorBidi"/>
          <w:b/>
        </w:rPr>
        <w:lastRenderedPageBreak/>
        <w:t xml:space="preserve">Introduction </w:t>
      </w:r>
    </w:p>
    <w:p w14:paraId="1E45F024" w14:textId="77777777" w:rsidR="003A1A78" w:rsidRPr="00DF472B" w:rsidRDefault="003A1A78" w:rsidP="003A1A78">
      <w:pPr>
        <w:spacing w:line="360" w:lineRule="auto"/>
        <w:ind w:firstLine="720"/>
        <w:jc w:val="both"/>
        <w:rPr>
          <w:rFonts w:asciiTheme="majorBidi" w:hAnsiTheme="majorBidi" w:cstheme="majorBidi"/>
          <w:color w:val="000000"/>
          <w:w w:val="0"/>
        </w:rPr>
      </w:pPr>
      <w:r w:rsidRPr="00DF472B">
        <w:rPr>
          <w:rFonts w:asciiTheme="majorBidi" w:hAnsiTheme="majorBidi" w:cstheme="majorBidi"/>
          <w:i/>
          <w:iCs/>
          <w:color w:val="000000"/>
          <w:w w:val="0"/>
        </w:rPr>
        <w:t>Sanad,</w:t>
      </w:r>
      <w:r w:rsidRPr="00DF472B">
        <w:rPr>
          <w:rFonts w:asciiTheme="majorBidi" w:hAnsiTheme="majorBidi" w:cstheme="majorBidi"/>
          <w:color w:val="000000"/>
          <w:w w:val="0"/>
        </w:rPr>
        <w:t xml:space="preserve"> as a chain of narration consisting of mostly nominal references to the transmitters involved in receiving and conveying the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ḥadīth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of Prophet </w:t>
      </w:r>
      <w:proofErr w:type="spellStart"/>
      <w:r w:rsidRPr="00DF472B">
        <w:rPr>
          <w:rFonts w:asciiTheme="majorBidi" w:hAnsiTheme="majorBidi" w:cstheme="majorBidi"/>
          <w:color w:val="000000"/>
          <w:w w:val="0"/>
        </w:rPr>
        <w:t>Muḥammad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, has been given abundant attention in modern studies. With the revival of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ḥadīth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re-verification activities in modern time</w:t>
      </w:r>
      <w:r>
        <w:rPr>
          <w:rFonts w:asciiTheme="majorBidi" w:hAnsiTheme="majorBidi" w:cstheme="majorBidi"/>
          <w:color w:val="000000"/>
          <w:w w:val="0"/>
        </w:rPr>
        <w:t>s</w:t>
      </w:r>
      <w:r w:rsidRPr="00DF472B">
        <w:rPr>
          <w:rFonts w:asciiTheme="majorBidi" w:hAnsiTheme="majorBidi" w:cstheme="majorBidi"/>
          <w:color w:val="000000"/>
          <w:w w:val="0"/>
        </w:rPr>
        <w:t xml:space="preserve">, the concentration on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sanad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has increased dramatically and academic studies surrounding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sanad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literature have gained more acceptance in higher learning institutions.</w:t>
      </w:r>
      <w:r>
        <w:rPr>
          <w:rStyle w:val="FootnoteReference"/>
          <w:rFonts w:asciiTheme="majorBidi" w:hAnsiTheme="majorBidi" w:cstheme="majorBidi"/>
          <w:color w:val="000000"/>
          <w:w w:val="0"/>
        </w:rPr>
        <w:footnoteReference w:id="1"/>
      </w:r>
      <w:r w:rsidRPr="00DF472B">
        <w:rPr>
          <w:rFonts w:asciiTheme="majorBidi" w:hAnsiTheme="majorBidi" w:cstheme="majorBidi"/>
          <w:color w:val="000000"/>
          <w:w w:val="0"/>
        </w:rPr>
        <w:t xml:space="preserve"> The surge of online classes during the Covid-19 pandemic has also contributed to the revitalisation of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ijāzāh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tradition where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sanad</w:t>
      </w:r>
      <w:r w:rsidRPr="00DF472B">
        <w:rPr>
          <w:rFonts w:asciiTheme="majorBidi" w:hAnsiTheme="majorBidi" w:cstheme="majorBidi"/>
          <w:color w:val="000000"/>
          <w:w w:val="0"/>
        </w:rPr>
        <w:t>s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can be granted virtually and promptly to the attendees across the globe. With the rise of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sanad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culture, there seems to be a significant concern with the adequacy of attention afforded to the study of its counterpart that is the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matn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(the text) of the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ḥadīth</w:t>
      </w:r>
      <w:r w:rsidRPr="00DF472B">
        <w:rPr>
          <w:rFonts w:asciiTheme="majorBidi" w:hAnsiTheme="majorBidi" w:cstheme="majorBidi"/>
          <w:color w:val="000000"/>
          <w:w w:val="0"/>
        </w:rPr>
        <w:t>s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. It is true that in the medieval era, participants in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ḥadīth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learning and praxis have been generally divided into two groups: those who were heavily inclined towards the rigour of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sanad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compilation and scrutinization, and those who propagated the primacy of meaning i.e., the content of the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ḥadīth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texts. The usual Arabic reference to this dichotomy is the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riwāyah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versus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dirāyah</w:t>
      </w:r>
      <w:proofErr w:type="spellEnd"/>
      <w:r>
        <w:rPr>
          <w:rFonts w:asciiTheme="majorBidi" w:hAnsiTheme="majorBidi" w:cstheme="majorBidi"/>
          <w:color w:val="000000"/>
          <w:w w:val="0"/>
        </w:rPr>
        <w:t xml:space="preserve"> tension.</w:t>
      </w:r>
      <w:r w:rsidRPr="00DF472B">
        <w:rPr>
          <w:rFonts w:asciiTheme="majorBidi" w:hAnsiTheme="majorBidi" w:cstheme="majorBidi"/>
          <w:color w:val="000000"/>
          <w:w w:val="0"/>
        </w:rPr>
        <w:t xml:space="preserve"> A number of treatises </w:t>
      </w:r>
      <w:r>
        <w:rPr>
          <w:rFonts w:asciiTheme="majorBidi" w:hAnsiTheme="majorBidi" w:cstheme="majorBidi"/>
          <w:color w:val="000000"/>
          <w:w w:val="0"/>
        </w:rPr>
        <w:t>germane</w:t>
      </w:r>
      <w:r w:rsidRPr="00DF472B">
        <w:rPr>
          <w:rFonts w:asciiTheme="majorBidi" w:hAnsiTheme="majorBidi" w:cstheme="majorBidi"/>
          <w:color w:val="000000"/>
          <w:w w:val="0"/>
        </w:rPr>
        <w:t xml:space="preserve"> to principles of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ḥadīth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criticism </w:t>
      </w:r>
      <w:r>
        <w:rPr>
          <w:rFonts w:asciiTheme="majorBidi" w:hAnsiTheme="majorBidi" w:cstheme="majorBidi"/>
          <w:color w:val="000000"/>
          <w:w w:val="0"/>
        </w:rPr>
        <w:t xml:space="preserve">have </w:t>
      </w:r>
      <w:r w:rsidRPr="00DF472B">
        <w:rPr>
          <w:rFonts w:asciiTheme="majorBidi" w:hAnsiTheme="majorBidi" w:cstheme="majorBidi"/>
          <w:color w:val="000000"/>
          <w:w w:val="0"/>
        </w:rPr>
        <w:t>alluded to this concern in the past.</w:t>
      </w:r>
      <w:r w:rsidRPr="00DF472B">
        <w:rPr>
          <w:rStyle w:val="FootnoteReference"/>
          <w:rFonts w:asciiTheme="majorBidi" w:hAnsiTheme="majorBidi" w:cstheme="majorBidi"/>
          <w:color w:val="000000"/>
          <w:w w:val="0"/>
        </w:rPr>
        <w:footnoteReference w:id="2"/>
      </w:r>
      <w:r w:rsidRPr="00DF472B">
        <w:rPr>
          <w:rFonts w:asciiTheme="majorBidi" w:hAnsiTheme="majorBidi" w:cstheme="majorBidi"/>
          <w:color w:val="000000"/>
          <w:w w:val="0"/>
        </w:rPr>
        <w:t xml:space="preserve"> Moreover, this methodological bifurcation has impinged upon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ḥadīth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evaluation and utilisation until </w:t>
      </w:r>
      <w:r>
        <w:rPr>
          <w:rFonts w:asciiTheme="majorBidi" w:hAnsiTheme="majorBidi" w:cstheme="majorBidi"/>
          <w:color w:val="000000"/>
          <w:w w:val="0"/>
        </w:rPr>
        <w:t>today</w:t>
      </w:r>
      <w:r w:rsidRPr="00DF472B">
        <w:rPr>
          <w:rFonts w:asciiTheme="majorBidi" w:hAnsiTheme="majorBidi" w:cstheme="majorBidi"/>
          <w:color w:val="000000"/>
          <w:w w:val="0"/>
        </w:rPr>
        <w:t xml:space="preserve">. Issues such as the prevalence of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sanad</w:t>
      </w:r>
      <w:proofErr w:type="spellEnd"/>
      <w:r w:rsidRPr="00DF472B">
        <w:rPr>
          <w:rFonts w:asciiTheme="majorBidi" w:hAnsiTheme="majorBidi" w:cstheme="majorBidi"/>
          <w:i/>
          <w:iCs/>
          <w:color w:val="000000"/>
          <w:w w:val="0"/>
        </w:rPr>
        <w:t xml:space="preserve"> </w:t>
      </w:r>
      <w:r w:rsidRPr="00DF472B">
        <w:rPr>
          <w:rFonts w:asciiTheme="majorBidi" w:hAnsiTheme="majorBidi" w:cstheme="majorBidi"/>
          <w:color w:val="000000"/>
          <w:w w:val="0"/>
        </w:rPr>
        <w:t xml:space="preserve">criticism over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matn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criticism, the function of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sanad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for non-legal subjects, and the origin of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sanad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culture are amongst those of interest to modern critical assessment. Although early modern criticism of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ḥadīth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, </w:t>
      </w:r>
      <w:r>
        <w:rPr>
          <w:rFonts w:asciiTheme="majorBidi" w:hAnsiTheme="majorBidi" w:cstheme="majorBidi"/>
          <w:color w:val="000000"/>
          <w:w w:val="0"/>
        </w:rPr>
        <w:t>attend</w:t>
      </w:r>
      <w:r w:rsidRPr="00DF472B">
        <w:rPr>
          <w:rFonts w:asciiTheme="majorBidi" w:hAnsiTheme="majorBidi" w:cstheme="majorBidi"/>
          <w:color w:val="000000"/>
          <w:w w:val="0"/>
        </w:rPr>
        <w:t xml:space="preserve">ed mainly by </w:t>
      </w:r>
      <w:r>
        <w:rPr>
          <w:rFonts w:asciiTheme="majorBidi" w:hAnsiTheme="majorBidi" w:cstheme="majorBidi"/>
          <w:color w:val="000000"/>
          <w:w w:val="0"/>
        </w:rPr>
        <w:t xml:space="preserve">the </w:t>
      </w:r>
      <w:r w:rsidRPr="00DF472B">
        <w:rPr>
          <w:rFonts w:asciiTheme="majorBidi" w:hAnsiTheme="majorBidi" w:cstheme="majorBidi"/>
          <w:color w:val="000000"/>
          <w:w w:val="0"/>
        </w:rPr>
        <w:t>orientalis</w:t>
      </w:r>
      <w:r>
        <w:rPr>
          <w:rFonts w:asciiTheme="majorBidi" w:hAnsiTheme="majorBidi" w:cstheme="majorBidi"/>
          <w:color w:val="000000"/>
          <w:w w:val="0"/>
        </w:rPr>
        <w:t>ts</w:t>
      </w:r>
      <w:r w:rsidRPr="00DF472B">
        <w:rPr>
          <w:rFonts w:asciiTheme="majorBidi" w:hAnsiTheme="majorBidi" w:cstheme="majorBidi"/>
          <w:color w:val="000000"/>
          <w:w w:val="0"/>
        </w:rPr>
        <w:t xml:space="preserve">, </w:t>
      </w:r>
      <w:r>
        <w:rPr>
          <w:rFonts w:asciiTheme="majorBidi" w:hAnsiTheme="majorBidi" w:cstheme="majorBidi"/>
          <w:color w:val="000000"/>
          <w:w w:val="0"/>
        </w:rPr>
        <w:t>bolstered</w:t>
      </w:r>
      <w:r w:rsidRPr="00DF472B">
        <w:rPr>
          <w:rFonts w:asciiTheme="majorBidi" w:hAnsiTheme="majorBidi" w:cstheme="majorBidi"/>
          <w:color w:val="000000"/>
          <w:w w:val="0"/>
        </w:rPr>
        <w:t xml:space="preserve"> scepticism towards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sanad</w:t>
      </w:r>
      <w:proofErr w:type="spellEnd"/>
      <w:r w:rsidRPr="00DF472B">
        <w:rPr>
          <w:rFonts w:asciiTheme="majorBidi" w:hAnsiTheme="majorBidi" w:cstheme="majorBidi"/>
          <w:i/>
          <w:iCs/>
          <w:color w:val="000000"/>
          <w:w w:val="0"/>
        </w:rPr>
        <w:t xml:space="preserve"> </w:t>
      </w:r>
      <w:r w:rsidRPr="00DF472B">
        <w:rPr>
          <w:rFonts w:asciiTheme="majorBidi" w:hAnsiTheme="majorBidi" w:cstheme="majorBidi"/>
          <w:color w:val="000000"/>
          <w:w w:val="0"/>
        </w:rPr>
        <w:t xml:space="preserve">authenticity and tradition, the study of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sanad</w:t>
      </w:r>
      <w:proofErr w:type="spellEnd"/>
      <w:r w:rsidRPr="00DF472B">
        <w:rPr>
          <w:rFonts w:asciiTheme="majorBidi" w:hAnsiTheme="majorBidi" w:cstheme="majorBidi"/>
          <w:i/>
          <w:iCs/>
          <w:color w:val="000000"/>
          <w:w w:val="0"/>
        </w:rPr>
        <w:t xml:space="preserve"> </w:t>
      </w:r>
      <w:r w:rsidRPr="00DF472B">
        <w:rPr>
          <w:rFonts w:asciiTheme="majorBidi" w:hAnsiTheme="majorBidi" w:cstheme="majorBidi"/>
          <w:color w:val="000000"/>
          <w:w w:val="0"/>
        </w:rPr>
        <w:t xml:space="preserve">continues to thrive and to a certain extent has been adopted even outside the field of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ḥad</w:t>
      </w:r>
      <w:r>
        <w:rPr>
          <w:rFonts w:asciiTheme="majorBidi" w:hAnsiTheme="majorBidi" w:cstheme="majorBidi"/>
          <w:i/>
          <w:iCs/>
          <w:color w:val="000000"/>
          <w:w w:val="0"/>
        </w:rPr>
        <w:t>ī</w:t>
      </w:r>
      <w:r w:rsidRPr="00DF472B">
        <w:rPr>
          <w:rFonts w:asciiTheme="majorBidi" w:hAnsiTheme="majorBidi" w:cstheme="majorBidi"/>
          <w:i/>
          <w:iCs/>
          <w:color w:val="000000"/>
          <w:w w:val="0"/>
        </w:rPr>
        <w:t>th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studies. Nevertheless, studies on the history of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sanad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in general and how particular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sanad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may inform our understanding of its history still require more efforts and dedication. It is our aim from this paper to contribute to this endeavour by studying a phenomenon in the history of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sanad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that is the omission of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sanad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from works dedicated to the transmission or conveyance of </w:t>
      </w:r>
      <w:proofErr w:type="spellStart"/>
      <w:r w:rsidRPr="00DF472B">
        <w:rPr>
          <w:rFonts w:asciiTheme="majorBidi" w:hAnsiTheme="majorBidi" w:cstheme="majorBidi"/>
          <w:i/>
          <w:iCs/>
          <w:color w:val="000000"/>
          <w:w w:val="0"/>
        </w:rPr>
        <w:t>ḥadīth</w:t>
      </w:r>
      <w:proofErr w:type="spellEnd"/>
      <w:r w:rsidRPr="00DF472B">
        <w:rPr>
          <w:rFonts w:asciiTheme="majorBidi" w:hAnsiTheme="majorBidi" w:cstheme="majorBidi"/>
          <w:color w:val="000000"/>
          <w:w w:val="0"/>
        </w:rPr>
        <w:t xml:space="preserve"> and Sunnah.</w:t>
      </w:r>
    </w:p>
    <w:p w14:paraId="12AA75FE" w14:textId="307D3F0E" w:rsidR="003A1A78" w:rsidRDefault="003A1A78"/>
    <w:p w14:paraId="4FE8D540" w14:textId="3249D7EF" w:rsidR="003A1A78" w:rsidRDefault="003A1A78"/>
    <w:p w14:paraId="65AC747F" w14:textId="77777777" w:rsidR="003A1A78" w:rsidRPr="005046AA" w:rsidRDefault="003A1A78" w:rsidP="003A1A78">
      <w:pPr>
        <w:widowControl w:val="0"/>
        <w:spacing w:after="200" w:line="360" w:lineRule="auto"/>
        <w:ind w:right="-40"/>
        <w:jc w:val="both"/>
        <w:rPr>
          <w:rFonts w:asciiTheme="majorBidi" w:eastAsia="Garamond" w:hAnsiTheme="majorBidi" w:cstheme="majorBidi"/>
          <w:b/>
          <w:bCs/>
        </w:rPr>
      </w:pPr>
      <w:r w:rsidRPr="005046AA">
        <w:rPr>
          <w:rFonts w:asciiTheme="majorBidi" w:eastAsia="Garamond" w:hAnsiTheme="majorBidi" w:cstheme="majorBidi"/>
          <w:b/>
          <w:bCs/>
        </w:rPr>
        <w:lastRenderedPageBreak/>
        <w:t xml:space="preserve">The Legacy of </w:t>
      </w:r>
      <w:proofErr w:type="spellStart"/>
      <w:r w:rsidRPr="005046AA">
        <w:rPr>
          <w:rFonts w:asciiTheme="majorBidi" w:eastAsia="Garamond" w:hAnsiTheme="majorBidi" w:cstheme="majorBidi"/>
          <w:b/>
          <w:bCs/>
          <w:i/>
          <w:iCs/>
        </w:rPr>
        <w:t>Mujarrad-Musnad</w:t>
      </w:r>
      <w:proofErr w:type="spellEnd"/>
      <w:r w:rsidRPr="005046AA">
        <w:rPr>
          <w:rFonts w:asciiTheme="majorBidi" w:eastAsia="Garamond" w:hAnsiTheme="majorBidi" w:cstheme="majorBidi"/>
          <w:b/>
          <w:bCs/>
        </w:rPr>
        <w:t xml:space="preserve"> Method</w:t>
      </w:r>
    </w:p>
    <w:p w14:paraId="23FE1843" w14:textId="77777777" w:rsidR="003A1A78" w:rsidRPr="005046AA" w:rsidRDefault="003A1A78" w:rsidP="003A1A78">
      <w:pPr>
        <w:widowControl w:val="0"/>
        <w:spacing w:after="200" w:line="360" w:lineRule="auto"/>
        <w:ind w:right="-40"/>
        <w:jc w:val="both"/>
        <w:rPr>
          <w:rFonts w:asciiTheme="majorBidi" w:eastAsia="Garamond" w:hAnsiTheme="majorBidi" w:cstheme="majorBidi"/>
        </w:rPr>
      </w:pPr>
      <w:r w:rsidRPr="005046AA">
        <w:rPr>
          <w:rFonts w:asciiTheme="majorBidi" w:eastAsia="Garamond" w:hAnsiTheme="majorBidi" w:cstheme="majorBidi"/>
        </w:rPr>
        <w:tab/>
        <w:t xml:space="preserve">Keeping the above concern of exploring the development within the circle of </w:t>
      </w:r>
      <w:proofErr w:type="spellStart"/>
      <w:r w:rsidRPr="005046AA">
        <w:rPr>
          <w:rFonts w:asciiTheme="majorBidi" w:eastAsia="Garamond" w:hAnsiTheme="majorBidi" w:cstheme="majorBidi"/>
          <w:i/>
          <w:iCs/>
        </w:rPr>
        <w:t>ḥadīth</w:t>
      </w:r>
      <w:proofErr w:type="spellEnd"/>
      <w:r w:rsidRPr="005046AA">
        <w:rPr>
          <w:rFonts w:asciiTheme="majorBidi" w:eastAsia="Garamond" w:hAnsiTheme="majorBidi" w:cstheme="majorBidi"/>
        </w:rPr>
        <w:t>, we will continue to probe into the emulation of al-</w:t>
      </w:r>
      <w:proofErr w:type="spellStart"/>
      <w:r w:rsidRPr="005046AA">
        <w:rPr>
          <w:rFonts w:asciiTheme="majorBidi" w:eastAsia="Garamond" w:hAnsiTheme="majorBidi" w:cstheme="majorBidi"/>
        </w:rPr>
        <w:t>Quḍāʿī’s</w:t>
      </w:r>
      <w:proofErr w:type="spellEnd"/>
      <w:r w:rsidRPr="005046AA">
        <w:rPr>
          <w:rFonts w:asciiTheme="majorBidi" w:eastAsia="Garamond" w:hAnsiTheme="majorBidi" w:cstheme="majorBidi"/>
        </w:rPr>
        <w:t xml:space="preserve"> method, particularly the </w:t>
      </w:r>
      <w:proofErr w:type="spellStart"/>
      <w:r w:rsidRPr="005046AA">
        <w:rPr>
          <w:rFonts w:asciiTheme="majorBidi" w:eastAsia="Garamond" w:hAnsiTheme="majorBidi" w:cstheme="majorBidi"/>
          <w:i/>
          <w:iCs/>
        </w:rPr>
        <w:t>tajrīd</w:t>
      </w:r>
      <w:proofErr w:type="spellEnd"/>
      <w:r w:rsidRPr="005046AA">
        <w:rPr>
          <w:rFonts w:asciiTheme="majorBidi" w:eastAsia="Garamond" w:hAnsiTheme="majorBidi" w:cstheme="majorBidi"/>
        </w:rPr>
        <w:t xml:space="preserve">, amongst the succeeding </w:t>
      </w:r>
      <w:proofErr w:type="spellStart"/>
      <w:r w:rsidRPr="005046AA">
        <w:rPr>
          <w:rFonts w:asciiTheme="majorBidi" w:eastAsia="Garamond" w:hAnsiTheme="majorBidi" w:cstheme="majorBidi"/>
          <w:i/>
          <w:iCs/>
        </w:rPr>
        <w:t>ḥadīth</w:t>
      </w:r>
      <w:proofErr w:type="spellEnd"/>
      <w:r w:rsidRPr="005046AA">
        <w:rPr>
          <w:rFonts w:asciiTheme="majorBidi" w:eastAsia="Garamond" w:hAnsiTheme="majorBidi" w:cstheme="majorBidi"/>
        </w:rPr>
        <w:t xml:space="preserve"> scholars. The works mentioned below have been said to have a connection in one way or another to </w:t>
      </w:r>
      <w:proofErr w:type="spellStart"/>
      <w:r w:rsidRPr="005046AA">
        <w:rPr>
          <w:rFonts w:asciiTheme="majorBidi" w:eastAsia="Garamond" w:hAnsiTheme="majorBidi" w:cstheme="majorBidi"/>
          <w:i/>
          <w:iCs/>
        </w:rPr>
        <w:t>Shihāb</w:t>
      </w:r>
      <w:proofErr w:type="spellEnd"/>
      <w:r w:rsidRPr="005046AA">
        <w:rPr>
          <w:rFonts w:asciiTheme="majorBidi" w:eastAsia="Garamond" w:hAnsiTheme="majorBidi" w:cstheme="majorBidi"/>
          <w:i/>
          <w:iCs/>
        </w:rPr>
        <w:t xml:space="preserve"> al-</w:t>
      </w:r>
      <w:proofErr w:type="spellStart"/>
      <w:r w:rsidRPr="005046AA">
        <w:rPr>
          <w:rFonts w:asciiTheme="majorBidi" w:eastAsia="Garamond" w:hAnsiTheme="majorBidi" w:cstheme="majorBidi"/>
          <w:i/>
          <w:iCs/>
        </w:rPr>
        <w:t>Akhbār</w:t>
      </w:r>
      <w:proofErr w:type="spellEnd"/>
      <w:r w:rsidRPr="005046AA">
        <w:rPr>
          <w:rFonts w:asciiTheme="majorBidi" w:eastAsia="Garamond" w:hAnsiTheme="majorBidi" w:cstheme="majorBidi"/>
        </w:rPr>
        <w:t xml:space="preserve"> or </w:t>
      </w:r>
      <w:proofErr w:type="spellStart"/>
      <w:r w:rsidRPr="005046AA">
        <w:rPr>
          <w:rFonts w:asciiTheme="majorBidi" w:eastAsia="Garamond" w:hAnsiTheme="majorBidi" w:cstheme="majorBidi"/>
          <w:i/>
          <w:iCs/>
        </w:rPr>
        <w:t>Musnad</w:t>
      </w:r>
      <w:proofErr w:type="spellEnd"/>
      <w:r w:rsidRPr="005046AA">
        <w:rPr>
          <w:rFonts w:asciiTheme="majorBidi" w:eastAsia="Garamond" w:hAnsiTheme="majorBidi" w:cstheme="majorBidi"/>
          <w:i/>
          <w:iCs/>
        </w:rPr>
        <w:t xml:space="preserve"> al-</w:t>
      </w:r>
      <w:proofErr w:type="spellStart"/>
      <w:r w:rsidRPr="005046AA">
        <w:rPr>
          <w:rFonts w:asciiTheme="majorBidi" w:eastAsia="Garamond" w:hAnsiTheme="majorBidi" w:cstheme="majorBidi"/>
          <w:i/>
          <w:iCs/>
        </w:rPr>
        <w:t>Shihāb</w:t>
      </w:r>
      <w:proofErr w:type="spellEnd"/>
      <w:r w:rsidRPr="005046AA">
        <w:rPr>
          <w:rFonts w:asciiTheme="majorBidi" w:eastAsia="Garamond" w:hAnsiTheme="majorBidi" w:cstheme="majorBidi"/>
        </w:rPr>
        <w:t>.</w:t>
      </w:r>
    </w:p>
    <w:p w14:paraId="65F579EF" w14:textId="77777777" w:rsidR="003A1A78" w:rsidRPr="005046AA" w:rsidRDefault="003A1A78" w:rsidP="003A1A78">
      <w:pPr>
        <w:pStyle w:val="ListParagraph"/>
        <w:widowControl w:val="0"/>
        <w:numPr>
          <w:ilvl w:val="0"/>
          <w:numId w:val="1"/>
        </w:numPr>
        <w:spacing w:line="360" w:lineRule="auto"/>
        <w:ind w:right="-40"/>
        <w:jc w:val="both"/>
        <w:rPr>
          <w:rFonts w:asciiTheme="majorBidi" w:eastAsia="Garamond" w:hAnsiTheme="majorBidi" w:cstheme="majorBidi"/>
          <w:sz w:val="24"/>
          <w:szCs w:val="24"/>
        </w:rPr>
      </w:pPr>
      <w:r w:rsidRPr="005046AA">
        <w:rPr>
          <w:rFonts w:asciiTheme="majorBidi" w:eastAsia="Garamond" w:hAnsiTheme="majorBidi" w:cstheme="majorBidi"/>
          <w:sz w:val="24"/>
          <w:szCs w:val="24"/>
        </w:rPr>
        <w:t>The work of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Khaṭīb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Baghdādī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on learning astronomy and astrology titled </w:t>
      </w:r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al-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Qawl</w:t>
      </w:r>
      <w:proofErr w:type="spellEnd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fī</w:t>
      </w:r>
      <w:proofErr w:type="spellEnd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ʿIlm</w:t>
      </w:r>
      <w:proofErr w:type="spellEnd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Nujūm</w:t>
      </w:r>
      <w:proofErr w:type="spellEnd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, Hal al-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Shurūʿ</w:t>
      </w:r>
      <w:proofErr w:type="spellEnd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fīhi</w:t>
      </w:r>
      <w:proofErr w:type="spellEnd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Mashrūʿ</w:t>
      </w:r>
      <w:proofErr w:type="spellEnd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 xml:space="preserve"> aw 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Madhmūm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>.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Khaṭīb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mentioned that he audited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Qudāʿī’s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session at the Holy Mosque in Makkah.</w:t>
      </w:r>
      <w:r w:rsidRPr="005046AA">
        <w:rPr>
          <w:rStyle w:val="FootnoteReference"/>
          <w:rFonts w:asciiTheme="majorBidi" w:eastAsia="Garamond" w:hAnsiTheme="majorBidi" w:cstheme="majorBidi"/>
          <w:sz w:val="24"/>
          <w:szCs w:val="24"/>
        </w:rPr>
        <w:footnoteReference w:id="3"/>
      </w:r>
      <w:r w:rsidRPr="005046AA">
        <w:rPr>
          <w:rFonts w:asciiTheme="majorBidi" w:eastAsia="Garamond" w:hAnsiTheme="majorBidi" w:cstheme="majorBidi"/>
          <w:sz w:val="24"/>
          <w:szCs w:val="24"/>
        </w:rPr>
        <w:t xml:space="preserve"> The 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ḥadīth</w:t>
      </w:r>
      <w:r w:rsidRPr="005046AA">
        <w:rPr>
          <w:rFonts w:asciiTheme="majorBidi" w:eastAsia="Garamond" w:hAnsiTheme="majorBidi" w:cstheme="majorBidi"/>
          <w:sz w:val="24"/>
          <w:szCs w:val="24"/>
        </w:rPr>
        <w:t>s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in the survived part of this work were devoid of 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sanad</w:t>
      </w:r>
      <w:r w:rsidRPr="005046AA">
        <w:rPr>
          <w:rFonts w:asciiTheme="majorBidi" w:eastAsia="Garamond" w:hAnsiTheme="majorBidi" w:cstheme="majorBidi"/>
          <w:sz w:val="24"/>
          <w:szCs w:val="24"/>
        </w:rPr>
        <w:t>s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>, a feature that is quite strange given all other works of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Khaṭīb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. The above title was attributed to him by 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Muḥammad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Mālikī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>, Ibn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Jawzī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, 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Yāqūt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Ḥamawī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and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Dhahabī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>. Moreover,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ʿIrāqī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>,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Subkī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, Mughal 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Ṭāy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, Ibn 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Ḥajar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>,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Sakhāwī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and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Suyūtī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had quoted from this work.</w:t>
      </w:r>
      <w:r w:rsidRPr="005046AA">
        <w:rPr>
          <w:rStyle w:val="FootnoteReference"/>
          <w:rFonts w:asciiTheme="majorBidi" w:eastAsia="Garamond" w:hAnsiTheme="majorBidi" w:cstheme="majorBidi"/>
          <w:sz w:val="24"/>
          <w:szCs w:val="24"/>
        </w:rPr>
        <w:footnoteReference w:id="4"/>
      </w:r>
      <w:r w:rsidRPr="005046AA">
        <w:rPr>
          <w:rFonts w:asciiTheme="majorBidi" w:eastAsia="Garamond" w:hAnsiTheme="majorBidi" w:cstheme="majorBidi"/>
          <w:sz w:val="24"/>
          <w:szCs w:val="24"/>
        </w:rPr>
        <w:t xml:space="preserve">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Nawawī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copied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Khaṭīb’s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comment on a 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ḥadīth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from this work.</w:t>
      </w:r>
      <w:r w:rsidRPr="005046AA">
        <w:rPr>
          <w:rStyle w:val="FootnoteReference"/>
          <w:rFonts w:asciiTheme="majorBidi" w:eastAsia="Garamond" w:hAnsiTheme="majorBidi" w:cstheme="majorBidi"/>
          <w:sz w:val="24"/>
          <w:szCs w:val="24"/>
        </w:rPr>
        <w:footnoteReference w:id="5"/>
      </w:r>
      <w:r w:rsidRPr="005046AA">
        <w:rPr>
          <w:rFonts w:asciiTheme="majorBidi" w:eastAsia="Garamond" w:hAnsiTheme="majorBidi" w:cstheme="majorBidi"/>
          <w:sz w:val="24"/>
          <w:szCs w:val="24"/>
        </w:rPr>
        <w:t xml:space="preserve"> It is possible that the present manuscript is an abridged version of the original work by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Khaṭīb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>. However, if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Khaṭīb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himself omitted the 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sanad</w:t>
      </w:r>
      <w:r w:rsidRPr="005046AA">
        <w:rPr>
          <w:rFonts w:asciiTheme="majorBidi" w:eastAsia="Garamond" w:hAnsiTheme="majorBidi" w:cstheme="majorBidi"/>
          <w:sz w:val="24"/>
          <w:szCs w:val="24"/>
        </w:rPr>
        <w:t>s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, it reflects an escalation of this method amongst 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ḥadīth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scholars from the contemporary of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Quḍāʿī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>.</w:t>
      </w:r>
    </w:p>
    <w:p w14:paraId="1553BD7D" w14:textId="0122DDC6" w:rsidR="003A1A78" w:rsidRPr="003A1A78" w:rsidRDefault="003A1A78" w:rsidP="003A1A78">
      <w:pPr>
        <w:pStyle w:val="ListParagraph"/>
        <w:widowControl w:val="0"/>
        <w:numPr>
          <w:ilvl w:val="0"/>
          <w:numId w:val="1"/>
        </w:numPr>
        <w:spacing w:line="360" w:lineRule="auto"/>
        <w:ind w:right="-40"/>
        <w:jc w:val="both"/>
        <w:rPr>
          <w:rFonts w:asciiTheme="majorBidi" w:eastAsia="Garamond" w:hAnsiTheme="majorBidi" w:cstheme="majorBidi"/>
          <w:sz w:val="24"/>
          <w:szCs w:val="24"/>
        </w:rPr>
      </w:pPr>
      <w:r w:rsidRPr="005046AA">
        <w:rPr>
          <w:rFonts w:asciiTheme="majorBidi" w:eastAsia="Garamond" w:hAnsiTheme="majorBidi" w:cstheme="majorBidi"/>
          <w:sz w:val="24"/>
          <w:szCs w:val="24"/>
        </w:rPr>
        <w:t xml:space="preserve">It seems that 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Abū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Bakr 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Muḥammad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ibn 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ʿAbd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Allāh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Ibn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ʿArabī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Muʿāfirī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Ishbīlī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(543AH) was also influenced by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Quḍāʿī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in his work 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Sirāj</w:t>
      </w:r>
      <w:proofErr w:type="spellEnd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Muhtadīn</w:t>
      </w:r>
      <w:proofErr w:type="spellEnd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fī</w:t>
      </w:r>
      <w:proofErr w:type="spellEnd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Ādāb</w:t>
      </w:r>
      <w:proofErr w:type="spellEnd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Ṣāliḥīn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. The modern editor of the work, 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Muḥammad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ibn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Amīn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Bū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Khubzah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remarked that Ibn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ʿArabī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emulated al-</w:t>
      </w:r>
      <w:proofErr w:type="spellStart"/>
      <w:r w:rsidRPr="005046AA">
        <w:rPr>
          <w:rFonts w:asciiTheme="majorBidi" w:eastAsia="Garamond" w:hAnsiTheme="majorBidi" w:cstheme="majorBidi"/>
          <w:sz w:val="24"/>
          <w:szCs w:val="24"/>
        </w:rPr>
        <w:t>Quḍāʿī</w:t>
      </w:r>
      <w:proofErr w:type="spellEnd"/>
      <w:r w:rsidRPr="005046AA">
        <w:rPr>
          <w:rFonts w:asciiTheme="majorBidi" w:eastAsia="Garamond" w:hAnsiTheme="majorBidi" w:cstheme="majorBidi"/>
          <w:sz w:val="24"/>
          <w:szCs w:val="24"/>
        </w:rPr>
        <w:t xml:space="preserve"> in his style but the former attempted to avoid the inclusion of </w:t>
      </w:r>
      <w:proofErr w:type="spellStart"/>
      <w:r w:rsidRPr="005046AA">
        <w:rPr>
          <w:rFonts w:asciiTheme="majorBidi" w:eastAsia="Garamond" w:hAnsiTheme="majorBidi" w:cstheme="majorBidi"/>
          <w:i/>
          <w:iCs/>
          <w:sz w:val="24"/>
          <w:szCs w:val="24"/>
        </w:rPr>
        <w:t>ḥad</w:t>
      </w:r>
      <w:r w:rsidRPr="003A1A78">
        <w:rPr>
          <w:rFonts w:asciiTheme="majorBidi" w:eastAsia="Garamond" w:hAnsiTheme="majorBidi" w:cstheme="majorBidi"/>
          <w:i/>
          <w:iCs/>
        </w:rPr>
        <w:t>īth</w:t>
      </w:r>
      <w:r w:rsidRPr="003A1A78">
        <w:rPr>
          <w:rFonts w:asciiTheme="majorBidi" w:eastAsia="Garamond" w:hAnsiTheme="majorBidi" w:cstheme="majorBidi"/>
        </w:rPr>
        <w:t>s</w:t>
      </w:r>
      <w:proofErr w:type="spellEnd"/>
      <w:r w:rsidRPr="003A1A78">
        <w:rPr>
          <w:rFonts w:asciiTheme="majorBidi" w:eastAsia="Garamond" w:hAnsiTheme="majorBidi" w:cstheme="majorBidi"/>
        </w:rPr>
        <w:t xml:space="preserve"> he evaluated as weak and highly unreliable.</w:t>
      </w:r>
      <w:r w:rsidRPr="005046AA">
        <w:rPr>
          <w:rStyle w:val="FootnoteReference"/>
          <w:rFonts w:asciiTheme="majorBidi" w:eastAsia="Garamond" w:hAnsiTheme="majorBidi" w:cstheme="majorBidi"/>
          <w:sz w:val="24"/>
          <w:szCs w:val="24"/>
        </w:rPr>
        <w:footnoteReference w:id="6"/>
      </w:r>
    </w:p>
    <w:p w14:paraId="457A2E1B" w14:textId="77777777" w:rsidR="003A1A78" w:rsidRPr="003A1A78" w:rsidRDefault="003A1A78" w:rsidP="003A1A78">
      <w:pPr>
        <w:pStyle w:val="ListParagraph"/>
        <w:widowControl w:val="0"/>
        <w:numPr>
          <w:ilvl w:val="0"/>
          <w:numId w:val="1"/>
        </w:numPr>
        <w:spacing w:line="360" w:lineRule="auto"/>
        <w:rPr>
          <w:rFonts w:eastAsia="SimSun"/>
          <w:b/>
          <w:bCs/>
          <w:kern w:val="2"/>
          <w:lang w:eastAsia="zh-CN"/>
        </w:rPr>
      </w:pPr>
      <w:r w:rsidRPr="003A1A78">
        <w:rPr>
          <w:rFonts w:eastAsia="SimSun"/>
          <w:b/>
          <w:bCs/>
          <w:kern w:val="2"/>
          <w:lang w:eastAsia="zh-CN"/>
        </w:rPr>
        <w:t>Conclusion</w:t>
      </w:r>
    </w:p>
    <w:p w14:paraId="7B4791F1" w14:textId="77777777" w:rsidR="003A1A78" w:rsidRPr="003A1A78" w:rsidRDefault="003A1A78" w:rsidP="003A1A7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</w:rPr>
      </w:pPr>
      <w:r w:rsidRPr="003A1A78">
        <w:rPr>
          <w:rFonts w:asciiTheme="majorBidi" w:hAnsiTheme="majorBidi" w:cstheme="majorBidi"/>
        </w:rPr>
        <w:t xml:space="preserve">The history of </w:t>
      </w:r>
      <w:proofErr w:type="spellStart"/>
      <w:r w:rsidRPr="003A1A78">
        <w:rPr>
          <w:rFonts w:asciiTheme="majorBidi" w:hAnsiTheme="majorBidi" w:cstheme="majorBidi"/>
          <w:i/>
          <w:iCs/>
        </w:rPr>
        <w:t>sanad</w:t>
      </w:r>
      <w:proofErr w:type="spellEnd"/>
      <w:r w:rsidRPr="003A1A78">
        <w:rPr>
          <w:rFonts w:asciiTheme="majorBidi" w:hAnsiTheme="majorBidi" w:cstheme="majorBidi"/>
        </w:rPr>
        <w:t xml:space="preserve"> and </w:t>
      </w:r>
      <w:proofErr w:type="spellStart"/>
      <w:r w:rsidRPr="003A1A78">
        <w:rPr>
          <w:rFonts w:asciiTheme="majorBidi" w:hAnsiTheme="majorBidi" w:cstheme="majorBidi"/>
          <w:i/>
          <w:iCs/>
        </w:rPr>
        <w:t>isnād</w:t>
      </w:r>
      <w:proofErr w:type="spellEnd"/>
      <w:r w:rsidRPr="003A1A78">
        <w:rPr>
          <w:rFonts w:asciiTheme="majorBidi" w:hAnsiTheme="majorBidi" w:cstheme="majorBidi"/>
        </w:rPr>
        <w:t xml:space="preserve"> lies at the heart of the construct of Islamic intellectual tradition, especially for the Sunnis, since </w:t>
      </w:r>
      <w:proofErr w:type="spellStart"/>
      <w:r w:rsidRPr="003A1A78">
        <w:rPr>
          <w:rFonts w:asciiTheme="majorBidi" w:hAnsiTheme="majorBidi" w:cstheme="majorBidi"/>
          <w:i/>
          <w:iCs/>
        </w:rPr>
        <w:t>sanad</w:t>
      </w:r>
      <w:proofErr w:type="spellEnd"/>
      <w:r w:rsidRPr="003A1A78">
        <w:rPr>
          <w:rFonts w:asciiTheme="majorBidi" w:hAnsiTheme="majorBidi" w:cstheme="majorBidi"/>
        </w:rPr>
        <w:t xml:space="preserve"> forms the foundational blocks for the legitimacy of traditions received from the past. However, dating the systematisation of </w:t>
      </w:r>
      <w:proofErr w:type="spellStart"/>
      <w:r w:rsidRPr="003A1A78">
        <w:rPr>
          <w:rFonts w:asciiTheme="majorBidi" w:hAnsiTheme="majorBidi" w:cstheme="majorBidi"/>
          <w:i/>
          <w:iCs/>
        </w:rPr>
        <w:t>sanad</w:t>
      </w:r>
      <w:proofErr w:type="spellEnd"/>
      <w:r w:rsidRPr="003A1A78">
        <w:rPr>
          <w:rFonts w:asciiTheme="majorBidi" w:hAnsiTheme="majorBidi" w:cstheme="majorBidi"/>
        </w:rPr>
        <w:t xml:space="preserve"> has been a subject of debate </w:t>
      </w:r>
      <w:r w:rsidRPr="003A1A78">
        <w:rPr>
          <w:rFonts w:asciiTheme="majorBidi" w:hAnsiTheme="majorBidi" w:cstheme="majorBidi"/>
        </w:rPr>
        <w:lastRenderedPageBreak/>
        <w:t xml:space="preserve">in modern scholarship following the development of certain philosophies and methodologies in historical research. The present author proposes a general timeline for the history of </w:t>
      </w:r>
      <w:proofErr w:type="spellStart"/>
      <w:r w:rsidRPr="003A1A78">
        <w:rPr>
          <w:rFonts w:asciiTheme="majorBidi" w:hAnsiTheme="majorBidi" w:cstheme="majorBidi"/>
          <w:i/>
          <w:iCs/>
        </w:rPr>
        <w:t>sanad</w:t>
      </w:r>
      <w:proofErr w:type="spellEnd"/>
      <w:r w:rsidRPr="003A1A78">
        <w:rPr>
          <w:rFonts w:asciiTheme="majorBidi" w:hAnsiTheme="majorBidi" w:cstheme="majorBidi"/>
        </w:rPr>
        <w:t xml:space="preserve"> consisting of four phases: 1) conversational </w:t>
      </w:r>
      <w:proofErr w:type="spellStart"/>
      <w:r w:rsidRPr="003A1A78">
        <w:rPr>
          <w:rFonts w:asciiTheme="majorBidi" w:hAnsiTheme="majorBidi" w:cstheme="majorBidi"/>
          <w:i/>
          <w:iCs/>
        </w:rPr>
        <w:t>sanad</w:t>
      </w:r>
      <w:proofErr w:type="spellEnd"/>
      <w:r w:rsidRPr="003A1A78">
        <w:rPr>
          <w:rFonts w:asciiTheme="majorBidi" w:hAnsiTheme="majorBidi" w:cstheme="majorBidi"/>
        </w:rPr>
        <w:t xml:space="preserve">, 2) confessional </w:t>
      </w:r>
      <w:proofErr w:type="spellStart"/>
      <w:r w:rsidRPr="003A1A78">
        <w:rPr>
          <w:rFonts w:asciiTheme="majorBidi" w:hAnsiTheme="majorBidi" w:cstheme="majorBidi"/>
          <w:i/>
          <w:iCs/>
        </w:rPr>
        <w:t>sanad</w:t>
      </w:r>
      <w:proofErr w:type="spellEnd"/>
      <w:r w:rsidRPr="003A1A78">
        <w:rPr>
          <w:rFonts w:asciiTheme="majorBidi" w:hAnsiTheme="majorBidi" w:cstheme="majorBidi"/>
        </w:rPr>
        <w:t xml:space="preserve">, 3) critical </w:t>
      </w:r>
      <w:proofErr w:type="spellStart"/>
      <w:r w:rsidRPr="003A1A78">
        <w:rPr>
          <w:rFonts w:asciiTheme="majorBidi" w:hAnsiTheme="majorBidi" w:cstheme="majorBidi"/>
          <w:i/>
          <w:iCs/>
        </w:rPr>
        <w:t>sanad</w:t>
      </w:r>
      <w:proofErr w:type="spellEnd"/>
      <w:r w:rsidRPr="003A1A78">
        <w:rPr>
          <w:rFonts w:asciiTheme="majorBidi" w:hAnsiTheme="majorBidi" w:cstheme="majorBidi"/>
        </w:rPr>
        <w:t xml:space="preserve">, and 4) customary </w:t>
      </w:r>
      <w:proofErr w:type="spellStart"/>
      <w:r w:rsidRPr="003A1A78">
        <w:rPr>
          <w:rFonts w:asciiTheme="majorBidi" w:hAnsiTheme="majorBidi" w:cstheme="majorBidi"/>
          <w:i/>
          <w:iCs/>
        </w:rPr>
        <w:t>sanad</w:t>
      </w:r>
      <w:proofErr w:type="spellEnd"/>
      <w:r w:rsidRPr="003A1A78">
        <w:rPr>
          <w:rFonts w:asciiTheme="majorBidi" w:hAnsiTheme="majorBidi" w:cstheme="majorBidi"/>
        </w:rPr>
        <w:t xml:space="preserve">. To address the main question of this paper which is “who first omitted </w:t>
      </w:r>
      <w:proofErr w:type="spellStart"/>
      <w:r w:rsidRPr="003A1A78">
        <w:rPr>
          <w:rFonts w:asciiTheme="majorBidi" w:hAnsiTheme="majorBidi" w:cstheme="majorBidi"/>
          <w:i/>
          <w:iCs/>
        </w:rPr>
        <w:t>sanad</w:t>
      </w:r>
      <w:r w:rsidRPr="003A1A78">
        <w:rPr>
          <w:rFonts w:asciiTheme="majorBidi" w:hAnsiTheme="majorBidi" w:cstheme="majorBidi"/>
        </w:rPr>
        <w:t>s</w:t>
      </w:r>
      <w:proofErr w:type="spellEnd"/>
      <w:r w:rsidRPr="003A1A78">
        <w:rPr>
          <w:rFonts w:asciiTheme="majorBidi" w:hAnsiTheme="majorBidi" w:cstheme="majorBidi"/>
        </w:rPr>
        <w:t xml:space="preserve"> from a </w:t>
      </w:r>
      <w:proofErr w:type="spellStart"/>
      <w:r w:rsidRPr="003A1A78">
        <w:rPr>
          <w:rFonts w:asciiTheme="majorBidi" w:hAnsiTheme="majorBidi" w:cstheme="majorBidi"/>
          <w:i/>
          <w:iCs/>
        </w:rPr>
        <w:t>ḥadīth</w:t>
      </w:r>
      <w:proofErr w:type="spellEnd"/>
      <w:r w:rsidRPr="003A1A78">
        <w:rPr>
          <w:rFonts w:asciiTheme="majorBidi" w:hAnsiTheme="majorBidi" w:cstheme="majorBidi"/>
        </w:rPr>
        <w:t xml:space="preserve"> work amongst the </w:t>
      </w:r>
      <w:proofErr w:type="spellStart"/>
      <w:r w:rsidRPr="003A1A78">
        <w:rPr>
          <w:rFonts w:asciiTheme="majorBidi" w:hAnsiTheme="majorBidi" w:cstheme="majorBidi"/>
          <w:i/>
          <w:iCs/>
        </w:rPr>
        <w:t>muḥaddithūn</w:t>
      </w:r>
      <w:proofErr w:type="spellEnd"/>
      <w:r w:rsidRPr="003A1A78">
        <w:rPr>
          <w:rFonts w:asciiTheme="majorBidi" w:hAnsiTheme="majorBidi" w:cstheme="majorBidi"/>
        </w:rPr>
        <w:t xml:space="preserve">?”, the author highlights the </w:t>
      </w:r>
      <w:proofErr w:type="spellStart"/>
      <w:r w:rsidRPr="003A1A78">
        <w:rPr>
          <w:rFonts w:asciiTheme="majorBidi" w:hAnsiTheme="majorBidi" w:cstheme="majorBidi"/>
          <w:i/>
          <w:iCs/>
        </w:rPr>
        <w:t>mujarrad-musnad</w:t>
      </w:r>
      <w:proofErr w:type="spellEnd"/>
      <w:r w:rsidRPr="003A1A78">
        <w:rPr>
          <w:rFonts w:asciiTheme="majorBidi" w:hAnsiTheme="majorBidi" w:cstheme="majorBidi"/>
        </w:rPr>
        <w:t xml:space="preserve"> method introduced by the fifth </w:t>
      </w:r>
      <w:proofErr w:type="spellStart"/>
      <w:r w:rsidRPr="003A1A78">
        <w:rPr>
          <w:rFonts w:asciiTheme="majorBidi" w:hAnsiTheme="majorBidi" w:cstheme="majorBidi"/>
        </w:rPr>
        <w:t>Hijrī</w:t>
      </w:r>
      <w:proofErr w:type="spellEnd"/>
      <w:r w:rsidRPr="003A1A78">
        <w:rPr>
          <w:rFonts w:asciiTheme="majorBidi" w:hAnsiTheme="majorBidi" w:cstheme="majorBidi"/>
        </w:rPr>
        <w:t xml:space="preserve"> century Egyptian judge, </w:t>
      </w:r>
      <w:proofErr w:type="spellStart"/>
      <w:r w:rsidRPr="003A1A78">
        <w:rPr>
          <w:rFonts w:asciiTheme="majorBidi" w:hAnsiTheme="majorBidi" w:cstheme="majorBidi"/>
        </w:rPr>
        <w:t>Muḥammad</w:t>
      </w:r>
      <w:proofErr w:type="spellEnd"/>
      <w:r w:rsidRPr="003A1A78">
        <w:rPr>
          <w:rFonts w:asciiTheme="majorBidi" w:hAnsiTheme="majorBidi" w:cstheme="majorBidi"/>
        </w:rPr>
        <w:t xml:space="preserve"> ibn </w:t>
      </w:r>
      <w:proofErr w:type="spellStart"/>
      <w:r w:rsidRPr="003A1A78">
        <w:rPr>
          <w:rFonts w:asciiTheme="majorBidi" w:hAnsiTheme="majorBidi" w:cstheme="majorBidi"/>
        </w:rPr>
        <w:t>Salāmah</w:t>
      </w:r>
      <w:proofErr w:type="spellEnd"/>
      <w:r w:rsidRPr="003A1A78">
        <w:rPr>
          <w:rFonts w:asciiTheme="majorBidi" w:hAnsiTheme="majorBidi" w:cstheme="majorBidi"/>
        </w:rPr>
        <w:t xml:space="preserve"> al-</w:t>
      </w:r>
      <w:proofErr w:type="spellStart"/>
      <w:r w:rsidRPr="003A1A78">
        <w:rPr>
          <w:rFonts w:asciiTheme="majorBidi" w:hAnsiTheme="majorBidi" w:cstheme="majorBidi"/>
        </w:rPr>
        <w:t>Quḍāʿī</w:t>
      </w:r>
      <w:proofErr w:type="spellEnd"/>
      <w:r w:rsidRPr="003A1A78">
        <w:rPr>
          <w:rFonts w:asciiTheme="majorBidi" w:hAnsiTheme="majorBidi" w:cstheme="majorBidi"/>
        </w:rPr>
        <w:t xml:space="preserve">. The scholar has been an inspiration for later </w:t>
      </w:r>
      <w:proofErr w:type="spellStart"/>
      <w:r w:rsidRPr="003A1A78">
        <w:rPr>
          <w:rFonts w:asciiTheme="majorBidi" w:hAnsiTheme="majorBidi" w:cstheme="majorBidi"/>
          <w:i/>
          <w:iCs/>
        </w:rPr>
        <w:t>ḥadīth</w:t>
      </w:r>
      <w:proofErr w:type="spellEnd"/>
      <w:r w:rsidRPr="003A1A78">
        <w:rPr>
          <w:rFonts w:asciiTheme="majorBidi" w:hAnsiTheme="majorBidi" w:cstheme="majorBidi"/>
        </w:rPr>
        <w:t xml:space="preserve"> scholars in the exercise of </w:t>
      </w:r>
      <w:proofErr w:type="spellStart"/>
      <w:r w:rsidRPr="003A1A78">
        <w:rPr>
          <w:rFonts w:asciiTheme="majorBidi" w:hAnsiTheme="majorBidi" w:cstheme="majorBidi"/>
          <w:i/>
          <w:iCs/>
        </w:rPr>
        <w:t>tajrīd</w:t>
      </w:r>
      <w:proofErr w:type="spellEnd"/>
      <w:r w:rsidRPr="003A1A78">
        <w:rPr>
          <w:rFonts w:asciiTheme="majorBidi" w:hAnsiTheme="majorBidi" w:cstheme="majorBidi"/>
        </w:rPr>
        <w:t xml:space="preserve">, and since his work </w:t>
      </w:r>
      <w:proofErr w:type="spellStart"/>
      <w:r w:rsidRPr="003A1A78">
        <w:rPr>
          <w:rFonts w:asciiTheme="majorBidi" w:hAnsiTheme="majorBidi" w:cstheme="majorBidi"/>
          <w:i/>
          <w:iCs/>
        </w:rPr>
        <w:t>Shihāb</w:t>
      </w:r>
      <w:proofErr w:type="spellEnd"/>
      <w:r w:rsidRPr="003A1A78">
        <w:rPr>
          <w:rFonts w:asciiTheme="majorBidi" w:hAnsiTheme="majorBidi" w:cstheme="majorBidi"/>
          <w:i/>
          <w:iCs/>
        </w:rPr>
        <w:t xml:space="preserve"> al-</w:t>
      </w:r>
      <w:proofErr w:type="spellStart"/>
      <w:r w:rsidRPr="003A1A78">
        <w:rPr>
          <w:rFonts w:asciiTheme="majorBidi" w:hAnsiTheme="majorBidi" w:cstheme="majorBidi"/>
          <w:i/>
          <w:iCs/>
        </w:rPr>
        <w:t>Akhbār</w:t>
      </w:r>
      <w:proofErr w:type="spellEnd"/>
      <w:r w:rsidRPr="003A1A78">
        <w:rPr>
          <w:rFonts w:asciiTheme="majorBidi" w:hAnsiTheme="majorBidi" w:cstheme="majorBidi"/>
        </w:rPr>
        <w:t xml:space="preserve"> receives wide acceptance and students of </w:t>
      </w:r>
      <w:proofErr w:type="spellStart"/>
      <w:r w:rsidRPr="003A1A78">
        <w:rPr>
          <w:rFonts w:asciiTheme="majorBidi" w:hAnsiTheme="majorBidi" w:cstheme="majorBidi"/>
          <w:i/>
          <w:iCs/>
        </w:rPr>
        <w:t>ḥadīth</w:t>
      </w:r>
      <w:proofErr w:type="spellEnd"/>
      <w:r w:rsidRPr="003A1A78">
        <w:rPr>
          <w:rFonts w:asciiTheme="majorBidi" w:hAnsiTheme="majorBidi" w:cstheme="majorBidi"/>
        </w:rPr>
        <w:t xml:space="preserve"> have been encouraged to memorise it, others emulated his approach. It is important to note that the </w:t>
      </w:r>
      <w:proofErr w:type="spellStart"/>
      <w:r w:rsidRPr="003A1A78">
        <w:rPr>
          <w:rFonts w:asciiTheme="majorBidi" w:hAnsiTheme="majorBidi" w:cstheme="majorBidi"/>
          <w:i/>
          <w:iCs/>
        </w:rPr>
        <w:t>mujarrad-musnad</w:t>
      </w:r>
      <w:proofErr w:type="spellEnd"/>
      <w:r w:rsidRPr="003A1A78">
        <w:rPr>
          <w:rFonts w:asciiTheme="majorBidi" w:hAnsiTheme="majorBidi" w:cstheme="majorBidi"/>
        </w:rPr>
        <w:t xml:space="preserve"> method did not compromise the authority of </w:t>
      </w:r>
      <w:proofErr w:type="spellStart"/>
      <w:r w:rsidRPr="003A1A78">
        <w:rPr>
          <w:rFonts w:asciiTheme="majorBidi" w:hAnsiTheme="majorBidi" w:cstheme="majorBidi"/>
          <w:i/>
          <w:iCs/>
        </w:rPr>
        <w:t>sanad</w:t>
      </w:r>
      <w:proofErr w:type="spellEnd"/>
      <w:r w:rsidRPr="003A1A78">
        <w:rPr>
          <w:rFonts w:asciiTheme="majorBidi" w:hAnsiTheme="majorBidi" w:cstheme="majorBidi"/>
        </w:rPr>
        <w:t xml:space="preserve">. It is rather observed that </w:t>
      </w:r>
      <w:proofErr w:type="spellStart"/>
      <w:r w:rsidRPr="003A1A78">
        <w:rPr>
          <w:rFonts w:asciiTheme="majorBidi" w:hAnsiTheme="majorBidi" w:cstheme="majorBidi"/>
          <w:i/>
          <w:iCs/>
        </w:rPr>
        <w:t>tajrīd</w:t>
      </w:r>
      <w:proofErr w:type="spellEnd"/>
      <w:r w:rsidRPr="003A1A78">
        <w:rPr>
          <w:rFonts w:asciiTheme="majorBidi" w:hAnsiTheme="majorBidi" w:cstheme="majorBidi"/>
        </w:rPr>
        <w:t xml:space="preserve"> has contributed to the extensive dissemination of </w:t>
      </w:r>
      <w:proofErr w:type="spellStart"/>
      <w:r w:rsidRPr="003A1A78">
        <w:rPr>
          <w:rFonts w:asciiTheme="majorBidi" w:hAnsiTheme="majorBidi" w:cstheme="majorBidi"/>
          <w:i/>
          <w:iCs/>
        </w:rPr>
        <w:t>ḥadīth</w:t>
      </w:r>
      <w:proofErr w:type="spellEnd"/>
      <w:r w:rsidRPr="003A1A78">
        <w:rPr>
          <w:rFonts w:asciiTheme="majorBidi" w:hAnsiTheme="majorBidi" w:cstheme="majorBidi"/>
        </w:rPr>
        <w:t xml:space="preserve"> in later Muslim communities.</w:t>
      </w:r>
    </w:p>
    <w:p w14:paraId="03B6C1B1" w14:textId="77777777" w:rsidR="003A1A78" w:rsidRDefault="003A1A78" w:rsidP="003A1A78">
      <w:pPr>
        <w:pStyle w:val="FootnoteText"/>
        <w:spacing w:line="36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15314F96" w14:textId="77777777" w:rsidR="003A1A78" w:rsidRDefault="003A1A78" w:rsidP="003A1A78">
      <w:pPr>
        <w:pStyle w:val="FootnoteText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References</w:t>
      </w:r>
    </w:p>
    <w:p w14:paraId="1958FEDC" w14:textId="77777777" w:rsidR="003A1A78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3A1A78">
        <w:rPr>
          <w:color w:val="000000"/>
        </w:rPr>
        <w:fldChar w:fldCharType="begin" w:fldLock="1"/>
      </w:r>
      <w:r w:rsidRPr="003A1A78">
        <w:rPr>
          <w:color w:val="000000"/>
        </w:rPr>
        <w:instrText xml:space="preserve">ADDIN Mendeley Bibliography CSL_BIBLIOGRAPHY </w:instrText>
      </w:r>
      <w:r w:rsidRPr="003A1A78">
        <w:rPr>
          <w:color w:val="000000"/>
        </w:rPr>
        <w:fldChar w:fldCharType="separate"/>
      </w:r>
      <w:r w:rsidRPr="00C16FBE">
        <w:rPr>
          <w:noProof/>
        </w:rPr>
        <w:t xml:space="preserve">Abū Shujāʿ al-Daylamī, Shirūyē ibn Shahrdār. </w:t>
      </w:r>
      <w:r w:rsidRPr="003A1A78">
        <w:rPr>
          <w:i/>
          <w:iCs/>
          <w:noProof/>
        </w:rPr>
        <w:t>Firdaws al-Akhbār Bi Maʾthūr al-Khiṭāb al-Mukharraj ʿalā Kitāb al-Shihāb</w:t>
      </w:r>
      <w:r w:rsidRPr="00C16FBE">
        <w:rPr>
          <w:noProof/>
        </w:rPr>
        <w:t>. 1st ed. Beirut: Dār al-Kitāb al-ʿArabī, 1987.</w:t>
      </w:r>
    </w:p>
    <w:p w14:paraId="2DB3E49E" w14:textId="2466DDD5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C16FBE">
        <w:rPr>
          <w:noProof/>
        </w:rPr>
        <w:t xml:space="preserve">Abū Zayd, Bakr. </w:t>
      </w:r>
      <w:r w:rsidRPr="003A1A78">
        <w:rPr>
          <w:i/>
          <w:iCs/>
          <w:noProof/>
        </w:rPr>
        <w:t>al-Taʾṣīl Li Uṣūl al-Takhrīj Wa Qawāʿid al-Jarḥ Wa al-Taʿdīl</w:t>
      </w:r>
      <w:r w:rsidRPr="00C16FBE">
        <w:rPr>
          <w:noProof/>
        </w:rPr>
        <w:t>. Riyadh: Dār al-ʿĀṣimah, 1992.</w:t>
      </w:r>
    </w:p>
    <w:p w14:paraId="69565205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>
        <w:rPr>
          <w:noProof/>
        </w:rPr>
        <w:t>al-</w:t>
      </w:r>
      <w:r w:rsidRPr="00C16FBE">
        <w:rPr>
          <w:noProof/>
        </w:rPr>
        <w:t>Ahdal, Ahmad Muhammad Ahmad. ‘A Critical Edition of “</w:t>
      </w:r>
      <w:r>
        <w:rPr>
          <w:noProof/>
        </w:rPr>
        <w:t>al-</w:t>
      </w:r>
      <w:r w:rsidRPr="00C16FBE">
        <w:rPr>
          <w:noProof/>
        </w:rPr>
        <w:t xml:space="preserve">Kawkab </w:t>
      </w:r>
      <w:r>
        <w:rPr>
          <w:noProof/>
        </w:rPr>
        <w:t>al-</w:t>
      </w:r>
      <w:r w:rsidRPr="00C16FBE">
        <w:rPr>
          <w:noProof/>
        </w:rPr>
        <w:t xml:space="preserve">Durri </w:t>
      </w:r>
      <w:r>
        <w:rPr>
          <w:noProof/>
        </w:rPr>
        <w:t>al-</w:t>
      </w:r>
      <w:r w:rsidRPr="00C16FBE">
        <w:rPr>
          <w:noProof/>
        </w:rPr>
        <w:t xml:space="preserve">Mustakhraj Min Kalam </w:t>
      </w:r>
      <w:r>
        <w:rPr>
          <w:noProof/>
        </w:rPr>
        <w:t>al-</w:t>
      </w:r>
      <w:r w:rsidRPr="00C16FBE">
        <w:rPr>
          <w:noProof/>
        </w:rPr>
        <w:t xml:space="preserve">Nabi” by Ahmad b. Maʿadd b. ʿIsa b. Wakil </w:t>
      </w:r>
      <w:r>
        <w:rPr>
          <w:noProof/>
        </w:rPr>
        <w:t>al-</w:t>
      </w:r>
      <w:r w:rsidRPr="00C16FBE">
        <w:rPr>
          <w:noProof/>
        </w:rPr>
        <w:t xml:space="preserve">Tujibi </w:t>
      </w:r>
      <w:r>
        <w:rPr>
          <w:noProof/>
        </w:rPr>
        <w:t>al-</w:t>
      </w:r>
      <w:r w:rsidRPr="00C16FBE">
        <w:rPr>
          <w:noProof/>
        </w:rPr>
        <w:t>Uqlishi’. University of Glasgow, 1986.</w:t>
      </w:r>
    </w:p>
    <w:p w14:paraId="2F9574BE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>
        <w:rPr>
          <w:noProof/>
        </w:rPr>
        <w:t>al-</w:t>
      </w:r>
      <w:r w:rsidRPr="00C16FBE">
        <w:rPr>
          <w:noProof/>
        </w:rPr>
        <w:t xml:space="preserve">Dhahabī, Muḥammad ibn Aḥmad ibn ʿUthmān Abū ʿAbd Allah. </w:t>
      </w:r>
      <w:r w:rsidRPr="003A1A78">
        <w:rPr>
          <w:i/>
          <w:iCs/>
          <w:noProof/>
        </w:rPr>
        <w:t>Siyar Aʿlām al-Nubalāʾ</w:t>
      </w:r>
      <w:r w:rsidRPr="00C16FBE">
        <w:rPr>
          <w:noProof/>
        </w:rPr>
        <w:t xml:space="preserve">. Edited by Shuʿayb </w:t>
      </w:r>
      <w:r>
        <w:rPr>
          <w:noProof/>
        </w:rPr>
        <w:t>al-</w:t>
      </w:r>
      <w:r w:rsidRPr="00C16FBE">
        <w:rPr>
          <w:noProof/>
        </w:rPr>
        <w:t>Arnāʾūṭ. Beirut: Muʾassasah al-Risālah, 1985.</w:t>
      </w:r>
    </w:p>
    <w:p w14:paraId="13AC5838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>
        <w:rPr>
          <w:noProof/>
        </w:rPr>
        <w:t>al-</w:t>
      </w:r>
      <w:r w:rsidRPr="00C16FBE">
        <w:rPr>
          <w:noProof/>
        </w:rPr>
        <w:t xml:space="preserve">Ḥākim, Muḥammad ibn ʿAbd Allāh Ibn al-Bayyiʿ Abū ʿAbd Allāh. </w:t>
      </w:r>
      <w:r w:rsidRPr="003A1A78">
        <w:rPr>
          <w:i/>
          <w:iCs/>
          <w:noProof/>
        </w:rPr>
        <w:t>Maʿrifat ʿUlūm al-Ḥadīth Wa Kammiyat Ajnāsihi</w:t>
      </w:r>
      <w:r w:rsidRPr="00C16FBE">
        <w:rPr>
          <w:noProof/>
        </w:rPr>
        <w:t>. Beirut: Dār Ibn Ḥazm, 2003.</w:t>
      </w:r>
    </w:p>
    <w:p w14:paraId="55C122DA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C16FBE">
        <w:rPr>
          <w:noProof/>
        </w:rPr>
        <w:t xml:space="preserve">al-Khaṭib al-Baghdādī, Aḥmad ibn ʿAli ibn Thābit. </w:t>
      </w:r>
      <w:r w:rsidRPr="003A1A78">
        <w:rPr>
          <w:i/>
          <w:iCs/>
          <w:noProof/>
        </w:rPr>
        <w:t>al-Kifāyah Fī Uṣul ʿIlm al-Riwāyah</w:t>
      </w:r>
      <w:r w:rsidRPr="00C16FBE">
        <w:rPr>
          <w:noProof/>
        </w:rPr>
        <w:t>. Riyadh: Dār Ibn al-Jawzī, 2011.</w:t>
      </w:r>
    </w:p>
    <w:p w14:paraId="7BB8709B" w14:textId="77777777" w:rsidR="003A1A78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C16FBE">
        <w:rPr>
          <w:noProof/>
        </w:rPr>
        <w:t xml:space="preserve">———. </w:t>
      </w:r>
      <w:r w:rsidRPr="003A1A78">
        <w:rPr>
          <w:i/>
          <w:iCs/>
          <w:noProof/>
        </w:rPr>
        <w:t>Tārīkh Madīnat al-Salām Wa Akhbār Muḥaddithīhā Wa Dhikr Quṭṭānihā al-ʿUlamā Min Ghayr Ahlihā Wa Wāridīhā</w:t>
      </w:r>
      <w:r w:rsidRPr="00C16FBE">
        <w:rPr>
          <w:noProof/>
        </w:rPr>
        <w:t>. Beirut: Dār al-Gharb al-Islāmī, 2001.</w:t>
      </w:r>
    </w:p>
    <w:p w14:paraId="0FF91EB4" w14:textId="77777777" w:rsidR="003A1A78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>
        <w:rPr>
          <w:noProof/>
        </w:rPr>
        <w:t>al-</w:t>
      </w:r>
      <w:r w:rsidRPr="00C16FBE">
        <w:rPr>
          <w:noProof/>
        </w:rPr>
        <w:t xml:space="preserve">Quḍāʿī, Muḥammad ibn Salāmah ibn ʿAlī Abū ʿAbd Allāh. </w:t>
      </w:r>
      <w:r w:rsidRPr="003A1A78">
        <w:rPr>
          <w:i/>
          <w:iCs/>
          <w:noProof/>
        </w:rPr>
        <w:t>Musnad al-Shihāb</w:t>
      </w:r>
      <w:r w:rsidRPr="00C16FBE">
        <w:rPr>
          <w:noProof/>
        </w:rPr>
        <w:t xml:space="preserve">. Edited by Ḥamdī ʿAbd al-Majīd </w:t>
      </w:r>
      <w:r>
        <w:rPr>
          <w:noProof/>
        </w:rPr>
        <w:t>al-</w:t>
      </w:r>
      <w:r w:rsidRPr="00C16FBE">
        <w:rPr>
          <w:noProof/>
        </w:rPr>
        <w:t>Salafī. 1st ed. Beirut: Muʾassasah al-Risālah, n.d.</w:t>
      </w:r>
    </w:p>
    <w:p w14:paraId="7F1C2E47" w14:textId="60AE0B6C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3A1A78">
        <w:rPr>
          <w:i/>
          <w:iCs/>
          <w:noProof/>
        </w:rPr>
        <w:lastRenderedPageBreak/>
        <w:t>Musnad al-Shihāb</w:t>
      </w:r>
      <w:r w:rsidRPr="00C16FBE">
        <w:rPr>
          <w:noProof/>
        </w:rPr>
        <w:t xml:space="preserve">. Edited by Ḥamid ʿAbd Allāh </w:t>
      </w:r>
      <w:r>
        <w:rPr>
          <w:noProof/>
        </w:rPr>
        <w:t>al-</w:t>
      </w:r>
      <w:r w:rsidRPr="00C16FBE">
        <w:rPr>
          <w:noProof/>
        </w:rPr>
        <w:t>Miḥlāwī. 1st ed. Beirut: Dār al-Kutub al-ʿIlmiyyah, 2011.</w:t>
      </w:r>
    </w:p>
    <w:p w14:paraId="772846BC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>
        <w:rPr>
          <w:noProof/>
        </w:rPr>
        <w:t>al-</w:t>
      </w:r>
      <w:r w:rsidRPr="00C16FBE">
        <w:rPr>
          <w:noProof/>
        </w:rPr>
        <w:t xml:space="preserve">Qurashī, Fāʾiz Ḥāmid Muḥammad. ‘Taḥqīq Wa Dirāsah Musnad </w:t>
      </w:r>
      <w:r>
        <w:rPr>
          <w:noProof/>
        </w:rPr>
        <w:t>al-</w:t>
      </w:r>
      <w:r w:rsidRPr="00C16FBE">
        <w:rPr>
          <w:noProof/>
        </w:rPr>
        <w:t xml:space="preserve">Shihāb Li </w:t>
      </w:r>
      <w:r>
        <w:rPr>
          <w:noProof/>
        </w:rPr>
        <w:t>al-</w:t>
      </w:r>
      <w:r w:rsidRPr="00C16FBE">
        <w:rPr>
          <w:noProof/>
        </w:rPr>
        <w:t xml:space="preserve">Quḍāʿī Min Awwalihi Ilā Nihāyat </w:t>
      </w:r>
      <w:r>
        <w:rPr>
          <w:noProof/>
        </w:rPr>
        <w:t>al-</w:t>
      </w:r>
      <w:r w:rsidRPr="00C16FBE">
        <w:rPr>
          <w:noProof/>
        </w:rPr>
        <w:t xml:space="preserve">Juzʾ </w:t>
      </w:r>
      <w:r>
        <w:rPr>
          <w:noProof/>
        </w:rPr>
        <w:t>al-</w:t>
      </w:r>
      <w:r w:rsidRPr="00C16FBE">
        <w:rPr>
          <w:noProof/>
        </w:rPr>
        <w:t>Khāmis’. Umm al-Qura University, 1988.</w:t>
      </w:r>
    </w:p>
    <w:p w14:paraId="5F2E9EB2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>
        <w:rPr>
          <w:noProof/>
        </w:rPr>
        <w:t>al-</w:t>
      </w:r>
      <w:r w:rsidRPr="00C16FBE">
        <w:rPr>
          <w:noProof/>
        </w:rPr>
        <w:t xml:space="preserve">Qurayẓī, Muḥammad ibn Saʿīd ibn Maʿan. </w:t>
      </w:r>
      <w:r w:rsidRPr="003A1A78">
        <w:rPr>
          <w:i/>
          <w:iCs/>
          <w:noProof/>
        </w:rPr>
        <w:t>al-Mustaṣfā Fī Sunan al-Muṣṭafā</w:t>
      </w:r>
      <w:r w:rsidRPr="00C16FBE">
        <w:rPr>
          <w:noProof/>
        </w:rPr>
        <w:t xml:space="preserve">. Edited by Muḥammad ʿAbd al-Raḥmān </w:t>
      </w:r>
      <w:r>
        <w:rPr>
          <w:noProof/>
        </w:rPr>
        <w:t>al-</w:t>
      </w:r>
      <w:r w:rsidRPr="00C16FBE">
        <w:rPr>
          <w:noProof/>
        </w:rPr>
        <w:t>Ahdal. 1st ed. Beirut: Dār al-Minhāj, n.d.</w:t>
      </w:r>
    </w:p>
    <w:p w14:paraId="1A8AEB02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>
        <w:rPr>
          <w:noProof/>
        </w:rPr>
        <w:t>al-</w:t>
      </w:r>
      <w:r w:rsidRPr="00C16FBE">
        <w:rPr>
          <w:noProof/>
        </w:rPr>
        <w:t xml:space="preserve">Rāmhurmuzī, al-Ḥasan ibn ʿAbd al-Raḥmān Ibn Khallād. </w:t>
      </w:r>
      <w:r w:rsidRPr="003A1A78">
        <w:rPr>
          <w:i/>
          <w:iCs/>
          <w:noProof/>
        </w:rPr>
        <w:t>al-Muḥaddith al-Fāṣil Bayna al-Rāwī Wa al-Wāʿī</w:t>
      </w:r>
      <w:r w:rsidRPr="00C16FBE">
        <w:rPr>
          <w:noProof/>
        </w:rPr>
        <w:t xml:space="preserve">. Edited by ʿAjāj </w:t>
      </w:r>
      <w:r>
        <w:rPr>
          <w:noProof/>
        </w:rPr>
        <w:t>al-</w:t>
      </w:r>
      <w:r w:rsidRPr="00C16FBE">
        <w:rPr>
          <w:noProof/>
        </w:rPr>
        <w:t>Khaṭīb. Beirut: Dār al-Fikr, 1994.</w:t>
      </w:r>
    </w:p>
    <w:p w14:paraId="5E66651F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>
        <w:rPr>
          <w:noProof/>
        </w:rPr>
        <w:t>al-</w:t>
      </w:r>
      <w:r w:rsidRPr="00C16FBE">
        <w:rPr>
          <w:noProof/>
        </w:rPr>
        <w:t xml:space="preserve">Suyūṭī, ʿAbd al-Raḥmān ibn Abī Bakr Jalāl al-Dīn. </w:t>
      </w:r>
      <w:r w:rsidRPr="003A1A78">
        <w:rPr>
          <w:i/>
          <w:iCs/>
          <w:noProof/>
        </w:rPr>
        <w:t>Tadrīb al-Rāwī Fī Sharḥ Taqrīb al-Nawawī</w:t>
      </w:r>
      <w:r w:rsidRPr="00C16FBE">
        <w:rPr>
          <w:noProof/>
        </w:rPr>
        <w:t xml:space="preserve">. Edited by Abū Qutaybah Naẓar Muḥammad </w:t>
      </w:r>
      <w:r>
        <w:rPr>
          <w:noProof/>
        </w:rPr>
        <w:t>al-</w:t>
      </w:r>
      <w:r w:rsidRPr="00C16FBE">
        <w:rPr>
          <w:noProof/>
        </w:rPr>
        <w:t>Fāriyābī. Riyadh: Dār Ṭaybah, 2006.</w:t>
      </w:r>
    </w:p>
    <w:p w14:paraId="19423559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>
        <w:rPr>
          <w:noProof/>
        </w:rPr>
        <w:t>al-</w:t>
      </w:r>
      <w:r w:rsidRPr="00C16FBE">
        <w:rPr>
          <w:noProof/>
        </w:rPr>
        <w:t xml:space="preserve">Suyūṭī, ʿAbd al-Raḥmān ibn Abū Bakr Jalāl al-Dīn. </w:t>
      </w:r>
      <w:r w:rsidRPr="003A1A78">
        <w:rPr>
          <w:i/>
          <w:iCs/>
          <w:noProof/>
        </w:rPr>
        <w:t>Alfiyyat al-Suyūṭī Fī ʿIlm al-Ḥadīth</w:t>
      </w:r>
      <w:r w:rsidRPr="00C16FBE">
        <w:rPr>
          <w:noProof/>
        </w:rPr>
        <w:t>. Edited by Aḥmad ibn Muḥammad Shākir Abū al-Ashbāl. al-Maktabah al-ʿIlmiyyah, n.d.</w:t>
      </w:r>
    </w:p>
    <w:p w14:paraId="1C055E11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>
        <w:rPr>
          <w:noProof/>
        </w:rPr>
        <w:t>al-</w:t>
      </w:r>
      <w:r w:rsidRPr="00C16FBE">
        <w:rPr>
          <w:noProof/>
        </w:rPr>
        <w:t xml:space="preserve">Talīdi, Muḥammad ibn ʿAbd Allāh. </w:t>
      </w:r>
      <w:r w:rsidRPr="003A1A78">
        <w:rPr>
          <w:i/>
          <w:iCs/>
          <w:noProof/>
        </w:rPr>
        <w:t>Turāth al-Maghāribah Fī al-Ḥadīth al-Nabawī Wa ʿUlūmihi</w:t>
      </w:r>
      <w:r w:rsidRPr="00C16FBE">
        <w:rPr>
          <w:noProof/>
        </w:rPr>
        <w:t>. Beirut: Dār al-Bashāʾir al-Islāmiyyah, 1995.</w:t>
      </w:r>
    </w:p>
    <w:p w14:paraId="14F677A3" w14:textId="70296F5F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>
        <w:rPr>
          <w:noProof/>
        </w:rPr>
        <w:t>al</w:t>
      </w:r>
      <w:r>
        <w:rPr>
          <w:noProof/>
        </w:rPr>
        <w:t>-</w:t>
      </w:r>
      <w:r w:rsidRPr="00C16FBE">
        <w:rPr>
          <w:noProof/>
        </w:rPr>
        <w:t xml:space="preserve">Tilmisānī, Aḥmad ibn Muḥammad. </w:t>
      </w:r>
      <w:r w:rsidRPr="003A1A78">
        <w:rPr>
          <w:i/>
          <w:iCs/>
          <w:noProof/>
        </w:rPr>
        <w:t>Nafḥ al-Ṭīb Min Ghuṣn al-Andalus al-Raṭīb</w:t>
      </w:r>
      <w:r w:rsidRPr="00C16FBE">
        <w:rPr>
          <w:noProof/>
        </w:rPr>
        <w:t>. Beirut: Dār Ṣādir, 1968.</w:t>
      </w:r>
    </w:p>
    <w:p w14:paraId="4E586A4D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>
        <w:rPr>
          <w:noProof/>
        </w:rPr>
        <w:t>al-</w:t>
      </w:r>
      <w:r w:rsidRPr="00C16FBE">
        <w:rPr>
          <w:noProof/>
        </w:rPr>
        <w:t xml:space="preserve">Uqlīshī, Aḥmad ibn Maʿad al-Tujībī. </w:t>
      </w:r>
      <w:r w:rsidRPr="003A1A78">
        <w:rPr>
          <w:i/>
          <w:iCs/>
          <w:noProof/>
        </w:rPr>
        <w:t>al-Kawkab al-Durrī al-Mustakhraj Min Kalām al-Nabī al-ʿArabī</w:t>
      </w:r>
      <w:r w:rsidRPr="00C16FBE">
        <w:rPr>
          <w:noProof/>
        </w:rPr>
        <w:t>. Morocco, 2014.</w:t>
      </w:r>
    </w:p>
    <w:p w14:paraId="7297E086" w14:textId="67004D99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C16FBE">
        <w:rPr>
          <w:noProof/>
        </w:rPr>
        <w:t xml:space="preserve">———. </w:t>
      </w:r>
      <w:r w:rsidRPr="003A1A78">
        <w:rPr>
          <w:i/>
          <w:iCs/>
          <w:noProof/>
        </w:rPr>
        <w:t>al-Najm Min Kalām Sayyid al-ʿArab Wa al-ʿAjam</w:t>
      </w:r>
      <w:r w:rsidRPr="00C16FBE">
        <w:rPr>
          <w:noProof/>
        </w:rPr>
        <w:t xml:space="preserve">. 1st ed. Cairo: al-Maṭbaʿah al-Iʿlāmiyyah, 1885.al-Wādī Āshī, Muḥammad ibn Jābir. </w:t>
      </w:r>
      <w:r w:rsidRPr="003A1A78">
        <w:rPr>
          <w:i/>
          <w:iCs/>
          <w:noProof/>
        </w:rPr>
        <w:t>Barnāmij Muḥammad Ibn Jābir al-Wādī Āshī</w:t>
      </w:r>
      <w:r w:rsidRPr="00C16FBE">
        <w:rPr>
          <w:noProof/>
        </w:rPr>
        <w:t>. 3rd ed. Tunisia: Dār al-Gharb al-Islāmī, 1982.</w:t>
      </w:r>
    </w:p>
    <w:p w14:paraId="478D6599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C16FBE">
        <w:rPr>
          <w:noProof/>
        </w:rPr>
        <w:t xml:space="preserve">BāDhayb, Muḥammad ibn Abū Bakr. </w:t>
      </w:r>
      <w:r w:rsidRPr="003A1A78">
        <w:rPr>
          <w:i/>
          <w:iCs/>
          <w:noProof/>
        </w:rPr>
        <w:t>Juhūd Fuqahāʾ Ḥaḍramawt Fī Khidmat al-Madhhab al-Shāfiʿī</w:t>
      </w:r>
      <w:r w:rsidRPr="00C16FBE">
        <w:rPr>
          <w:noProof/>
        </w:rPr>
        <w:t>. Jordan: Dār al-Fatḥ li’l-Dirāsāt wa’l-Nashr, 2009.</w:t>
      </w:r>
    </w:p>
    <w:p w14:paraId="167F6E3C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C16FBE">
        <w:rPr>
          <w:noProof/>
        </w:rPr>
        <w:t xml:space="preserve">Berg, Herbert. ‘Competing Paradigms in Islamic Origins: Qurʾān 15:89–91 and the Value of Isnāds’. </w:t>
      </w:r>
      <w:r w:rsidRPr="003A1A78">
        <w:rPr>
          <w:i/>
          <w:iCs/>
          <w:noProof/>
        </w:rPr>
        <w:t>Method and Theory in the Study of Islamic Origins</w:t>
      </w:r>
      <w:r w:rsidRPr="00C16FBE">
        <w:rPr>
          <w:noProof/>
        </w:rPr>
        <w:t>, 2021, 259–90. https://doi.org/10.1163/9789047401575_014.</w:t>
      </w:r>
    </w:p>
    <w:p w14:paraId="31B4AA7F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C16FBE">
        <w:rPr>
          <w:noProof/>
        </w:rPr>
        <w:t xml:space="preserve">———. </w:t>
      </w:r>
      <w:r w:rsidRPr="003A1A78">
        <w:rPr>
          <w:i/>
          <w:iCs/>
          <w:noProof/>
        </w:rPr>
        <w:t>The Development of Exegesis in Early Islam: The Authenticity of Muslim Literature from the Formative Period</w:t>
      </w:r>
      <w:r w:rsidRPr="00C16FBE">
        <w:rPr>
          <w:noProof/>
        </w:rPr>
        <w:t>. London: Curzon Press, 2000.</w:t>
      </w:r>
    </w:p>
    <w:p w14:paraId="7AFD948A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C16FBE">
        <w:rPr>
          <w:noProof/>
        </w:rPr>
        <w:t xml:space="preserve">Brown, Jonathan. </w:t>
      </w:r>
      <w:r w:rsidRPr="003A1A78">
        <w:rPr>
          <w:i/>
          <w:iCs/>
          <w:noProof/>
        </w:rPr>
        <w:t>Hadith: Muhammad’s Legacy in the Medieval and Modern World</w:t>
      </w:r>
      <w:r w:rsidRPr="00C16FBE">
        <w:rPr>
          <w:noProof/>
        </w:rPr>
        <w:t xml:space="preserve">. 2nd ed. </w:t>
      </w:r>
      <w:r w:rsidRPr="00C16FBE">
        <w:rPr>
          <w:noProof/>
        </w:rPr>
        <w:lastRenderedPageBreak/>
        <w:t>Oxford: Oneworld Publication, 2009.</w:t>
      </w:r>
    </w:p>
    <w:p w14:paraId="6D385A21" w14:textId="77777777" w:rsidR="003A1A78" w:rsidRPr="00C16FBE" w:rsidRDefault="003A1A78" w:rsidP="003A1A78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C16FBE">
        <w:rPr>
          <w:noProof/>
        </w:rPr>
        <w:t xml:space="preserve">Ibn al-Abbār, Muḥammad ibn ʿAbd Allāh Abū ʿAbd Allāh. </w:t>
      </w:r>
      <w:r w:rsidRPr="003A1A78">
        <w:rPr>
          <w:i/>
          <w:iCs/>
          <w:noProof/>
        </w:rPr>
        <w:t>al-Takmilah Li-Kitāb al-Ṣilah</w:t>
      </w:r>
      <w:r w:rsidRPr="00C16FBE">
        <w:rPr>
          <w:noProof/>
        </w:rPr>
        <w:t>. Beirut: Dār al-Fikr, 1995.</w:t>
      </w:r>
    </w:p>
    <w:p w14:paraId="31A296A6" w14:textId="23105CDB" w:rsidR="003A1A78" w:rsidRPr="003A1A78" w:rsidRDefault="003A1A78" w:rsidP="003A1A78">
      <w:pPr>
        <w:ind w:left="360"/>
        <w:rPr>
          <w:rFonts w:asciiTheme="majorBidi" w:eastAsia="Garamond" w:hAnsiTheme="majorBidi" w:cstheme="majorBidi"/>
        </w:rPr>
      </w:pPr>
      <w:r>
        <w:fldChar w:fldCharType="end"/>
      </w:r>
    </w:p>
    <w:p w14:paraId="3BF5BDDE" w14:textId="77777777" w:rsidR="003A1A78" w:rsidRDefault="003A1A78"/>
    <w:sectPr w:rsidR="003A1A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C585" w14:textId="77777777" w:rsidR="00B2640F" w:rsidRDefault="00B2640F" w:rsidP="003A1A78">
      <w:r>
        <w:separator/>
      </w:r>
    </w:p>
  </w:endnote>
  <w:endnote w:type="continuationSeparator" w:id="0">
    <w:p w14:paraId="5EDBC808" w14:textId="77777777" w:rsidR="00B2640F" w:rsidRDefault="00B2640F" w:rsidP="003A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52A7" w14:textId="77777777" w:rsidR="00B2640F" w:rsidRDefault="00B2640F" w:rsidP="003A1A78">
      <w:r>
        <w:separator/>
      </w:r>
    </w:p>
  </w:footnote>
  <w:footnote w:type="continuationSeparator" w:id="0">
    <w:p w14:paraId="6DB2F71A" w14:textId="77777777" w:rsidR="00B2640F" w:rsidRDefault="00B2640F" w:rsidP="003A1A78">
      <w:r>
        <w:continuationSeparator/>
      </w:r>
    </w:p>
  </w:footnote>
  <w:footnote w:id="1">
    <w:p w14:paraId="7C1A5AFC" w14:textId="77777777" w:rsidR="003A1A78" w:rsidRPr="00AE4029" w:rsidRDefault="003A1A78" w:rsidP="003A1A78">
      <w:pPr>
        <w:pStyle w:val="FootnoteText"/>
        <w:jc w:val="both"/>
        <w:rPr>
          <w:rFonts w:asciiTheme="majorBidi" w:hAnsiTheme="majorBidi" w:cstheme="majorBidi"/>
          <w:lang w:val="en-US"/>
        </w:rPr>
      </w:pPr>
      <w:r w:rsidRPr="00AE4029">
        <w:rPr>
          <w:rStyle w:val="FootnoteReference"/>
          <w:rFonts w:asciiTheme="majorBidi" w:hAnsiTheme="majorBidi" w:cstheme="majorBidi"/>
        </w:rPr>
        <w:footnoteRef/>
      </w:r>
      <w:r w:rsidRPr="00AE4029">
        <w:rPr>
          <w:rFonts w:asciiTheme="majorBidi" w:hAnsiTheme="majorBidi" w:cstheme="majorBidi"/>
        </w:rPr>
        <w:t xml:space="preserve"> </w:t>
      </w:r>
      <w:r w:rsidRPr="00AE4029">
        <w:rPr>
          <w:rFonts w:asciiTheme="majorBidi" w:hAnsiTheme="majorBidi" w:cstheme="majorBidi"/>
        </w:rPr>
        <w:fldChar w:fldCharType="begin" w:fldLock="1"/>
      </w:r>
      <w:r>
        <w:rPr>
          <w:rFonts w:asciiTheme="majorBidi" w:hAnsiTheme="majorBidi" w:cstheme="majorBidi"/>
        </w:rPr>
        <w:instrText>ADDIN CSL_CITATION {"citationItems":[{"id":"ITEM-1","itemData":{"author":[{"dropping-particle":"","family":"Shah","given":"Mustafa","non-dropping-particle":"","parse-names":false,"suffix":""}],"container-title":"The Hadith","id":"ITEM-1","issued":{"date-parts":[["2010"]]},"publisher":"Routledge","publisher-place":"Oxon","title":"Introductions","type":"chapter"},"prefix":"For further explanation on sanad and matn, see:","uris":["http://www.mendeley.com/documents/?uuid=6439c4a4-b121-4ed4-befd-d15b1ae5cef5"]}],"mendeley":{"formattedCitation":"For further explanation on sanad and matn, see: Mustafa Shah, ‘Introductions’, in &lt;i&gt;The Hadith&lt;/i&gt; (Oxon: Routledge, 2010).","plainTextFormattedCitation":"For further explanation on sanad and matn, see: Mustafa Shah, ‘Introductions’, in The Hadith (Oxon: Routledge, 2010).","previouslyFormattedCitation":"For further explanation on sanad and matn, see: Mustafa Shah, ‘Introductions’, in &lt;i&gt;The Hadith&lt;/i&gt; (Oxon: Routledge, 2010)."},"properties":{"noteIndex":1},"schema":"https://github.com/citation-style-language/schema/raw/master/csl-citation.json"}</w:instrText>
      </w:r>
      <w:r w:rsidRPr="00AE4029">
        <w:rPr>
          <w:rFonts w:asciiTheme="majorBidi" w:hAnsiTheme="majorBidi" w:cstheme="majorBidi"/>
        </w:rPr>
        <w:fldChar w:fldCharType="separate"/>
      </w:r>
      <w:r w:rsidRPr="00AE4029">
        <w:rPr>
          <w:rFonts w:asciiTheme="majorBidi" w:hAnsiTheme="majorBidi" w:cstheme="majorBidi"/>
          <w:noProof/>
        </w:rPr>
        <w:t xml:space="preserve">For further explanation on </w:t>
      </w:r>
      <w:r w:rsidRPr="00AE4029">
        <w:rPr>
          <w:rFonts w:asciiTheme="majorBidi" w:hAnsiTheme="majorBidi" w:cstheme="majorBidi"/>
          <w:i/>
          <w:iCs/>
          <w:noProof/>
        </w:rPr>
        <w:t>sanad</w:t>
      </w:r>
      <w:r w:rsidRPr="00AE4029">
        <w:rPr>
          <w:rFonts w:asciiTheme="majorBidi" w:hAnsiTheme="majorBidi" w:cstheme="majorBidi"/>
          <w:noProof/>
        </w:rPr>
        <w:t xml:space="preserve"> and </w:t>
      </w:r>
      <w:r w:rsidRPr="00AE4029">
        <w:rPr>
          <w:rFonts w:asciiTheme="majorBidi" w:hAnsiTheme="majorBidi" w:cstheme="majorBidi"/>
          <w:i/>
          <w:iCs/>
          <w:noProof/>
        </w:rPr>
        <w:t>matn</w:t>
      </w:r>
      <w:r w:rsidRPr="00AE4029">
        <w:rPr>
          <w:rFonts w:asciiTheme="majorBidi" w:hAnsiTheme="majorBidi" w:cstheme="majorBidi"/>
          <w:noProof/>
        </w:rPr>
        <w:t xml:space="preserve">, see: Mustafa Shah, ‘Introductions’, in </w:t>
      </w:r>
      <w:r w:rsidRPr="00AE4029">
        <w:rPr>
          <w:rFonts w:asciiTheme="majorBidi" w:hAnsiTheme="majorBidi" w:cstheme="majorBidi"/>
          <w:i/>
          <w:noProof/>
        </w:rPr>
        <w:t>The Hadith</w:t>
      </w:r>
      <w:r w:rsidRPr="00AE4029">
        <w:rPr>
          <w:rFonts w:asciiTheme="majorBidi" w:hAnsiTheme="majorBidi" w:cstheme="majorBidi"/>
          <w:noProof/>
        </w:rPr>
        <w:t xml:space="preserve"> (Oxon: Routledge, 2010).</w:t>
      </w:r>
      <w:r w:rsidRPr="00AE4029">
        <w:rPr>
          <w:rFonts w:asciiTheme="majorBidi" w:hAnsiTheme="majorBidi" w:cstheme="majorBidi"/>
        </w:rPr>
        <w:fldChar w:fldCharType="end"/>
      </w:r>
    </w:p>
  </w:footnote>
  <w:footnote w:id="2">
    <w:p w14:paraId="1A216172" w14:textId="77777777" w:rsidR="003A1A78" w:rsidRPr="007A354A" w:rsidRDefault="003A1A78" w:rsidP="003A1A78">
      <w:pPr>
        <w:pStyle w:val="FootnoteText"/>
        <w:jc w:val="both"/>
        <w:rPr>
          <w:rFonts w:asciiTheme="majorBidi" w:hAnsiTheme="majorBidi" w:cstheme="majorBidi"/>
        </w:rPr>
      </w:pPr>
      <w:r w:rsidRPr="00AE4029">
        <w:rPr>
          <w:rStyle w:val="FootnoteReference"/>
          <w:rFonts w:asciiTheme="majorBidi" w:hAnsiTheme="majorBidi" w:cstheme="majorBidi"/>
        </w:rPr>
        <w:footnoteRef/>
      </w:r>
      <w:r w:rsidRPr="00AE4029">
        <w:rPr>
          <w:rFonts w:asciiTheme="majorBidi" w:hAnsiTheme="majorBidi" w:cstheme="majorBidi"/>
        </w:rPr>
        <w:t xml:space="preserve"> </w:t>
      </w:r>
      <w:r w:rsidRPr="00AE4029">
        <w:rPr>
          <w:rFonts w:asciiTheme="majorBidi" w:hAnsiTheme="majorBidi" w:cstheme="majorBidi"/>
        </w:rPr>
        <w:fldChar w:fldCharType="begin" w:fldLock="1"/>
      </w:r>
      <w:r w:rsidRPr="00AE4029">
        <w:rPr>
          <w:rFonts w:asciiTheme="majorBidi" w:hAnsiTheme="majorBidi" w:cstheme="majorBidi"/>
        </w:rPr>
        <w:instrText>ADDIN CSL_CITATION {"citationItems":[{"id":"ITEM-1","itemData":{"author":[{"dropping-particle":"","family":"Al-Rāmhurmuzī","given":"al-Ḥasan ibn ʿAbd al-Raḥmān Ibn Khallād","non-dropping-particle":"","parse-names":false,"suffix":""}],"editor":[{"dropping-particle":"","family":"Al-Khaṭīb","given":"ʿAjāj","non-dropping-particle":"","parse-names":false,"suffix":""}],"id":"ITEM-1","issued":{"date-parts":[["1994"]]},"publisher":"Dār al-Fikr","publisher-place":"Beirut","title":"al-Muḥaddith al-Fāṣil bayna al-Rāwī wa al-Wāʿī","type":"book"},"prefix":"See:","uris":["http://www.mendeley.com/documents/?uuid=ca0cbd69-26ac-4428-a1f9-889ab3c186bf"]},{"id":"ITEM-2","itemData":{"author":[{"dropping-particle":"","family":"Al-Ḥākim","given":"Muḥammad ibn ʿAbd Allāh Ibn al-Bayyiʿ Abū ʿAbd Allāh","non-dropping-particle":"","parse-names":false,"suffix":""}],"id":"ITEM-2","issued":{"date-parts":[["2003"]]},"publisher":"Dār Ibn Ḥazm","publisher-place":"Beirut","title":"Maʿrifat ʿUlūm al-Ḥadīth wa Kammiyat Ajnāsihi","type":"book"},"uris":["http://www.mendeley.com/documents/?uuid=d44f45ee-fb3f-4a36-8c01-1470f4b4066c"]},{"id":"ITEM-3","itemData":{"author":[{"dropping-particle":"","family":"al-Khaṭib al-Baghdādī","given":"Aḥmad ibn ʿAli ibn Thābit","non-dropping-particle":"","parse-names":false,"suffix":""}],"id":"ITEM-3","issued":{"date-parts":[["2011"]]},"publisher":"Dār Ibn al-Jawzī","publisher-place":"Riyadh","title":"al-Kifāyah fī Uṣul ʿIlm al-Riwāyah","type":"book"},"uris":["http://www.mendeley.com/documents/?uuid=511f783a-86ab-4e53-b05a-a30a1f1c4c3b"]}],"mendeley":{"formattedCitation":"See: al-Ḥasan ibn ʿAbd al-Raḥmān Ibn Khallād Al-Rāmhurmuzī, &lt;i&gt;Al-Muḥaddith Al-Fāṣil Bayna Al-Rāwī Wa Al-Wāʿī&lt;/i&gt;, ed. ʿAjāj Al-Khaṭīb (Beirut: Dār al-Fikr, 1994); Muḥammad ibn ʿAbd Allāh Ibn al-Bayyiʿ Abū ʿAbd Allāh Al-Ḥākim, &lt;i&gt;Maʿrifat ʿUlūm Al-Ḥadīth Wa Kammiyat Ajnāsihi&lt;/i&gt; (Beirut: Dār Ibn Ḥazm, 2003); Aḥmad ibn ʿAli ibn Thābit al-Khaṭib al-Baghdādī, &lt;i&gt;Al-Kifāyah Fī Uṣul ʿIlm Al-Riwāyah&lt;/i&gt; (Riyadh: Dār Ibn al-Jawzī, 2011).","plainTextFormattedCitation":"See: al-Ḥasan ibn ʿAbd al-Raḥmān Ibn Khallād Al-Rāmhurmuzī, Al-Muḥaddith Al-Fāṣil Bayna Al-Rāwī Wa Al-Wāʿī, ed. ʿAjāj Al-Khaṭīb (Beirut: Dār al-Fikr, 1994); Muḥammad ibn ʿAbd Allāh Ibn al-Bayyiʿ Abū ʿAbd Allāh Al-Ḥākim, Maʿrifat ʿUlūm Al-Ḥadīth Wa Kammiyat Ajnāsihi (Beirut: Dār Ibn Ḥazm, 2003); Aḥmad ibn ʿAli ibn Thābit al-Khaṭib al-Baghdādī, Al-Kifāyah Fī Uṣul ʿIlm Al-Riwāyah (Riyadh: Dār Ibn al-Jawzī, 2011).","previouslyFormattedCitation":"See: al-Ḥasan ibn ʿAbd al-Raḥmān Ibn Khallād Al-Rāmhurmuzī, &lt;i&gt;Al-Muḥaddith Al-Fāṣil Bayna Al-Rāwī Wa Al-Wāʿī&lt;/i&gt;, ed. ʿAjāj Al-Khaṭīb (Beirut: Dār al-Fikr, 1994); Muḥammad ibn ʿAbd Allāh Ibn al-Bayyiʿ Abū ʿAbd Allāh Al-Ḥākim, &lt;i&gt;Maʿrifat ʿUlūm Al-Ḥadīth Wa Kammiyat Ajnāsihi&lt;/i&gt; (Beirut: Dār Ibn Ḥazm, 2003); Aḥmad ibn ʿAli ibn Thābit al-Khaṭib al-Baghdādī, &lt;i&gt;Al-Kifāyah Fī Uṣul ʿIlm Al-Riwāyah&lt;/i&gt; (Riyadh: Dār Ibn al-Jawzī, 2011)."},"properties":{"noteIndex":2},"schema":"https://github.com/citation-style-language/schema/raw/master/csl-citation.json"}</w:instrText>
      </w:r>
      <w:r w:rsidRPr="00AE4029">
        <w:rPr>
          <w:rFonts w:asciiTheme="majorBidi" w:hAnsiTheme="majorBidi" w:cstheme="majorBidi"/>
        </w:rPr>
        <w:fldChar w:fldCharType="separate"/>
      </w:r>
      <w:r w:rsidRPr="00AE4029">
        <w:rPr>
          <w:rFonts w:asciiTheme="majorBidi" w:hAnsiTheme="majorBidi" w:cstheme="majorBidi"/>
          <w:noProof/>
        </w:rPr>
        <w:t xml:space="preserve">See: al-Ḥasan ibn ʿAbd al-Raḥmān Ibn Khallād </w:t>
      </w:r>
      <w:r>
        <w:rPr>
          <w:rFonts w:asciiTheme="majorBidi" w:hAnsiTheme="majorBidi" w:cstheme="majorBidi"/>
          <w:noProof/>
        </w:rPr>
        <w:t>al-</w:t>
      </w:r>
      <w:r w:rsidRPr="00AE4029">
        <w:rPr>
          <w:rFonts w:asciiTheme="majorBidi" w:hAnsiTheme="majorBidi" w:cstheme="majorBidi"/>
          <w:noProof/>
        </w:rPr>
        <w:t xml:space="preserve">Rāmhurmuzī,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 xml:space="preserve">Muḥaddith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 xml:space="preserve">Fāṣil Bayna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 xml:space="preserve">Rāwī Wa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>Wāʿī</w:t>
      </w:r>
      <w:r w:rsidRPr="00AE4029">
        <w:rPr>
          <w:rFonts w:asciiTheme="majorBidi" w:hAnsiTheme="majorBidi" w:cstheme="majorBidi"/>
          <w:noProof/>
        </w:rPr>
        <w:t xml:space="preserve">, ed. ʿAjāj </w:t>
      </w:r>
      <w:r>
        <w:rPr>
          <w:rFonts w:asciiTheme="majorBidi" w:hAnsiTheme="majorBidi" w:cstheme="majorBidi"/>
          <w:noProof/>
        </w:rPr>
        <w:t>al-</w:t>
      </w:r>
      <w:r w:rsidRPr="00AE4029">
        <w:rPr>
          <w:rFonts w:asciiTheme="majorBidi" w:hAnsiTheme="majorBidi" w:cstheme="majorBidi"/>
          <w:noProof/>
        </w:rPr>
        <w:t xml:space="preserve">Khaṭīb (Beirut: Dār al-Fikr, 1994); Muḥammad ibn ʿAbd Allāh Ibn al-Bayyiʿ Abū ʿAbd Allāh </w:t>
      </w:r>
      <w:r>
        <w:rPr>
          <w:rFonts w:asciiTheme="majorBidi" w:hAnsiTheme="majorBidi" w:cstheme="majorBidi"/>
          <w:noProof/>
        </w:rPr>
        <w:t>al-</w:t>
      </w:r>
      <w:r w:rsidRPr="00AE4029">
        <w:rPr>
          <w:rFonts w:asciiTheme="majorBidi" w:hAnsiTheme="majorBidi" w:cstheme="majorBidi"/>
          <w:noProof/>
        </w:rPr>
        <w:t xml:space="preserve">Ḥākim, </w:t>
      </w:r>
      <w:r w:rsidRPr="00AE4029">
        <w:rPr>
          <w:rFonts w:asciiTheme="majorBidi" w:hAnsiTheme="majorBidi" w:cstheme="majorBidi"/>
          <w:i/>
          <w:noProof/>
        </w:rPr>
        <w:t xml:space="preserve">Maʿrifat ʿUlūm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>Ḥadīth Wa Kammiyat Ajnāsihi</w:t>
      </w:r>
      <w:r w:rsidRPr="00AE4029">
        <w:rPr>
          <w:rFonts w:asciiTheme="majorBidi" w:hAnsiTheme="majorBidi" w:cstheme="majorBidi"/>
          <w:noProof/>
        </w:rPr>
        <w:t xml:space="preserve"> (Beirut: Dār Ibn Ḥazm, 2003); Aḥmad ibn ʿAli ibn Thābit al-Khaṭib al-Baghdādī,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 xml:space="preserve">Kifāyah Fī Uṣul ʿIlm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>Riwāyah</w:t>
      </w:r>
      <w:r w:rsidRPr="00AE4029">
        <w:rPr>
          <w:rFonts w:asciiTheme="majorBidi" w:hAnsiTheme="majorBidi" w:cstheme="majorBidi"/>
          <w:noProof/>
        </w:rPr>
        <w:t xml:space="preserve"> (Riyadh: Dār Ibn al-Jawzī, 2011).</w:t>
      </w:r>
      <w:r w:rsidRPr="00AE4029">
        <w:rPr>
          <w:rFonts w:asciiTheme="majorBidi" w:hAnsiTheme="majorBidi" w:cstheme="majorBidi"/>
        </w:rPr>
        <w:fldChar w:fldCharType="end"/>
      </w:r>
    </w:p>
  </w:footnote>
  <w:footnote w:id="3">
    <w:p w14:paraId="48991AF5" w14:textId="77777777" w:rsidR="003A1A78" w:rsidRPr="00AE4029" w:rsidRDefault="003A1A78" w:rsidP="003A1A78">
      <w:pPr>
        <w:pStyle w:val="FootnoteText"/>
        <w:jc w:val="both"/>
        <w:rPr>
          <w:rFonts w:asciiTheme="majorBidi" w:hAnsiTheme="majorBidi" w:cstheme="majorBidi"/>
          <w:lang w:val="en-US"/>
        </w:rPr>
      </w:pPr>
      <w:r w:rsidRPr="00AE4029">
        <w:rPr>
          <w:rStyle w:val="FootnoteReference"/>
          <w:rFonts w:asciiTheme="majorBidi" w:hAnsiTheme="majorBidi" w:cstheme="majorBidi"/>
        </w:rPr>
        <w:footnoteRef/>
      </w:r>
      <w:r w:rsidRPr="00AE4029">
        <w:rPr>
          <w:rFonts w:asciiTheme="majorBidi" w:hAnsiTheme="majorBidi" w:cstheme="majorBidi"/>
        </w:rPr>
        <w:t xml:space="preserve"> </w:t>
      </w:r>
      <w:r w:rsidRPr="00AE4029">
        <w:rPr>
          <w:rFonts w:asciiTheme="majorBidi" w:hAnsiTheme="majorBidi" w:cstheme="majorBidi"/>
        </w:rPr>
        <w:fldChar w:fldCharType="begin" w:fldLock="1"/>
      </w:r>
      <w:r w:rsidRPr="00AE4029">
        <w:rPr>
          <w:rFonts w:asciiTheme="majorBidi" w:hAnsiTheme="majorBidi" w:cstheme="majorBidi"/>
        </w:rPr>
        <w:instrText>ADDIN CSL_CITATION {"citationItems":[{"id":"ITEM-1","itemData":{"author":[{"dropping-particle":"","family":"al-Khaṭib al-Baghdādī","given":"Aḥmad ibn ʿAli ibn Thābit","non-dropping-particle":"","parse-names":false,"suffix":""}],"id":"ITEM-1","issued":{"date-parts":[["2001"]]},"publisher":"Dār al-Gharb al-Islāmī","publisher-place":"Beirut","title":"Tārīkh Madīnat al-Salām wa Akhbār Muḥaddithīhā wa Dhikr Quṭṭānihā al-ʿUlamā min Ghayr Ahlihā wa Wāridīhā","type":"book"},"locator":"11:512","uris":["http://www.mendeley.com/documents/?uuid=b856a70e-df07-44cd-97a3-0bdae7e8124b"]}],"mendeley":{"formattedCitation":"Aḥmad ibn ʿAli ibn Thābit al-Khaṭib al-Baghdādī, &lt;i&gt;Tārīkh Madīnat Al-Salām Wa Akhbār Muḥaddithīhā Wa Dhikr Quṭṭānihā Al-ʿUlamā Min Ghayr Ahlihā Wa Wāridīhā&lt;/i&gt; (Beirut: Dār al-Gharb al-Islāmī, 2001), 11:512.","plainTextFormattedCitation":"Aḥmad ibn ʿAli ibn Thābit al-Khaṭib al-Baghdādī, Tārīkh Madīnat Al-Salām Wa Akhbār Muḥaddithīhā Wa Dhikr Quṭṭānihā Al-ʿUlamā Min Ghayr Ahlihā Wa Wāridīhā (Beirut: Dār al-Gharb al-Islāmī, 2001), 11:512.","previouslyFormattedCitation":"Aḥmad ibn ʿAli ibn Thābit al-Khaṭib al-Baghdādī, &lt;i&gt;Tārīkh Madīnat Al-Salām Wa Akhbār Muḥaddithīhā Wa Dhikr Quṭṭānihā Al-ʿUlamā Min Ghayr Ahlihā Wa Wāridīhā&lt;/i&gt; (Beirut: Dār al-Gharb al-Islāmī, 2001), 11:512."},"properties":{"noteIndex":33},"schema":"https://github.com/citation-style-language/schema/raw/master/csl-citation.json"}</w:instrText>
      </w:r>
      <w:r w:rsidRPr="00AE4029">
        <w:rPr>
          <w:rFonts w:asciiTheme="majorBidi" w:hAnsiTheme="majorBidi" w:cstheme="majorBidi"/>
        </w:rPr>
        <w:fldChar w:fldCharType="separate"/>
      </w:r>
      <w:r w:rsidRPr="00AE4029">
        <w:rPr>
          <w:rFonts w:asciiTheme="majorBidi" w:hAnsiTheme="majorBidi" w:cstheme="majorBidi"/>
          <w:noProof/>
        </w:rPr>
        <w:t xml:space="preserve">Aḥmad ibn ʿAli ibn Thābit al-Khaṭib al-Baghdādī, </w:t>
      </w:r>
      <w:r w:rsidRPr="00AE4029">
        <w:rPr>
          <w:rFonts w:asciiTheme="majorBidi" w:hAnsiTheme="majorBidi" w:cstheme="majorBidi"/>
          <w:i/>
          <w:noProof/>
        </w:rPr>
        <w:t xml:space="preserve">Tārīkh Madīnat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 xml:space="preserve">Salām Wa Akhbār Muḥaddithīhā Wa Dhikr Quṭṭānihā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>ʿUlamā Min Ghayr Ahlihā Wa Wāridīhā</w:t>
      </w:r>
      <w:r w:rsidRPr="00AE4029">
        <w:rPr>
          <w:rFonts w:asciiTheme="majorBidi" w:hAnsiTheme="majorBidi" w:cstheme="majorBidi"/>
          <w:noProof/>
        </w:rPr>
        <w:t xml:space="preserve"> (Beirut: Dār al-Gharb al-Islāmī, 2001), 11:512.</w:t>
      </w:r>
      <w:r w:rsidRPr="00AE4029">
        <w:rPr>
          <w:rFonts w:asciiTheme="majorBidi" w:hAnsiTheme="majorBidi" w:cstheme="majorBidi"/>
        </w:rPr>
        <w:fldChar w:fldCharType="end"/>
      </w:r>
    </w:p>
  </w:footnote>
  <w:footnote w:id="4">
    <w:p w14:paraId="34AC0BD6" w14:textId="77777777" w:rsidR="003A1A78" w:rsidRPr="00AE4029" w:rsidRDefault="003A1A78" w:rsidP="003A1A78">
      <w:pPr>
        <w:pStyle w:val="FootnoteText"/>
        <w:jc w:val="both"/>
        <w:rPr>
          <w:rFonts w:asciiTheme="majorBidi" w:hAnsiTheme="majorBidi" w:cstheme="majorBidi"/>
          <w:lang w:val="en-US"/>
        </w:rPr>
      </w:pPr>
      <w:r w:rsidRPr="00AE4029">
        <w:rPr>
          <w:rStyle w:val="FootnoteReference"/>
          <w:rFonts w:asciiTheme="majorBidi" w:hAnsiTheme="majorBidi" w:cstheme="majorBidi"/>
        </w:rPr>
        <w:footnoteRef/>
      </w:r>
      <w:r w:rsidRPr="00AE4029">
        <w:rPr>
          <w:rFonts w:asciiTheme="majorBidi" w:hAnsiTheme="majorBidi" w:cstheme="majorBidi"/>
        </w:rPr>
        <w:t xml:space="preserve"> </w:t>
      </w:r>
      <w:r w:rsidRPr="00AE4029">
        <w:rPr>
          <w:rFonts w:asciiTheme="majorBidi" w:hAnsiTheme="majorBidi" w:cstheme="majorBidi"/>
        </w:rPr>
        <w:fldChar w:fldCharType="begin" w:fldLock="1"/>
      </w:r>
      <w:r w:rsidRPr="00AE4029">
        <w:rPr>
          <w:rFonts w:asciiTheme="majorBidi" w:hAnsiTheme="majorBidi" w:cstheme="majorBidi"/>
        </w:rPr>
        <w:instrText>ADDIN CSL_CITATION {"citationItems":[{"id":"ITEM-1","itemData":{"author":[{"dropping-particle":"","family":"Jamil","given":"Khairil Husaini","non-dropping-particle":"Bin","parse-names":false,"suffix":""}],"id":"ITEM-1","issued":{"date-parts":[["2017"]]},"publisher":"SOAS, University of London","title":"Traditional sunni epistemology in the scholarship of al-Hafiz al-Khatib al-Baghdadi (463AH/1071CE)","type":"thesis"},"locator":"71","uris":["http://www.mendeley.com/documents/?uuid=b54de04a-4a63-33fd-8a34-9d0200c5fe31"]}],"mendeley":{"formattedCitation":"Khairil Husaini Bin Jamil, ‘Traditional Sunni Epistemology in the Scholarship of Al-Hafiz Al-Khatib Al-Baghdadi (463AH/1071CE)’ (SOAS, University of London, 2017), 71.","plainTextFormattedCitation":"Khairil Husaini Bin Jamil, ‘Traditional Sunni Epistemology in the Scholarship of Al-Hafiz Al-Khatib Al-Baghdadi (463AH/1071CE)’ (SOAS, University of London, 2017), 71.","previouslyFormattedCitation":"Khairil Husaini Bin Jamil, ‘Traditional Sunni Epistemology in the Scholarship of Al-Hafiz Al-Khatib Al-Baghdadi (463AH/1071CE)’ (SOAS, University of London, 2017), 71."},"properties":{"noteIndex":34},"schema":"https://github.com/citation-style-language/schema/raw/master/csl-citation.json"}</w:instrText>
      </w:r>
      <w:r w:rsidRPr="00AE4029">
        <w:rPr>
          <w:rFonts w:asciiTheme="majorBidi" w:hAnsiTheme="majorBidi" w:cstheme="majorBidi"/>
        </w:rPr>
        <w:fldChar w:fldCharType="separate"/>
      </w:r>
      <w:r w:rsidRPr="00AE4029">
        <w:rPr>
          <w:rFonts w:asciiTheme="majorBidi" w:hAnsiTheme="majorBidi" w:cstheme="majorBidi"/>
          <w:noProof/>
        </w:rPr>
        <w:t xml:space="preserve">Khairil Husaini Bin Jamil, ‘Traditional Sunni Epistemology in the Scholarship of </w:t>
      </w:r>
      <w:r>
        <w:rPr>
          <w:rFonts w:asciiTheme="majorBidi" w:hAnsiTheme="majorBidi" w:cstheme="majorBidi"/>
          <w:noProof/>
        </w:rPr>
        <w:t>al-</w:t>
      </w:r>
      <w:r w:rsidRPr="00AE4029">
        <w:rPr>
          <w:rFonts w:asciiTheme="majorBidi" w:hAnsiTheme="majorBidi" w:cstheme="majorBidi"/>
          <w:noProof/>
        </w:rPr>
        <w:t xml:space="preserve">Hafiz </w:t>
      </w:r>
      <w:r>
        <w:rPr>
          <w:rFonts w:asciiTheme="majorBidi" w:hAnsiTheme="majorBidi" w:cstheme="majorBidi"/>
          <w:noProof/>
        </w:rPr>
        <w:t>al-</w:t>
      </w:r>
      <w:r w:rsidRPr="00AE4029">
        <w:rPr>
          <w:rFonts w:asciiTheme="majorBidi" w:hAnsiTheme="majorBidi" w:cstheme="majorBidi"/>
          <w:noProof/>
        </w:rPr>
        <w:t xml:space="preserve">Khatib </w:t>
      </w:r>
      <w:r>
        <w:rPr>
          <w:rFonts w:asciiTheme="majorBidi" w:hAnsiTheme="majorBidi" w:cstheme="majorBidi"/>
          <w:noProof/>
        </w:rPr>
        <w:t>al-</w:t>
      </w:r>
      <w:r w:rsidRPr="00AE4029">
        <w:rPr>
          <w:rFonts w:asciiTheme="majorBidi" w:hAnsiTheme="majorBidi" w:cstheme="majorBidi"/>
          <w:noProof/>
        </w:rPr>
        <w:t>Baghdadi (463AH/1071CE)’ (SOAS, University of London, 2017), 71.</w:t>
      </w:r>
      <w:r w:rsidRPr="00AE4029">
        <w:rPr>
          <w:rFonts w:asciiTheme="majorBidi" w:hAnsiTheme="majorBidi" w:cstheme="majorBidi"/>
        </w:rPr>
        <w:fldChar w:fldCharType="end"/>
      </w:r>
    </w:p>
  </w:footnote>
  <w:footnote w:id="5">
    <w:p w14:paraId="474EDA9F" w14:textId="77777777" w:rsidR="003A1A78" w:rsidRPr="007A354A" w:rsidRDefault="003A1A78" w:rsidP="003A1A78">
      <w:pPr>
        <w:pStyle w:val="FootnoteText"/>
        <w:jc w:val="both"/>
        <w:rPr>
          <w:rFonts w:asciiTheme="majorBidi" w:hAnsiTheme="majorBidi" w:cstheme="majorBidi"/>
        </w:rPr>
      </w:pPr>
      <w:r w:rsidRPr="00AE4029">
        <w:rPr>
          <w:rStyle w:val="FootnoteReference"/>
          <w:rFonts w:asciiTheme="majorBidi" w:hAnsiTheme="majorBidi" w:cstheme="majorBidi"/>
        </w:rPr>
        <w:footnoteRef/>
      </w:r>
      <w:r w:rsidRPr="00AE4029">
        <w:rPr>
          <w:rFonts w:asciiTheme="majorBidi" w:hAnsiTheme="majorBidi" w:cstheme="majorBidi"/>
        </w:rPr>
        <w:t xml:space="preserve"> </w:t>
      </w:r>
      <w:r w:rsidRPr="00AE4029">
        <w:rPr>
          <w:rFonts w:asciiTheme="majorBidi" w:hAnsiTheme="majorBidi" w:cstheme="majorBidi"/>
        </w:rPr>
        <w:fldChar w:fldCharType="begin" w:fldLock="1"/>
      </w:r>
      <w:r w:rsidRPr="00AE4029">
        <w:rPr>
          <w:rFonts w:asciiTheme="majorBidi" w:hAnsiTheme="majorBidi" w:cstheme="majorBidi"/>
        </w:rPr>
        <w:instrText>ADDIN CSL_CITATION {"citationItems":[{"id":"ITEM-1","itemData":{"author":[{"dropping-particle":"","family":"Ibn al-ʿAṭtār","given":"ʿAlāʾ al-Dīn","non-dropping-particle":"","parse-names":false,"suffix":""}],"edition":"6","id":"ITEM-1","issued":{"date-parts":[["1996"]]},"publisher":"Dār al-Bashāʾir al-Islāmiyyah","publisher-place":"Beirut","title":"Fatāwā al-Imām al-Nawaī al-Musammā bi al-Masāʾil al-Manthūrah","type":"book"},"locator":"266","uris":["http://www.mendeley.com/documents/?uuid=cce053c2-ec57-45a7-bf57-e94d1c9ba518"]}],"mendeley":{"formattedCitation":"ʿAlāʾ al-Dīn Ibn al-ʿAṭtār, &lt;i&gt;Fatāwā Al-Imām Al-Nawaī Al-Musammā Bi Al-Masāʾil Al-Manthūrah&lt;/i&gt;, 6th ed. (Beirut: Dār al-Bashāʾir al-Islāmiyyah, 1996), 266.","plainTextFormattedCitation":"ʿAlāʾ al-Dīn Ibn al-ʿAṭtār, Fatāwā Al-Imām Al-Nawaī Al-Musammā Bi Al-Masāʾil Al-Manthūrah, 6th ed. (Beirut: Dār al-Bashāʾir al-Islāmiyyah, 1996), 266.","previouslyFormattedCitation":"ʿAlāʾ al-Dīn Ibn al-ʿAṭtār, &lt;i&gt;Fatāwā Al-Imām Al-Nawaī Al-Musammā Bi Al-Masāʾil Al-Manthūrah&lt;/i&gt;, 6th ed. (Beirut: Dār al-Bashāʾir al-Islāmiyyah, 1996), 266."},"properties":{"noteIndex":35},"schema":"https://github.com/citation-style-language/schema/raw/master/csl-citation.json"}</w:instrText>
      </w:r>
      <w:r w:rsidRPr="00AE4029">
        <w:rPr>
          <w:rFonts w:asciiTheme="majorBidi" w:hAnsiTheme="majorBidi" w:cstheme="majorBidi"/>
        </w:rPr>
        <w:fldChar w:fldCharType="separate"/>
      </w:r>
      <w:r w:rsidRPr="00AE4029">
        <w:rPr>
          <w:rFonts w:asciiTheme="majorBidi" w:hAnsiTheme="majorBidi" w:cstheme="majorBidi"/>
          <w:noProof/>
        </w:rPr>
        <w:t xml:space="preserve">ʿAlāʾ al-Dīn Ibn al-ʿAṭtār, </w:t>
      </w:r>
      <w:r w:rsidRPr="00AE4029">
        <w:rPr>
          <w:rFonts w:asciiTheme="majorBidi" w:hAnsiTheme="majorBidi" w:cstheme="majorBidi"/>
          <w:i/>
          <w:noProof/>
        </w:rPr>
        <w:t xml:space="preserve">Fatāwā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 xml:space="preserve">Imām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 xml:space="preserve">Nawaī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 xml:space="preserve">Musammā Bi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 xml:space="preserve">Masāʾil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>Manthūrah</w:t>
      </w:r>
      <w:r w:rsidRPr="00AE4029">
        <w:rPr>
          <w:rFonts w:asciiTheme="majorBidi" w:hAnsiTheme="majorBidi" w:cstheme="majorBidi"/>
          <w:noProof/>
        </w:rPr>
        <w:t>, 6th ed. (Beirut: Dār al-Bashāʾir al-Islāmiyyah, 1996), 266.</w:t>
      </w:r>
      <w:r w:rsidRPr="00AE4029">
        <w:rPr>
          <w:rFonts w:asciiTheme="majorBidi" w:hAnsiTheme="majorBidi" w:cstheme="majorBidi"/>
        </w:rPr>
        <w:fldChar w:fldCharType="end"/>
      </w:r>
    </w:p>
  </w:footnote>
  <w:footnote w:id="6">
    <w:p w14:paraId="3725E359" w14:textId="77777777" w:rsidR="003A1A78" w:rsidRPr="007A354A" w:rsidRDefault="003A1A78" w:rsidP="003A1A78">
      <w:pPr>
        <w:pStyle w:val="FootnoteText"/>
        <w:jc w:val="both"/>
        <w:rPr>
          <w:rFonts w:asciiTheme="majorBidi" w:hAnsiTheme="majorBidi" w:cstheme="majorBidi"/>
        </w:rPr>
      </w:pPr>
      <w:r w:rsidRPr="00AE4029">
        <w:rPr>
          <w:rStyle w:val="FootnoteReference"/>
          <w:rFonts w:asciiTheme="majorBidi" w:hAnsiTheme="majorBidi" w:cstheme="majorBidi"/>
        </w:rPr>
        <w:footnoteRef/>
      </w:r>
      <w:r w:rsidRPr="00AE4029">
        <w:rPr>
          <w:rFonts w:asciiTheme="majorBidi" w:hAnsiTheme="majorBidi" w:cstheme="majorBidi"/>
        </w:rPr>
        <w:t xml:space="preserve"> </w:t>
      </w:r>
      <w:r w:rsidRPr="00AE4029">
        <w:rPr>
          <w:rFonts w:asciiTheme="majorBidi" w:hAnsiTheme="majorBidi" w:cstheme="majorBidi"/>
        </w:rPr>
        <w:fldChar w:fldCharType="begin" w:fldLock="1"/>
      </w:r>
      <w:r w:rsidRPr="00AE4029">
        <w:rPr>
          <w:rFonts w:asciiTheme="majorBidi" w:hAnsiTheme="majorBidi" w:cstheme="majorBidi"/>
        </w:rPr>
        <w:instrText>ADDIN CSL_CITATION {"citationItems":[{"id":"ITEM-1","itemData":{"author":[{"dropping-particle":"","family":"Ibn al-ʿArabī","given":"Muḥammad ibn ʿAbd Allāh al-Muʿāfirī al-Ishbīlī","non-dropping-particle":"","parse-names":false,"suffix":""}],"editor":[{"dropping-particle":"","family":"Bū Khubzah","given":"Muḥammad Abū Uways al-Ḥusaynī","non-dropping-particle":"","parse-names":false,"suffix":""}],"id":"ITEM-1","issued":{"date-parts":[["2009"]]},"publisher":"Dār Ibn Ḥazm","publisher-place":"Beirut","title":"Sirāj al-Muhtadīn fī Ādāb al-Ṣāliḥīn","type":"book"},"prefix":"See editorial remark in:","uris":["http://www.mendeley.com/documents/?uuid=a2318acb-87bd-4995-bbe8-763dedab870d"]}],"mendeley":{"formattedCitation":"See editorial remark in: Muḥammad ibn ʿAbd Allāh al-Muʿāfirī al-Ishbīlī Ibn al-ʿArabī, &lt;i&gt;Sirāj Al-Muhtadīn Fī Ādāb Al-Ṣāliḥīn&lt;/i&gt;, ed. Muḥammad Abū Uways al-Ḥusaynī Bū Khubzah (Beirut: Dār Ibn Ḥazm, 2009).","plainTextFormattedCitation":"See editorial remark in: Muḥammad ibn ʿAbd Allāh al-Muʿāfirī al-Ishbīlī Ibn al-ʿArabī, Sirāj Al-Muhtadīn Fī Ādāb Al-Ṣāliḥīn, ed. Muḥammad Abū Uways al-Ḥusaynī Bū Khubzah (Beirut: Dār Ibn Ḥazm, 2009).","previouslyFormattedCitation":"See editorial remark in: Muḥammad ibn ʿAbd Allāh al-Muʿāfirī al-Ishbīlī Ibn al-ʿArabī, &lt;i&gt;Sirāj Al-Muhtadīn Fī Ādāb Al-Ṣāliḥīn&lt;/i&gt;, ed. Muḥammad Abū Uways al-Ḥusaynī Bū Khubzah (Beirut: Dār Ibn Ḥazm, 2009)."},"properties":{"noteIndex":36},"schema":"https://github.com/citation-style-language/schema/raw/master/csl-citation.json"}</w:instrText>
      </w:r>
      <w:r w:rsidRPr="00AE4029">
        <w:rPr>
          <w:rFonts w:asciiTheme="majorBidi" w:hAnsiTheme="majorBidi" w:cstheme="majorBidi"/>
        </w:rPr>
        <w:fldChar w:fldCharType="separate"/>
      </w:r>
      <w:r w:rsidRPr="00AE4029">
        <w:rPr>
          <w:rFonts w:asciiTheme="majorBidi" w:hAnsiTheme="majorBidi" w:cstheme="majorBidi"/>
          <w:noProof/>
        </w:rPr>
        <w:t xml:space="preserve">See editorial remark in: Muḥammad ibn ʿAbd Allāh al-Muʿāfirī al-Ishbīlī Ibn al-ʿArabī, </w:t>
      </w:r>
      <w:r w:rsidRPr="00AE4029">
        <w:rPr>
          <w:rFonts w:asciiTheme="majorBidi" w:hAnsiTheme="majorBidi" w:cstheme="majorBidi"/>
          <w:i/>
          <w:noProof/>
        </w:rPr>
        <w:t xml:space="preserve">Sirāj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 xml:space="preserve">Muhtadīn Fī Ādāb </w:t>
      </w:r>
      <w:r>
        <w:rPr>
          <w:rFonts w:asciiTheme="majorBidi" w:hAnsiTheme="majorBidi" w:cstheme="majorBidi"/>
          <w:i/>
          <w:noProof/>
        </w:rPr>
        <w:t>al-</w:t>
      </w:r>
      <w:r w:rsidRPr="00AE4029">
        <w:rPr>
          <w:rFonts w:asciiTheme="majorBidi" w:hAnsiTheme="majorBidi" w:cstheme="majorBidi"/>
          <w:i/>
          <w:noProof/>
        </w:rPr>
        <w:t>Ṣāliḥīn</w:t>
      </w:r>
      <w:r w:rsidRPr="00AE4029">
        <w:rPr>
          <w:rFonts w:asciiTheme="majorBidi" w:hAnsiTheme="majorBidi" w:cstheme="majorBidi"/>
          <w:noProof/>
        </w:rPr>
        <w:t>, ed. Muḥammad Abū Uways al-Ḥusaynī Bū Khubzah (Beirut: Dār Ibn Ḥazm, 2009).</w:t>
      </w:r>
      <w:r w:rsidRPr="00AE4029">
        <w:rPr>
          <w:rFonts w:asciiTheme="majorBidi" w:hAnsiTheme="majorBidi" w:cstheme="majorBidi"/>
        </w:rPr>
        <w:fldChar w:fldCharType="end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E1F82"/>
    <w:multiLevelType w:val="hybridMultilevel"/>
    <w:tmpl w:val="BDCE0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78"/>
    <w:rsid w:val="003A1A78"/>
    <w:rsid w:val="00B2640F"/>
    <w:rsid w:val="00C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9BC9BA"/>
  <w15:chartTrackingRefBased/>
  <w15:docId w15:val="{C56409DE-CEF6-0A4F-B3E0-BBCC98B6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A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A7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3A1A78"/>
    <w:rPr>
      <w:rFonts w:ascii="Cambria" w:eastAsia="Malgun Gothic" w:hAnsi="Cambria" w:cs="Arial"/>
      <w:sz w:val="20"/>
      <w:szCs w:val="20"/>
      <w:lang w:val="id-ID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A78"/>
    <w:rPr>
      <w:rFonts w:ascii="Cambria" w:eastAsia="Malgun Gothic" w:hAnsi="Cambria" w:cs="Arial"/>
      <w:sz w:val="20"/>
      <w:szCs w:val="20"/>
      <w:lang w:val="id-ID" w:eastAsia="ja-JP"/>
    </w:rPr>
  </w:style>
  <w:style w:type="character" w:styleId="FootnoteReference">
    <w:name w:val="footnote reference"/>
    <w:uiPriority w:val="99"/>
    <w:semiHidden/>
    <w:unhideWhenUsed/>
    <w:rsid w:val="003A1A78"/>
    <w:rPr>
      <w:vertAlign w:val="superscript"/>
    </w:rPr>
  </w:style>
  <w:style w:type="paragraph" w:styleId="ListParagraph">
    <w:name w:val="List Paragraph"/>
    <w:basedOn w:val="Normal"/>
    <w:uiPriority w:val="34"/>
    <w:qFormat/>
    <w:rsid w:val="003A1A7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A1A78"/>
    <w:pPr>
      <w:tabs>
        <w:tab w:val="center" w:pos="4680"/>
        <w:tab w:val="right" w:pos="9360"/>
      </w:tabs>
    </w:pPr>
    <w:rPr>
      <w:rFonts w:ascii="Times New Roman" w:eastAsia="Malgun Gothic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A1A78"/>
    <w:rPr>
      <w:rFonts w:ascii="Times New Roman" w:eastAsia="Malgun Gothic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saini@iiu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Apriliya</dc:creator>
  <cp:keywords/>
  <dc:description/>
  <cp:lastModifiedBy>Dewi Apriliya</cp:lastModifiedBy>
  <cp:revision>1</cp:revision>
  <dcterms:created xsi:type="dcterms:W3CDTF">2022-07-19T05:52:00Z</dcterms:created>
  <dcterms:modified xsi:type="dcterms:W3CDTF">2022-07-19T06:00:00Z</dcterms:modified>
</cp:coreProperties>
</file>