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E5D96" w14:textId="493AF5BA" w:rsidR="003A1A78" w:rsidRDefault="003A1A78" w:rsidP="003A1A78">
      <w:pPr>
        <w:jc w:val="center"/>
        <w:rPr>
          <w:b/>
          <w:bCs/>
        </w:rPr>
      </w:pPr>
      <w:r w:rsidRPr="00DF472B">
        <w:rPr>
          <w:b/>
          <w:bCs/>
        </w:rPr>
        <w:t xml:space="preserve">Who </w:t>
      </w:r>
      <w:r>
        <w:rPr>
          <w:b/>
          <w:bCs/>
        </w:rPr>
        <w:t>M</w:t>
      </w:r>
      <w:r w:rsidRPr="00DF472B">
        <w:rPr>
          <w:b/>
          <w:bCs/>
        </w:rPr>
        <w:t>ove</w:t>
      </w:r>
      <w:r>
        <w:rPr>
          <w:b/>
          <w:bCs/>
        </w:rPr>
        <w:t>d</w:t>
      </w:r>
      <w:r w:rsidRPr="00DF472B">
        <w:rPr>
          <w:b/>
          <w:bCs/>
        </w:rPr>
        <w:t xml:space="preserve"> </w:t>
      </w:r>
      <w:r>
        <w:rPr>
          <w:b/>
          <w:bCs/>
        </w:rPr>
        <w:t>My</w:t>
      </w:r>
      <w:r w:rsidRPr="00DF472B">
        <w:rPr>
          <w:b/>
          <w:bCs/>
        </w:rPr>
        <w:t xml:space="preserve"> </w:t>
      </w:r>
      <w:r w:rsidRPr="00DF472B">
        <w:rPr>
          <w:b/>
          <w:bCs/>
          <w:i/>
          <w:iCs/>
        </w:rPr>
        <w:t>Sanad</w:t>
      </w:r>
      <w:r w:rsidRPr="00DF472B">
        <w:rPr>
          <w:b/>
          <w:bCs/>
        </w:rPr>
        <w:t xml:space="preserve">? - Another History of </w:t>
      </w:r>
      <w:proofErr w:type="spellStart"/>
      <w:r w:rsidRPr="00DF472B">
        <w:rPr>
          <w:b/>
          <w:bCs/>
          <w:i/>
          <w:iCs/>
        </w:rPr>
        <w:t>Isnād</w:t>
      </w:r>
      <w:proofErr w:type="spellEnd"/>
      <w:r w:rsidRPr="00DF472B">
        <w:rPr>
          <w:b/>
          <w:bCs/>
        </w:rPr>
        <w:t xml:space="preserve"> in the Transmission and Conveyance of </w:t>
      </w:r>
      <w:r w:rsidRPr="00DF472B">
        <w:rPr>
          <w:b/>
          <w:bCs/>
          <w:i/>
          <w:iCs/>
          <w:vanish/>
        </w:rPr>
        <w:t>aḤ</w:t>
      </w:r>
      <w:proofErr w:type="spellStart"/>
      <w:r w:rsidRPr="00DF472B">
        <w:rPr>
          <w:b/>
          <w:bCs/>
          <w:i/>
          <w:iCs/>
        </w:rPr>
        <w:t>Ḥadīth</w:t>
      </w:r>
      <w:proofErr w:type="spellEnd"/>
      <w:r w:rsidRPr="00DF472B">
        <w:rPr>
          <w:b/>
          <w:bCs/>
        </w:rPr>
        <w:t xml:space="preserve"> and Sunnah</w:t>
      </w:r>
    </w:p>
    <w:p w14:paraId="75F1C87E" w14:textId="57A58781" w:rsidR="003A1A78" w:rsidRDefault="003A1A78">
      <w:pPr>
        <w:rPr>
          <w:b/>
          <w:bCs/>
        </w:rPr>
      </w:pPr>
    </w:p>
    <w:p w14:paraId="4360CC44" w14:textId="77777777" w:rsidR="003A1A78" w:rsidRPr="00DF472B" w:rsidRDefault="003A1A78" w:rsidP="003A1A78">
      <w:pPr>
        <w:tabs>
          <w:tab w:val="left" w:pos="24"/>
        </w:tabs>
        <w:adjustRightInd w:val="0"/>
        <w:snapToGrid w:val="0"/>
        <w:ind w:left="426"/>
        <w:jc w:val="center"/>
        <w:rPr>
          <w:bCs/>
          <w:color w:val="000000"/>
          <w:lang w:eastAsia="ko-KR"/>
        </w:rPr>
      </w:pPr>
      <w:proofErr w:type="spellStart"/>
      <w:r w:rsidRPr="00DF472B">
        <w:rPr>
          <w:bCs/>
          <w:color w:val="000000"/>
          <w:lang w:eastAsia="ko-KR"/>
        </w:rPr>
        <w:t>Khairil</w:t>
      </w:r>
      <w:proofErr w:type="spellEnd"/>
      <w:r w:rsidRPr="00DF472B">
        <w:rPr>
          <w:bCs/>
          <w:color w:val="000000"/>
          <w:lang w:eastAsia="ko-KR"/>
        </w:rPr>
        <w:t xml:space="preserve"> </w:t>
      </w:r>
      <w:proofErr w:type="spellStart"/>
      <w:r w:rsidRPr="00DF472B">
        <w:rPr>
          <w:bCs/>
          <w:color w:val="000000"/>
          <w:lang w:eastAsia="ko-KR"/>
        </w:rPr>
        <w:t>Husaini</w:t>
      </w:r>
      <w:proofErr w:type="spellEnd"/>
      <w:r w:rsidRPr="00DF472B">
        <w:rPr>
          <w:bCs/>
          <w:color w:val="000000"/>
          <w:lang w:eastAsia="ko-KR"/>
        </w:rPr>
        <w:t xml:space="preserve"> Bin Jamil</w:t>
      </w:r>
    </w:p>
    <w:p w14:paraId="044C31EA" w14:textId="79EC73D7" w:rsidR="003A1A78" w:rsidRDefault="003A1A78" w:rsidP="003A1A78">
      <w:pPr>
        <w:jc w:val="center"/>
        <w:rPr>
          <w:bCs/>
          <w:color w:val="000000"/>
          <w:lang w:eastAsia="ko-KR"/>
        </w:rPr>
      </w:pPr>
      <w:hyperlink r:id="rId7" w:history="1">
        <w:r w:rsidRPr="00C86ED3">
          <w:rPr>
            <w:rStyle w:val="Hyperlink"/>
            <w:bCs/>
            <w:lang w:eastAsia="ko-KR"/>
          </w:rPr>
          <w:t>husaini@iium.edu.my</w:t>
        </w:r>
      </w:hyperlink>
    </w:p>
    <w:p w14:paraId="1B442102" w14:textId="77777777" w:rsidR="003A1A78" w:rsidRDefault="003A1A78" w:rsidP="003A1A78">
      <w:pPr>
        <w:jc w:val="center"/>
      </w:pPr>
    </w:p>
    <w:p w14:paraId="15752C82" w14:textId="77777777" w:rsidR="003A1A78" w:rsidRPr="00DF472B" w:rsidRDefault="003A1A78" w:rsidP="003A1A78">
      <w:pPr>
        <w:widowControl w:val="0"/>
        <w:spacing w:after="100" w:line="276" w:lineRule="auto"/>
        <w:jc w:val="both"/>
        <w:rPr>
          <w:rFonts w:eastAsia="SimSun"/>
          <w:kern w:val="2"/>
          <w:lang w:eastAsia="zh-CN"/>
        </w:rPr>
      </w:pPr>
      <w:r w:rsidRPr="00DF472B">
        <w:rPr>
          <w:rFonts w:eastAsia="SimSun"/>
          <w:b/>
          <w:bCs/>
          <w:kern w:val="2"/>
          <w:lang w:eastAsia="zh-CN"/>
        </w:rPr>
        <w:t xml:space="preserve">Abstract: </w:t>
      </w:r>
      <w:r w:rsidRPr="00DF472B">
        <w:rPr>
          <w:rFonts w:asciiTheme="majorBidi" w:eastAsia="SimSun" w:hAnsiTheme="majorBidi" w:cstheme="majorBidi"/>
          <w:kern w:val="2"/>
          <w:lang w:eastAsia="zh-CN"/>
        </w:rPr>
        <w:t xml:space="preserve">This paper investigates the beginning of a phenomenon observed amongst later </w:t>
      </w:r>
      <w:proofErr w:type="spellStart"/>
      <w:r w:rsidRPr="00DF472B">
        <w:rPr>
          <w:rFonts w:asciiTheme="majorBidi" w:eastAsia="SimSun" w:hAnsiTheme="majorBidi" w:cstheme="majorBidi"/>
          <w:i/>
          <w:iCs/>
          <w:kern w:val="2"/>
          <w:lang w:eastAsia="zh-CN"/>
        </w:rPr>
        <w:t>ḥadīth</w:t>
      </w:r>
      <w:proofErr w:type="spellEnd"/>
      <w:r w:rsidRPr="00DF472B">
        <w:rPr>
          <w:rFonts w:asciiTheme="majorBidi" w:eastAsia="SimSun" w:hAnsiTheme="majorBidi" w:cstheme="majorBidi"/>
          <w:kern w:val="2"/>
          <w:lang w:eastAsia="zh-CN"/>
        </w:rPr>
        <w:t xml:space="preserve"> compilers that is the omission of </w:t>
      </w:r>
      <w:proofErr w:type="spellStart"/>
      <w:r w:rsidRPr="00DF472B">
        <w:rPr>
          <w:rFonts w:asciiTheme="majorBidi" w:eastAsia="SimSun" w:hAnsiTheme="majorBidi" w:cstheme="majorBidi"/>
          <w:i/>
          <w:iCs/>
          <w:kern w:val="2"/>
          <w:lang w:eastAsia="zh-CN"/>
        </w:rPr>
        <w:t>sanad</w:t>
      </w:r>
      <w:r w:rsidRPr="00DF472B">
        <w:rPr>
          <w:rFonts w:asciiTheme="majorBidi" w:eastAsia="SimSun" w:hAnsiTheme="majorBidi" w:cstheme="majorBidi"/>
          <w:kern w:val="2"/>
          <w:lang w:eastAsia="zh-CN"/>
        </w:rPr>
        <w:t>s</w:t>
      </w:r>
      <w:proofErr w:type="spellEnd"/>
      <w:r w:rsidRPr="00DF472B">
        <w:rPr>
          <w:rFonts w:asciiTheme="majorBidi" w:eastAsia="SimSun" w:hAnsiTheme="majorBidi" w:cstheme="majorBidi"/>
          <w:kern w:val="2"/>
          <w:lang w:eastAsia="zh-CN"/>
        </w:rPr>
        <w:t xml:space="preserve"> from </w:t>
      </w:r>
      <w:r>
        <w:rPr>
          <w:rFonts w:asciiTheme="majorBidi" w:eastAsia="SimSun" w:hAnsiTheme="majorBidi" w:cstheme="majorBidi"/>
          <w:kern w:val="2"/>
          <w:lang w:eastAsia="zh-CN"/>
        </w:rPr>
        <w:t xml:space="preserve">some of </w:t>
      </w:r>
      <w:r w:rsidRPr="00DF472B">
        <w:rPr>
          <w:rFonts w:asciiTheme="majorBidi" w:eastAsia="SimSun" w:hAnsiTheme="majorBidi" w:cstheme="majorBidi"/>
          <w:kern w:val="2"/>
          <w:lang w:eastAsia="zh-CN"/>
        </w:rPr>
        <w:t xml:space="preserve">their works dedicated to conveying the </w:t>
      </w:r>
      <w:proofErr w:type="spellStart"/>
      <w:r w:rsidRPr="00DF472B">
        <w:rPr>
          <w:rFonts w:asciiTheme="majorBidi" w:eastAsia="SimSun" w:hAnsiTheme="majorBidi" w:cstheme="majorBidi"/>
          <w:i/>
          <w:iCs/>
          <w:kern w:val="2"/>
          <w:lang w:eastAsia="zh-CN"/>
        </w:rPr>
        <w:t>ḥadīth</w:t>
      </w:r>
      <w:r w:rsidRPr="00DF472B">
        <w:rPr>
          <w:rFonts w:asciiTheme="majorBidi" w:eastAsia="SimSun" w:hAnsiTheme="majorBidi" w:cstheme="majorBidi"/>
          <w:kern w:val="2"/>
          <w:lang w:eastAsia="zh-CN"/>
        </w:rPr>
        <w:t>s</w:t>
      </w:r>
      <w:proofErr w:type="spellEnd"/>
      <w:r w:rsidRPr="00DF472B">
        <w:rPr>
          <w:rFonts w:asciiTheme="majorBidi" w:eastAsia="SimSun" w:hAnsiTheme="majorBidi" w:cstheme="majorBidi"/>
          <w:kern w:val="2"/>
          <w:lang w:eastAsia="zh-CN"/>
        </w:rPr>
        <w:t xml:space="preserve"> of Prophet </w:t>
      </w:r>
      <w:proofErr w:type="spellStart"/>
      <w:r w:rsidRPr="00DF472B">
        <w:rPr>
          <w:rFonts w:asciiTheme="majorBidi" w:eastAsia="SimSun" w:hAnsiTheme="majorBidi" w:cstheme="majorBidi"/>
          <w:kern w:val="2"/>
          <w:lang w:eastAsia="zh-CN"/>
        </w:rPr>
        <w:t>Muḥammad</w:t>
      </w:r>
      <w:proofErr w:type="spellEnd"/>
      <w:r w:rsidRPr="00DF472B">
        <w:rPr>
          <w:rFonts w:asciiTheme="majorBidi" w:eastAsia="SimSun" w:hAnsiTheme="majorBidi" w:cstheme="majorBidi"/>
          <w:kern w:val="2"/>
          <w:lang w:eastAsia="zh-CN"/>
        </w:rPr>
        <w:t xml:space="preserve">. Some of them produced another specific work to present the </w:t>
      </w:r>
      <w:proofErr w:type="spellStart"/>
      <w:r w:rsidRPr="00DF472B">
        <w:rPr>
          <w:rFonts w:asciiTheme="majorBidi" w:eastAsia="SimSun" w:hAnsiTheme="majorBidi" w:cstheme="majorBidi"/>
          <w:i/>
          <w:iCs/>
          <w:kern w:val="2"/>
          <w:lang w:eastAsia="zh-CN"/>
        </w:rPr>
        <w:t>ḥadīth</w:t>
      </w:r>
      <w:r w:rsidRPr="00DF472B">
        <w:rPr>
          <w:rFonts w:asciiTheme="majorBidi" w:eastAsia="SimSun" w:hAnsiTheme="majorBidi" w:cstheme="majorBidi"/>
          <w:kern w:val="2"/>
          <w:lang w:eastAsia="zh-CN"/>
        </w:rPr>
        <w:t>s</w:t>
      </w:r>
      <w:proofErr w:type="spellEnd"/>
      <w:r w:rsidRPr="00DF472B">
        <w:rPr>
          <w:rFonts w:asciiTheme="majorBidi" w:eastAsia="SimSun" w:hAnsiTheme="majorBidi" w:cstheme="majorBidi"/>
          <w:kern w:val="2"/>
          <w:lang w:eastAsia="zh-CN"/>
        </w:rPr>
        <w:t xml:space="preserve"> with </w:t>
      </w:r>
      <w:proofErr w:type="spellStart"/>
      <w:r w:rsidRPr="00DF472B">
        <w:rPr>
          <w:rFonts w:asciiTheme="majorBidi" w:eastAsia="SimSun" w:hAnsiTheme="majorBidi" w:cstheme="majorBidi"/>
          <w:i/>
          <w:iCs/>
          <w:kern w:val="2"/>
          <w:lang w:eastAsia="zh-CN"/>
        </w:rPr>
        <w:t>sanad</w:t>
      </w:r>
      <w:r w:rsidRPr="00DF472B">
        <w:rPr>
          <w:rFonts w:asciiTheme="majorBidi" w:eastAsia="SimSun" w:hAnsiTheme="majorBidi" w:cstheme="majorBidi"/>
          <w:kern w:val="2"/>
          <w:lang w:eastAsia="zh-CN"/>
        </w:rPr>
        <w:t>s</w:t>
      </w:r>
      <w:proofErr w:type="spellEnd"/>
      <w:r w:rsidRPr="00DF472B">
        <w:rPr>
          <w:rFonts w:asciiTheme="majorBidi" w:eastAsia="SimSun" w:hAnsiTheme="majorBidi" w:cstheme="majorBidi"/>
          <w:kern w:val="2"/>
          <w:lang w:eastAsia="zh-CN"/>
        </w:rPr>
        <w:t xml:space="preserve"> and others may resort to compiling only </w:t>
      </w:r>
      <w:proofErr w:type="spellStart"/>
      <w:r w:rsidRPr="00DF472B">
        <w:rPr>
          <w:rFonts w:asciiTheme="majorBidi" w:eastAsia="SimSun" w:hAnsiTheme="majorBidi" w:cstheme="majorBidi"/>
          <w:i/>
          <w:iCs/>
          <w:kern w:val="2"/>
          <w:lang w:eastAsia="zh-CN"/>
        </w:rPr>
        <w:t>sanad</w:t>
      </w:r>
      <w:r w:rsidRPr="00DF472B">
        <w:rPr>
          <w:rFonts w:asciiTheme="majorBidi" w:eastAsia="SimSun" w:hAnsiTheme="majorBidi" w:cstheme="majorBidi"/>
          <w:kern w:val="2"/>
          <w:lang w:eastAsia="zh-CN"/>
        </w:rPr>
        <w:t>s</w:t>
      </w:r>
      <w:proofErr w:type="spellEnd"/>
      <w:r w:rsidRPr="00DF472B">
        <w:rPr>
          <w:rFonts w:asciiTheme="majorBidi" w:eastAsia="SimSun" w:hAnsiTheme="majorBidi" w:cstheme="majorBidi"/>
          <w:kern w:val="2"/>
          <w:lang w:eastAsia="zh-CN"/>
        </w:rPr>
        <w:t xml:space="preserve"> in their </w:t>
      </w:r>
      <w:proofErr w:type="spellStart"/>
      <w:r w:rsidRPr="00DF472B">
        <w:rPr>
          <w:rFonts w:asciiTheme="majorBidi" w:eastAsia="SimSun" w:hAnsiTheme="majorBidi" w:cstheme="majorBidi"/>
          <w:i/>
          <w:iCs/>
          <w:kern w:val="2"/>
          <w:lang w:eastAsia="zh-CN"/>
        </w:rPr>
        <w:t>thabat</w:t>
      </w:r>
      <w:proofErr w:type="spellEnd"/>
      <w:r w:rsidRPr="00DF472B">
        <w:rPr>
          <w:rFonts w:asciiTheme="majorBidi" w:eastAsia="SimSun" w:hAnsiTheme="majorBidi" w:cstheme="majorBidi"/>
          <w:kern w:val="2"/>
          <w:lang w:eastAsia="zh-CN"/>
        </w:rPr>
        <w:t xml:space="preserve"> or records of </w:t>
      </w:r>
      <w:proofErr w:type="spellStart"/>
      <w:r w:rsidRPr="00DF472B">
        <w:rPr>
          <w:rFonts w:asciiTheme="majorBidi" w:eastAsia="SimSun" w:hAnsiTheme="majorBidi" w:cstheme="majorBidi"/>
          <w:i/>
          <w:iCs/>
          <w:kern w:val="2"/>
          <w:lang w:eastAsia="zh-CN"/>
        </w:rPr>
        <w:t>ijāzāt</w:t>
      </w:r>
      <w:proofErr w:type="spellEnd"/>
      <w:r w:rsidRPr="00DF472B">
        <w:rPr>
          <w:rFonts w:asciiTheme="majorBidi" w:eastAsia="SimSun" w:hAnsiTheme="majorBidi" w:cstheme="majorBidi"/>
          <w:kern w:val="2"/>
          <w:lang w:eastAsia="zh-CN"/>
        </w:rPr>
        <w:t xml:space="preserve"> and </w:t>
      </w:r>
      <w:proofErr w:type="spellStart"/>
      <w:r w:rsidRPr="00DF472B">
        <w:rPr>
          <w:rFonts w:asciiTheme="majorBidi" w:eastAsia="SimSun" w:hAnsiTheme="majorBidi" w:cstheme="majorBidi"/>
          <w:i/>
          <w:iCs/>
          <w:kern w:val="2"/>
          <w:lang w:eastAsia="zh-CN"/>
        </w:rPr>
        <w:t>samāʿāt</w:t>
      </w:r>
      <w:proofErr w:type="spellEnd"/>
      <w:r w:rsidRPr="00DF472B">
        <w:rPr>
          <w:rFonts w:asciiTheme="majorBidi" w:eastAsia="SimSun" w:hAnsiTheme="majorBidi" w:cstheme="majorBidi"/>
          <w:i/>
          <w:iCs/>
          <w:kern w:val="2"/>
          <w:lang w:eastAsia="zh-CN"/>
        </w:rPr>
        <w:t xml:space="preserve"> </w:t>
      </w:r>
      <w:r w:rsidRPr="00DF472B">
        <w:rPr>
          <w:rFonts w:asciiTheme="majorBidi" w:eastAsia="SimSun" w:hAnsiTheme="majorBidi" w:cstheme="majorBidi"/>
          <w:kern w:val="2"/>
          <w:lang w:eastAsia="zh-CN"/>
        </w:rPr>
        <w:t xml:space="preserve">(audition certificates). This phenomenon speaks volumes about the authority of </w:t>
      </w:r>
      <w:proofErr w:type="spellStart"/>
      <w:r w:rsidRPr="00DF472B">
        <w:rPr>
          <w:rFonts w:asciiTheme="majorBidi" w:eastAsia="SimSun" w:hAnsiTheme="majorBidi" w:cstheme="majorBidi"/>
          <w:i/>
          <w:iCs/>
          <w:kern w:val="2"/>
          <w:lang w:eastAsia="zh-CN"/>
        </w:rPr>
        <w:t>sanad</w:t>
      </w:r>
      <w:proofErr w:type="spellEnd"/>
      <w:r w:rsidRPr="00DF472B">
        <w:rPr>
          <w:rFonts w:asciiTheme="majorBidi" w:eastAsia="SimSun" w:hAnsiTheme="majorBidi" w:cstheme="majorBidi"/>
          <w:kern w:val="2"/>
          <w:lang w:eastAsia="zh-CN"/>
        </w:rPr>
        <w:t xml:space="preserve"> and </w:t>
      </w:r>
      <w:proofErr w:type="spellStart"/>
      <w:r w:rsidRPr="00DF472B">
        <w:rPr>
          <w:rFonts w:asciiTheme="majorBidi" w:eastAsia="SimSun" w:hAnsiTheme="majorBidi" w:cstheme="majorBidi"/>
          <w:i/>
          <w:iCs/>
          <w:kern w:val="2"/>
          <w:lang w:eastAsia="zh-CN"/>
        </w:rPr>
        <w:t>isnād</w:t>
      </w:r>
      <w:proofErr w:type="spellEnd"/>
      <w:r w:rsidRPr="00DF472B">
        <w:rPr>
          <w:rFonts w:asciiTheme="majorBidi" w:eastAsia="SimSun" w:hAnsiTheme="majorBidi" w:cstheme="majorBidi"/>
          <w:kern w:val="2"/>
          <w:lang w:eastAsia="zh-CN"/>
        </w:rPr>
        <w:t xml:space="preserve"> in later Muslim intellectual tradition. Since many modern studies have mostly accorded its attention to the dating and function of </w:t>
      </w:r>
      <w:proofErr w:type="spellStart"/>
      <w:r w:rsidRPr="00DF472B">
        <w:rPr>
          <w:rFonts w:asciiTheme="majorBidi" w:eastAsia="SimSun" w:hAnsiTheme="majorBidi" w:cstheme="majorBidi"/>
          <w:i/>
          <w:iCs/>
          <w:kern w:val="2"/>
          <w:lang w:eastAsia="zh-CN"/>
        </w:rPr>
        <w:t>isnād</w:t>
      </w:r>
      <w:proofErr w:type="spellEnd"/>
      <w:r w:rsidRPr="00DF472B">
        <w:rPr>
          <w:rFonts w:asciiTheme="majorBidi" w:eastAsia="SimSun" w:hAnsiTheme="majorBidi" w:cstheme="majorBidi"/>
          <w:kern w:val="2"/>
          <w:lang w:eastAsia="zh-CN"/>
        </w:rPr>
        <w:t xml:space="preserve"> methodology, and expectedly of the formative periods of Islam, the study of </w:t>
      </w:r>
      <w:proofErr w:type="spellStart"/>
      <w:r w:rsidRPr="00DF472B">
        <w:rPr>
          <w:rFonts w:asciiTheme="majorBidi" w:eastAsia="SimSun" w:hAnsiTheme="majorBidi" w:cstheme="majorBidi"/>
          <w:i/>
          <w:iCs/>
          <w:kern w:val="2"/>
          <w:lang w:eastAsia="zh-CN"/>
        </w:rPr>
        <w:t>sanad</w:t>
      </w:r>
      <w:proofErr w:type="spellEnd"/>
      <w:r w:rsidRPr="00DF472B">
        <w:rPr>
          <w:rFonts w:asciiTheme="majorBidi" w:eastAsia="SimSun" w:hAnsiTheme="majorBidi" w:cstheme="majorBidi"/>
          <w:kern w:val="2"/>
          <w:lang w:eastAsia="zh-CN"/>
        </w:rPr>
        <w:t xml:space="preserve"> omission from a </w:t>
      </w:r>
      <w:proofErr w:type="spellStart"/>
      <w:r w:rsidRPr="00DF472B">
        <w:rPr>
          <w:rFonts w:asciiTheme="majorBidi" w:eastAsia="SimSun" w:hAnsiTheme="majorBidi" w:cstheme="majorBidi"/>
          <w:i/>
          <w:iCs/>
          <w:kern w:val="2"/>
          <w:lang w:eastAsia="zh-CN"/>
        </w:rPr>
        <w:t>ḥadīth</w:t>
      </w:r>
      <w:proofErr w:type="spellEnd"/>
      <w:r w:rsidRPr="00DF472B">
        <w:rPr>
          <w:rFonts w:asciiTheme="majorBidi" w:eastAsia="SimSun" w:hAnsiTheme="majorBidi" w:cstheme="majorBidi"/>
          <w:kern w:val="2"/>
          <w:lang w:eastAsia="zh-CN"/>
        </w:rPr>
        <w:t xml:space="preserve"> treatise has been completely neglected although it should have been examined careful</w:t>
      </w:r>
      <w:r>
        <w:rPr>
          <w:rFonts w:asciiTheme="majorBidi" w:eastAsia="SimSun" w:hAnsiTheme="majorBidi" w:cstheme="majorBidi"/>
          <w:kern w:val="2"/>
          <w:lang w:eastAsia="zh-CN"/>
        </w:rPr>
        <w:t>ly</w:t>
      </w:r>
      <w:r w:rsidRPr="00DF472B">
        <w:rPr>
          <w:rFonts w:asciiTheme="majorBidi" w:eastAsia="SimSun" w:hAnsiTheme="majorBidi" w:cstheme="majorBidi"/>
          <w:kern w:val="2"/>
          <w:lang w:eastAsia="zh-CN"/>
        </w:rPr>
        <w:t xml:space="preserve">, </w:t>
      </w:r>
      <w:r>
        <w:rPr>
          <w:rFonts w:asciiTheme="majorBidi" w:eastAsia="SimSun" w:hAnsiTheme="majorBidi" w:cstheme="majorBidi"/>
          <w:kern w:val="2"/>
          <w:lang w:eastAsia="zh-CN"/>
        </w:rPr>
        <w:t xml:space="preserve">in </w:t>
      </w:r>
      <w:r w:rsidRPr="00DF472B">
        <w:rPr>
          <w:rFonts w:asciiTheme="majorBidi" w:eastAsia="SimSun" w:hAnsiTheme="majorBidi" w:cstheme="majorBidi"/>
          <w:kern w:val="2"/>
          <w:lang w:eastAsia="zh-CN"/>
        </w:rPr>
        <w:t>particular</w:t>
      </w:r>
      <w:r>
        <w:rPr>
          <w:rFonts w:asciiTheme="majorBidi" w:eastAsia="SimSun" w:hAnsiTheme="majorBidi" w:cstheme="majorBidi"/>
          <w:kern w:val="2"/>
          <w:lang w:eastAsia="zh-CN"/>
        </w:rPr>
        <w:t xml:space="preserve"> </w:t>
      </w:r>
      <w:r w:rsidRPr="00DF472B">
        <w:rPr>
          <w:rFonts w:asciiTheme="majorBidi" w:eastAsia="SimSun" w:hAnsiTheme="majorBidi" w:cstheme="majorBidi"/>
          <w:kern w:val="2"/>
          <w:lang w:eastAsia="zh-CN"/>
        </w:rPr>
        <w:t xml:space="preserve">on the reception of and responses to the phenomenon </w:t>
      </w:r>
      <w:r>
        <w:rPr>
          <w:rFonts w:asciiTheme="majorBidi" w:eastAsia="SimSun" w:hAnsiTheme="majorBidi" w:cstheme="majorBidi"/>
          <w:kern w:val="2"/>
          <w:lang w:eastAsia="zh-CN"/>
        </w:rPr>
        <w:t>amongst the scholars</w:t>
      </w:r>
      <w:r w:rsidRPr="00DF472B">
        <w:rPr>
          <w:rFonts w:asciiTheme="majorBidi" w:eastAsia="SimSun" w:hAnsiTheme="majorBidi" w:cstheme="majorBidi"/>
          <w:kern w:val="2"/>
          <w:lang w:eastAsia="zh-CN"/>
        </w:rPr>
        <w:t xml:space="preserve"> of </w:t>
      </w:r>
      <w:proofErr w:type="spellStart"/>
      <w:r w:rsidRPr="00DF472B">
        <w:rPr>
          <w:rFonts w:asciiTheme="majorBidi" w:eastAsia="SimSun" w:hAnsiTheme="majorBidi" w:cstheme="majorBidi"/>
          <w:i/>
          <w:iCs/>
          <w:kern w:val="2"/>
          <w:lang w:eastAsia="zh-CN"/>
        </w:rPr>
        <w:t>ḥadīth</w:t>
      </w:r>
      <w:proofErr w:type="spellEnd"/>
      <w:r w:rsidRPr="00DF472B">
        <w:rPr>
          <w:rFonts w:asciiTheme="majorBidi" w:eastAsia="SimSun" w:hAnsiTheme="majorBidi" w:cstheme="majorBidi"/>
          <w:kern w:val="2"/>
          <w:lang w:eastAsia="zh-CN"/>
        </w:rPr>
        <w:t xml:space="preserve">. This paper argues that the Egyptian judge, </w:t>
      </w:r>
      <w:bookmarkStart w:id="0" w:name="_Hlk98424233"/>
      <w:proofErr w:type="spellStart"/>
      <w:r w:rsidRPr="00DF472B">
        <w:rPr>
          <w:rFonts w:asciiTheme="majorBidi" w:eastAsia="Garamond" w:hAnsiTheme="majorBidi" w:cstheme="majorBidi"/>
        </w:rPr>
        <w:t>Muḥammad</w:t>
      </w:r>
      <w:proofErr w:type="spellEnd"/>
      <w:r w:rsidRPr="00DF472B">
        <w:rPr>
          <w:rFonts w:asciiTheme="majorBidi" w:eastAsia="Garamond" w:hAnsiTheme="majorBidi" w:cstheme="majorBidi"/>
        </w:rPr>
        <w:t xml:space="preserve"> ibn </w:t>
      </w:r>
      <w:proofErr w:type="spellStart"/>
      <w:r w:rsidRPr="00DF472B">
        <w:rPr>
          <w:rFonts w:asciiTheme="majorBidi" w:eastAsia="Garamond" w:hAnsiTheme="majorBidi" w:cstheme="majorBidi"/>
        </w:rPr>
        <w:t>Salāmah</w:t>
      </w:r>
      <w:proofErr w:type="spellEnd"/>
      <w:r w:rsidRPr="00DF472B">
        <w:rPr>
          <w:rFonts w:asciiTheme="majorBidi" w:eastAsia="Garamond" w:hAnsiTheme="majorBidi" w:cstheme="majorBidi"/>
        </w:rPr>
        <w:t xml:space="preserve"> al-</w:t>
      </w:r>
      <w:proofErr w:type="spellStart"/>
      <w:r w:rsidRPr="00DF472B">
        <w:rPr>
          <w:rFonts w:asciiTheme="majorBidi" w:eastAsia="Garamond" w:hAnsiTheme="majorBidi" w:cstheme="majorBidi"/>
        </w:rPr>
        <w:t>Quḍāʿī</w:t>
      </w:r>
      <w:proofErr w:type="spellEnd"/>
      <w:r w:rsidRPr="00DF472B">
        <w:rPr>
          <w:rFonts w:asciiTheme="majorBidi" w:eastAsia="Garamond" w:hAnsiTheme="majorBidi" w:cstheme="majorBidi"/>
        </w:rPr>
        <w:t xml:space="preserve"> </w:t>
      </w:r>
      <w:bookmarkEnd w:id="0"/>
      <w:r w:rsidRPr="00DF472B">
        <w:rPr>
          <w:rFonts w:asciiTheme="majorBidi" w:eastAsia="Garamond" w:hAnsiTheme="majorBidi" w:cstheme="majorBidi"/>
        </w:rPr>
        <w:t xml:space="preserve">(454AH) shall be recognised as the first </w:t>
      </w:r>
      <w:proofErr w:type="spellStart"/>
      <w:r w:rsidRPr="00DF472B">
        <w:rPr>
          <w:rFonts w:asciiTheme="majorBidi" w:eastAsia="Garamond" w:hAnsiTheme="majorBidi" w:cstheme="majorBidi"/>
          <w:i/>
          <w:iCs/>
        </w:rPr>
        <w:t>ḥadīth</w:t>
      </w:r>
      <w:proofErr w:type="spellEnd"/>
      <w:r w:rsidRPr="00DF472B">
        <w:rPr>
          <w:rFonts w:asciiTheme="majorBidi" w:eastAsia="Garamond" w:hAnsiTheme="majorBidi" w:cstheme="majorBidi"/>
        </w:rPr>
        <w:t xml:space="preserve"> scholar to produce a </w:t>
      </w:r>
      <w:proofErr w:type="spellStart"/>
      <w:r w:rsidRPr="00DF472B">
        <w:rPr>
          <w:rFonts w:asciiTheme="majorBidi" w:eastAsia="Garamond" w:hAnsiTheme="majorBidi" w:cstheme="majorBidi"/>
          <w:i/>
          <w:iCs/>
        </w:rPr>
        <w:t>ḥadīth</w:t>
      </w:r>
      <w:proofErr w:type="spellEnd"/>
      <w:r w:rsidRPr="00DF472B">
        <w:rPr>
          <w:rFonts w:asciiTheme="majorBidi" w:eastAsia="Garamond" w:hAnsiTheme="majorBidi" w:cstheme="majorBidi"/>
        </w:rPr>
        <w:t xml:space="preserve"> </w:t>
      </w:r>
      <w:r>
        <w:rPr>
          <w:rFonts w:asciiTheme="majorBidi" w:eastAsia="Garamond" w:hAnsiTheme="majorBidi" w:cstheme="majorBidi"/>
        </w:rPr>
        <w:t>treatise</w:t>
      </w:r>
      <w:r w:rsidRPr="00DF472B">
        <w:rPr>
          <w:rFonts w:asciiTheme="majorBidi" w:eastAsia="Garamond" w:hAnsiTheme="majorBidi" w:cstheme="majorBidi"/>
        </w:rPr>
        <w:t xml:space="preserve"> whose </w:t>
      </w:r>
      <w:proofErr w:type="spellStart"/>
      <w:r w:rsidRPr="00DF472B">
        <w:rPr>
          <w:rFonts w:asciiTheme="majorBidi" w:eastAsia="Garamond" w:hAnsiTheme="majorBidi" w:cstheme="majorBidi"/>
          <w:i/>
          <w:iCs/>
        </w:rPr>
        <w:t>ḥadīth</w:t>
      </w:r>
      <w:r w:rsidRPr="00DF472B">
        <w:rPr>
          <w:rFonts w:asciiTheme="majorBidi" w:eastAsia="Garamond" w:hAnsiTheme="majorBidi" w:cstheme="majorBidi"/>
        </w:rPr>
        <w:t>s</w:t>
      </w:r>
      <w:proofErr w:type="spellEnd"/>
      <w:r w:rsidRPr="00DF472B">
        <w:rPr>
          <w:rFonts w:asciiTheme="majorBidi" w:eastAsia="Garamond" w:hAnsiTheme="majorBidi" w:cstheme="majorBidi"/>
        </w:rPr>
        <w:t xml:space="preserve"> are not accompanied by </w:t>
      </w:r>
      <w:proofErr w:type="spellStart"/>
      <w:r w:rsidRPr="00DF472B">
        <w:rPr>
          <w:rFonts w:asciiTheme="majorBidi" w:eastAsia="Garamond" w:hAnsiTheme="majorBidi" w:cstheme="majorBidi"/>
          <w:i/>
          <w:iCs/>
        </w:rPr>
        <w:t>sanad</w:t>
      </w:r>
      <w:proofErr w:type="spellEnd"/>
      <w:r w:rsidRPr="00DF472B">
        <w:rPr>
          <w:rFonts w:asciiTheme="majorBidi" w:eastAsia="Garamond" w:hAnsiTheme="majorBidi" w:cstheme="majorBidi"/>
        </w:rPr>
        <w:t xml:space="preserve">. He dedicated another work to preserve its </w:t>
      </w:r>
      <w:proofErr w:type="spellStart"/>
      <w:r w:rsidRPr="00DF472B">
        <w:rPr>
          <w:rFonts w:asciiTheme="majorBidi" w:eastAsia="Garamond" w:hAnsiTheme="majorBidi" w:cstheme="majorBidi"/>
          <w:i/>
          <w:iCs/>
        </w:rPr>
        <w:t>sanad</w:t>
      </w:r>
      <w:r w:rsidRPr="00DF472B">
        <w:rPr>
          <w:rFonts w:asciiTheme="majorBidi" w:eastAsia="Garamond" w:hAnsiTheme="majorBidi" w:cstheme="majorBidi"/>
        </w:rPr>
        <w:t>s</w:t>
      </w:r>
      <w:proofErr w:type="spellEnd"/>
      <w:r w:rsidRPr="00DF472B">
        <w:rPr>
          <w:rFonts w:asciiTheme="majorBidi" w:eastAsia="Garamond" w:hAnsiTheme="majorBidi" w:cstheme="majorBidi"/>
        </w:rPr>
        <w:t xml:space="preserve"> and by so doing, introduced the </w:t>
      </w:r>
      <w:proofErr w:type="spellStart"/>
      <w:r w:rsidRPr="00DF472B">
        <w:rPr>
          <w:rFonts w:asciiTheme="majorBidi" w:eastAsia="Garamond" w:hAnsiTheme="majorBidi" w:cstheme="majorBidi"/>
          <w:i/>
          <w:iCs/>
        </w:rPr>
        <w:t>mujarrad-musnad</w:t>
      </w:r>
      <w:proofErr w:type="spellEnd"/>
      <w:r w:rsidRPr="00DF472B">
        <w:rPr>
          <w:rFonts w:asciiTheme="majorBidi" w:eastAsia="Garamond" w:hAnsiTheme="majorBidi" w:cstheme="majorBidi"/>
        </w:rPr>
        <w:t xml:space="preserve"> method into </w:t>
      </w:r>
      <w:proofErr w:type="spellStart"/>
      <w:r w:rsidRPr="00DF472B">
        <w:rPr>
          <w:rFonts w:asciiTheme="majorBidi" w:eastAsia="Garamond" w:hAnsiTheme="majorBidi" w:cstheme="majorBidi"/>
          <w:i/>
          <w:iCs/>
        </w:rPr>
        <w:t>ḥadīth</w:t>
      </w:r>
      <w:proofErr w:type="spellEnd"/>
      <w:r w:rsidRPr="00DF472B">
        <w:rPr>
          <w:rFonts w:asciiTheme="majorBidi" w:eastAsia="Garamond" w:hAnsiTheme="majorBidi" w:cstheme="majorBidi"/>
          <w:i/>
          <w:iCs/>
        </w:rPr>
        <w:t xml:space="preserve"> </w:t>
      </w:r>
      <w:r w:rsidRPr="00DF472B">
        <w:rPr>
          <w:rFonts w:asciiTheme="majorBidi" w:eastAsia="Garamond" w:hAnsiTheme="majorBidi" w:cstheme="majorBidi"/>
        </w:rPr>
        <w:t xml:space="preserve">literature. His </w:t>
      </w:r>
      <w:proofErr w:type="spellStart"/>
      <w:r w:rsidRPr="00DF472B">
        <w:rPr>
          <w:rFonts w:asciiTheme="majorBidi" w:eastAsia="Garamond" w:hAnsiTheme="majorBidi" w:cstheme="majorBidi"/>
          <w:i/>
          <w:iCs/>
        </w:rPr>
        <w:t>mujarrad</w:t>
      </w:r>
      <w:proofErr w:type="spellEnd"/>
      <w:r w:rsidRPr="00DF472B">
        <w:rPr>
          <w:rFonts w:asciiTheme="majorBidi" w:eastAsia="Garamond" w:hAnsiTheme="majorBidi" w:cstheme="majorBidi"/>
        </w:rPr>
        <w:t xml:space="preserve"> collection titled </w:t>
      </w:r>
      <w:proofErr w:type="spellStart"/>
      <w:r w:rsidRPr="00DF472B">
        <w:rPr>
          <w:rFonts w:asciiTheme="majorBidi" w:eastAsia="Garamond" w:hAnsiTheme="majorBidi" w:cstheme="majorBidi"/>
          <w:i/>
          <w:iCs/>
        </w:rPr>
        <w:t>Shihāb</w:t>
      </w:r>
      <w:proofErr w:type="spellEnd"/>
      <w:r w:rsidRPr="00DF472B">
        <w:rPr>
          <w:rFonts w:asciiTheme="majorBidi" w:eastAsia="Garamond" w:hAnsiTheme="majorBidi" w:cstheme="majorBidi"/>
          <w:i/>
          <w:iCs/>
        </w:rPr>
        <w:t xml:space="preserve"> al-</w:t>
      </w:r>
      <w:proofErr w:type="spellStart"/>
      <w:r w:rsidRPr="00DF472B">
        <w:rPr>
          <w:rFonts w:asciiTheme="majorBidi" w:eastAsia="Garamond" w:hAnsiTheme="majorBidi" w:cstheme="majorBidi"/>
          <w:i/>
          <w:iCs/>
        </w:rPr>
        <w:t>Akhbār</w:t>
      </w:r>
      <w:proofErr w:type="spellEnd"/>
      <w:r w:rsidRPr="00DF472B">
        <w:rPr>
          <w:rFonts w:asciiTheme="majorBidi" w:eastAsia="Garamond" w:hAnsiTheme="majorBidi" w:cstheme="majorBidi"/>
        </w:rPr>
        <w:t xml:space="preserve"> gained incredible praise and became one of the most memorised works of </w:t>
      </w:r>
      <w:proofErr w:type="spellStart"/>
      <w:r w:rsidRPr="00DF472B">
        <w:rPr>
          <w:rFonts w:asciiTheme="majorBidi" w:eastAsia="Garamond" w:hAnsiTheme="majorBidi" w:cstheme="majorBidi"/>
          <w:i/>
          <w:iCs/>
        </w:rPr>
        <w:t>ḥadīth</w:t>
      </w:r>
      <w:proofErr w:type="spellEnd"/>
      <w:r w:rsidRPr="00DF472B">
        <w:rPr>
          <w:rFonts w:asciiTheme="majorBidi" w:eastAsia="Garamond" w:hAnsiTheme="majorBidi" w:cstheme="majorBidi"/>
        </w:rPr>
        <w:t xml:space="preserve">. The method of </w:t>
      </w:r>
      <w:proofErr w:type="spellStart"/>
      <w:r w:rsidRPr="00DF472B">
        <w:rPr>
          <w:rFonts w:asciiTheme="majorBidi" w:eastAsia="Garamond" w:hAnsiTheme="majorBidi" w:cstheme="majorBidi"/>
          <w:i/>
          <w:iCs/>
        </w:rPr>
        <w:t>mujarrad</w:t>
      </w:r>
      <w:proofErr w:type="spellEnd"/>
      <w:r w:rsidRPr="00DF472B">
        <w:rPr>
          <w:rFonts w:asciiTheme="majorBidi" w:eastAsia="Garamond" w:hAnsiTheme="majorBidi" w:cstheme="majorBidi"/>
          <w:i/>
          <w:iCs/>
        </w:rPr>
        <w:t xml:space="preserve"> </w:t>
      </w:r>
      <w:r w:rsidRPr="00DF472B">
        <w:rPr>
          <w:rFonts w:asciiTheme="majorBidi" w:eastAsia="Garamond" w:hAnsiTheme="majorBidi" w:cstheme="majorBidi"/>
        </w:rPr>
        <w:t xml:space="preserve">has also been emulated by other eminent </w:t>
      </w:r>
      <w:proofErr w:type="spellStart"/>
      <w:r w:rsidRPr="00DF472B">
        <w:rPr>
          <w:rFonts w:asciiTheme="majorBidi" w:eastAsia="Garamond" w:hAnsiTheme="majorBidi" w:cstheme="majorBidi"/>
          <w:i/>
          <w:iCs/>
        </w:rPr>
        <w:t>ḥadīth</w:t>
      </w:r>
      <w:proofErr w:type="spellEnd"/>
      <w:r w:rsidRPr="00DF472B">
        <w:rPr>
          <w:rFonts w:asciiTheme="majorBidi" w:eastAsia="Garamond" w:hAnsiTheme="majorBidi" w:cstheme="majorBidi"/>
        </w:rPr>
        <w:t xml:space="preserve"> scholars such as al-</w:t>
      </w:r>
      <w:proofErr w:type="spellStart"/>
      <w:r w:rsidRPr="00DF472B">
        <w:rPr>
          <w:rFonts w:asciiTheme="majorBidi" w:eastAsia="Garamond" w:hAnsiTheme="majorBidi" w:cstheme="majorBidi"/>
        </w:rPr>
        <w:t>Daylamī</w:t>
      </w:r>
      <w:proofErr w:type="spellEnd"/>
      <w:r w:rsidRPr="00DF472B">
        <w:rPr>
          <w:rFonts w:asciiTheme="majorBidi" w:eastAsia="Garamond" w:hAnsiTheme="majorBidi" w:cstheme="majorBidi"/>
        </w:rPr>
        <w:t xml:space="preserve"> and al-</w:t>
      </w:r>
      <w:proofErr w:type="spellStart"/>
      <w:r w:rsidRPr="00DF472B">
        <w:rPr>
          <w:rFonts w:asciiTheme="majorBidi" w:eastAsia="Garamond" w:hAnsiTheme="majorBidi" w:cstheme="majorBidi"/>
        </w:rPr>
        <w:t>Nawawī</w:t>
      </w:r>
      <w:proofErr w:type="spellEnd"/>
      <w:r w:rsidRPr="00DF472B">
        <w:rPr>
          <w:rFonts w:asciiTheme="majorBidi" w:eastAsia="Garamond" w:hAnsiTheme="majorBidi" w:cstheme="majorBidi"/>
        </w:rPr>
        <w:t xml:space="preserve"> and contributed to the successful dissemination of </w:t>
      </w:r>
      <w:proofErr w:type="spellStart"/>
      <w:r w:rsidRPr="00DF472B">
        <w:rPr>
          <w:rFonts w:asciiTheme="majorBidi" w:eastAsia="Garamond" w:hAnsiTheme="majorBidi" w:cstheme="majorBidi"/>
          <w:i/>
          <w:iCs/>
        </w:rPr>
        <w:t>ḥadīth</w:t>
      </w:r>
      <w:r w:rsidRPr="00DF472B">
        <w:rPr>
          <w:rFonts w:asciiTheme="majorBidi" w:eastAsia="Garamond" w:hAnsiTheme="majorBidi" w:cstheme="majorBidi"/>
        </w:rPr>
        <w:t>s</w:t>
      </w:r>
      <w:proofErr w:type="spellEnd"/>
      <w:r w:rsidRPr="00DF472B">
        <w:rPr>
          <w:rFonts w:asciiTheme="majorBidi" w:eastAsia="Garamond" w:hAnsiTheme="majorBidi" w:cstheme="majorBidi"/>
        </w:rPr>
        <w:t xml:space="preserve"> in later Muslim communities.</w:t>
      </w:r>
    </w:p>
    <w:p w14:paraId="4B39308C" w14:textId="77777777" w:rsidR="003A1A78" w:rsidRPr="00DF472B" w:rsidRDefault="003A1A78" w:rsidP="003A1A78">
      <w:pPr>
        <w:widowControl w:val="0"/>
        <w:spacing w:after="100" w:line="276" w:lineRule="auto"/>
        <w:jc w:val="both"/>
        <w:rPr>
          <w:rFonts w:eastAsia="SimSun"/>
          <w:b/>
          <w:bCs/>
          <w:kern w:val="2"/>
          <w:lang w:eastAsia="zh-CN"/>
        </w:rPr>
      </w:pPr>
    </w:p>
    <w:p w14:paraId="6C0842F9" w14:textId="77777777" w:rsidR="003A1A78" w:rsidRPr="00DF472B" w:rsidRDefault="003A1A78" w:rsidP="003A1A78">
      <w:pPr>
        <w:widowControl w:val="0"/>
        <w:spacing w:after="320" w:line="276" w:lineRule="auto"/>
        <w:ind w:left="1276" w:hanging="1276"/>
        <w:jc w:val="both"/>
        <w:rPr>
          <w:rFonts w:eastAsia="Garamond"/>
          <w:b/>
        </w:rPr>
      </w:pPr>
      <w:r w:rsidRPr="00DF472B">
        <w:rPr>
          <w:b/>
        </w:rPr>
        <w:t xml:space="preserve">Keywords: </w:t>
      </w:r>
      <w:r w:rsidRPr="00DF472B">
        <w:t xml:space="preserve">The authority of </w:t>
      </w:r>
      <w:proofErr w:type="spellStart"/>
      <w:r w:rsidRPr="00DF472B">
        <w:rPr>
          <w:i/>
          <w:iCs/>
        </w:rPr>
        <w:t>sanad</w:t>
      </w:r>
      <w:proofErr w:type="spellEnd"/>
      <w:r w:rsidRPr="00DF472B">
        <w:t xml:space="preserve">, </w:t>
      </w:r>
      <w:r w:rsidRPr="00DF472B">
        <w:rPr>
          <w:i/>
          <w:iCs/>
        </w:rPr>
        <w:t>isnad</w:t>
      </w:r>
      <w:r w:rsidRPr="00DF472B">
        <w:t xml:space="preserve"> and </w:t>
      </w:r>
      <w:proofErr w:type="spellStart"/>
      <w:r w:rsidRPr="00DF472B">
        <w:rPr>
          <w:i/>
          <w:iCs/>
        </w:rPr>
        <w:t>tajrīd</w:t>
      </w:r>
      <w:proofErr w:type="spellEnd"/>
      <w:r w:rsidRPr="00DF472B">
        <w:t xml:space="preserve"> methodology, </w:t>
      </w:r>
      <w:proofErr w:type="spellStart"/>
      <w:r w:rsidRPr="00DF472B">
        <w:rPr>
          <w:i/>
          <w:iCs/>
        </w:rPr>
        <w:t>ḥadīth</w:t>
      </w:r>
      <w:proofErr w:type="spellEnd"/>
      <w:r w:rsidRPr="00DF472B">
        <w:t xml:space="preserve"> literature, al-</w:t>
      </w:r>
      <w:proofErr w:type="spellStart"/>
      <w:r w:rsidRPr="00DF472B">
        <w:t>Qāḍī</w:t>
      </w:r>
      <w:proofErr w:type="spellEnd"/>
      <w:r w:rsidRPr="00DF472B">
        <w:t xml:space="preserve"> al-</w:t>
      </w:r>
      <w:proofErr w:type="spellStart"/>
      <w:r w:rsidRPr="00DF472B">
        <w:t>Quḍāʿī</w:t>
      </w:r>
      <w:proofErr w:type="spellEnd"/>
      <w:r w:rsidRPr="00DF472B">
        <w:t xml:space="preserve">, </w:t>
      </w:r>
      <w:r w:rsidRPr="00DF472B">
        <w:rPr>
          <w:i/>
          <w:iCs/>
        </w:rPr>
        <w:t>al-</w:t>
      </w:r>
      <w:proofErr w:type="spellStart"/>
      <w:r w:rsidRPr="00DF472B">
        <w:rPr>
          <w:i/>
          <w:iCs/>
        </w:rPr>
        <w:t>Shihāb</w:t>
      </w:r>
      <w:proofErr w:type="spellEnd"/>
      <w:r w:rsidRPr="00DF472B">
        <w:t>.</w:t>
      </w:r>
    </w:p>
    <w:p w14:paraId="40F8BA93" w14:textId="7F24F4D0" w:rsidR="003A1A78" w:rsidRDefault="003A1A78"/>
    <w:p w14:paraId="47D0DD8D" w14:textId="32D04C28" w:rsidR="003A1A78" w:rsidRDefault="003A1A78"/>
    <w:p w14:paraId="7C065D84" w14:textId="1B3E79A1" w:rsidR="003A1A78" w:rsidRDefault="003A1A78"/>
    <w:p w14:paraId="46CCE5E3" w14:textId="3D9C0B7C" w:rsidR="003A1A78" w:rsidRDefault="003A1A78"/>
    <w:p w14:paraId="26715B9B" w14:textId="65D40EB1" w:rsidR="003A1A78" w:rsidRDefault="003A1A78"/>
    <w:p w14:paraId="13447DC9" w14:textId="459A478F" w:rsidR="003A1A78" w:rsidRDefault="003A1A78"/>
    <w:p w14:paraId="4AB813FD" w14:textId="12E39EFD" w:rsidR="003A1A78" w:rsidRDefault="003A1A78"/>
    <w:p w14:paraId="41570DBA" w14:textId="43B66CCA" w:rsidR="003A1A78" w:rsidRDefault="003A1A78"/>
    <w:p w14:paraId="48786184" w14:textId="4D41E084" w:rsidR="003A1A78" w:rsidRDefault="003A1A78"/>
    <w:p w14:paraId="734F0071" w14:textId="38D0DCBF" w:rsidR="003A1A78" w:rsidRDefault="003A1A78"/>
    <w:p w14:paraId="3FB1623B" w14:textId="131238EB" w:rsidR="003A1A78" w:rsidRDefault="003A1A78"/>
    <w:p w14:paraId="3D1E4DC9" w14:textId="4E9AFD9F" w:rsidR="003A1A78" w:rsidRDefault="003A1A78"/>
    <w:p w14:paraId="2B00A24B" w14:textId="525ECF71" w:rsidR="003A1A78" w:rsidRDefault="003A1A78"/>
    <w:p w14:paraId="1A4904BC" w14:textId="7E475C3C" w:rsidR="003A1A78" w:rsidRDefault="003A1A78"/>
    <w:p w14:paraId="5DD70E21" w14:textId="77777777" w:rsidR="003A1A78" w:rsidRPr="00DF472B" w:rsidRDefault="003A1A78" w:rsidP="003A1A78">
      <w:pPr>
        <w:widowControl w:val="0"/>
        <w:spacing w:after="240" w:line="360" w:lineRule="auto"/>
        <w:ind w:right="-40"/>
        <w:rPr>
          <w:rFonts w:asciiTheme="majorBidi" w:eastAsia="Garamond" w:hAnsiTheme="majorBidi" w:cstheme="majorBidi"/>
          <w:b/>
        </w:rPr>
      </w:pPr>
      <w:r w:rsidRPr="00DF472B">
        <w:rPr>
          <w:rFonts w:asciiTheme="majorBidi" w:eastAsia="Garamond" w:hAnsiTheme="majorBidi" w:cstheme="majorBidi"/>
          <w:b/>
        </w:rPr>
        <w:lastRenderedPageBreak/>
        <w:t xml:space="preserve">Introduction </w:t>
      </w:r>
    </w:p>
    <w:p w14:paraId="1E45F024" w14:textId="77777777" w:rsidR="003A1A78" w:rsidRPr="00DF472B" w:rsidRDefault="003A1A78" w:rsidP="003A1A78">
      <w:pPr>
        <w:spacing w:line="360" w:lineRule="auto"/>
        <w:ind w:firstLine="720"/>
        <w:jc w:val="both"/>
        <w:rPr>
          <w:rFonts w:asciiTheme="majorBidi" w:hAnsiTheme="majorBidi" w:cstheme="majorBidi"/>
          <w:color w:val="000000"/>
          <w:w w:val="0"/>
        </w:rPr>
      </w:pPr>
      <w:r w:rsidRPr="00DF472B">
        <w:rPr>
          <w:rFonts w:asciiTheme="majorBidi" w:hAnsiTheme="majorBidi" w:cstheme="majorBidi"/>
          <w:i/>
          <w:iCs/>
          <w:color w:val="000000"/>
          <w:w w:val="0"/>
        </w:rPr>
        <w:t>Sanad,</w:t>
      </w:r>
      <w:r w:rsidRPr="00DF472B">
        <w:rPr>
          <w:rFonts w:asciiTheme="majorBidi" w:hAnsiTheme="majorBidi" w:cstheme="majorBidi"/>
          <w:color w:val="000000"/>
          <w:w w:val="0"/>
        </w:rPr>
        <w:t xml:space="preserve"> as a chain of narration consisting of mostly nominal references to the transmitters involved in receiving and conveying the </w:t>
      </w:r>
      <w:proofErr w:type="spellStart"/>
      <w:r w:rsidRPr="00DF472B">
        <w:rPr>
          <w:rFonts w:asciiTheme="majorBidi" w:hAnsiTheme="majorBidi" w:cstheme="majorBidi"/>
          <w:i/>
          <w:iCs/>
          <w:color w:val="000000"/>
          <w:w w:val="0"/>
        </w:rPr>
        <w:t>ḥadīth</w:t>
      </w:r>
      <w:proofErr w:type="spellEnd"/>
      <w:r w:rsidRPr="00DF472B">
        <w:rPr>
          <w:rFonts w:asciiTheme="majorBidi" w:hAnsiTheme="majorBidi" w:cstheme="majorBidi"/>
          <w:color w:val="000000"/>
          <w:w w:val="0"/>
        </w:rPr>
        <w:t xml:space="preserve"> of Prophet </w:t>
      </w:r>
      <w:proofErr w:type="spellStart"/>
      <w:r w:rsidRPr="00DF472B">
        <w:rPr>
          <w:rFonts w:asciiTheme="majorBidi" w:hAnsiTheme="majorBidi" w:cstheme="majorBidi"/>
          <w:color w:val="000000"/>
          <w:w w:val="0"/>
        </w:rPr>
        <w:t>Muḥammad</w:t>
      </w:r>
      <w:proofErr w:type="spellEnd"/>
      <w:r w:rsidRPr="00DF472B">
        <w:rPr>
          <w:rFonts w:asciiTheme="majorBidi" w:hAnsiTheme="majorBidi" w:cstheme="majorBidi"/>
          <w:color w:val="000000"/>
          <w:w w:val="0"/>
        </w:rPr>
        <w:t xml:space="preserve">, has been given abundant attention in modern studies. With the revival of </w:t>
      </w:r>
      <w:proofErr w:type="spellStart"/>
      <w:r w:rsidRPr="00DF472B">
        <w:rPr>
          <w:rFonts w:asciiTheme="majorBidi" w:hAnsiTheme="majorBidi" w:cstheme="majorBidi"/>
          <w:i/>
          <w:iCs/>
          <w:color w:val="000000"/>
          <w:w w:val="0"/>
        </w:rPr>
        <w:t>ḥadīth</w:t>
      </w:r>
      <w:proofErr w:type="spellEnd"/>
      <w:r w:rsidRPr="00DF472B">
        <w:rPr>
          <w:rFonts w:asciiTheme="majorBidi" w:hAnsiTheme="majorBidi" w:cstheme="majorBidi"/>
          <w:color w:val="000000"/>
          <w:w w:val="0"/>
        </w:rPr>
        <w:t xml:space="preserve"> re-verification activities in modern time</w:t>
      </w:r>
      <w:r>
        <w:rPr>
          <w:rFonts w:asciiTheme="majorBidi" w:hAnsiTheme="majorBidi" w:cstheme="majorBidi"/>
          <w:color w:val="000000"/>
          <w:w w:val="0"/>
        </w:rPr>
        <w:t>s</w:t>
      </w:r>
      <w:r w:rsidRPr="00DF472B">
        <w:rPr>
          <w:rFonts w:asciiTheme="majorBidi" w:hAnsiTheme="majorBidi" w:cstheme="majorBidi"/>
          <w:color w:val="000000"/>
          <w:w w:val="0"/>
        </w:rPr>
        <w:t xml:space="preserve">, the concentration on </w:t>
      </w:r>
      <w:proofErr w:type="spellStart"/>
      <w:r w:rsidRPr="00DF472B">
        <w:rPr>
          <w:rFonts w:asciiTheme="majorBidi" w:hAnsiTheme="majorBidi" w:cstheme="majorBidi"/>
          <w:i/>
          <w:iCs/>
          <w:color w:val="000000"/>
          <w:w w:val="0"/>
        </w:rPr>
        <w:t>sanad</w:t>
      </w:r>
      <w:proofErr w:type="spellEnd"/>
      <w:r w:rsidRPr="00DF472B">
        <w:rPr>
          <w:rFonts w:asciiTheme="majorBidi" w:hAnsiTheme="majorBidi" w:cstheme="majorBidi"/>
          <w:color w:val="000000"/>
          <w:w w:val="0"/>
        </w:rPr>
        <w:t xml:space="preserve"> has increased dramatically and academic studies surrounding </w:t>
      </w:r>
      <w:proofErr w:type="spellStart"/>
      <w:r w:rsidRPr="00DF472B">
        <w:rPr>
          <w:rFonts w:asciiTheme="majorBidi" w:hAnsiTheme="majorBidi" w:cstheme="majorBidi"/>
          <w:i/>
          <w:iCs/>
          <w:color w:val="000000"/>
          <w:w w:val="0"/>
        </w:rPr>
        <w:t>sanad</w:t>
      </w:r>
      <w:proofErr w:type="spellEnd"/>
      <w:r w:rsidRPr="00DF472B">
        <w:rPr>
          <w:rFonts w:asciiTheme="majorBidi" w:hAnsiTheme="majorBidi" w:cstheme="majorBidi"/>
          <w:color w:val="000000"/>
          <w:w w:val="0"/>
        </w:rPr>
        <w:t xml:space="preserve"> literature have gained more acceptance in higher learning institutions.</w:t>
      </w:r>
      <w:r>
        <w:rPr>
          <w:rStyle w:val="FootnoteReference"/>
          <w:rFonts w:asciiTheme="majorBidi" w:hAnsiTheme="majorBidi" w:cstheme="majorBidi"/>
          <w:color w:val="000000"/>
          <w:w w:val="0"/>
        </w:rPr>
        <w:footnoteReference w:id="1"/>
      </w:r>
      <w:r w:rsidRPr="00DF472B">
        <w:rPr>
          <w:rFonts w:asciiTheme="majorBidi" w:hAnsiTheme="majorBidi" w:cstheme="majorBidi"/>
          <w:color w:val="000000"/>
          <w:w w:val="0"/>
        </w:rPr>
        <w:t xml:space="preserve"> The surge of online classes during the Covid-19 pandemic has also contributed to the revitalisation of </w:t>
      </w:r>
      <w:proofErr w:type="spellStart"/>
      <w:r w:rsidRPr="00DF472B">
        <w:rPr>
          <w:rFonts w:asciiTheme="majorBidi" w:hAnsiTheme="majorBidi" w:cstheme="majorBidi"/>
          <w:i/>
          <w:iCs/>
          <w:color w:val="000000"/>
          <w:w w:val="0"/>
        </w:rPr>
        <w:t>ijāzāh</w:t>
      </w:r>
      <w:proofErr w:type="spellEnd"/>
      <w:r w:rsidRPr="00DF472B">
        <w:rPr>
          <w:rFonts w:asciiTheme="majorBidi" w:hAnsiTheme="majorBidi" w:cstheme="majorBidi"/>
          <w:color w:val="000000"/>
          <w:w w:val="0"/>
        </w:rPr>
        <w:t xml:space="preserve"> tradition where </w:t>
      </w:r>
      <w:proofErr w:type="spellStart"/>
      <w:r w:rsidRPr="00DF472B">
        <w:rPr>
          <w:rFonts w:asciiTheme="majorBidi" w:hAnsiTheme="majorBidi" w:cstheme="majorBidi"/>
          <w:i/>
          <w:iCs/>
          <w:color w:val="000000"/>
          <w:w w:val="0"/>
        </w:rPr>
        <w:t>sanad</w:t>
      </w:r>
      <w:r w:rsidRPr="00DF472B">
        <w:rPr>
          <w:rFonts w:asciiTheme="majorBidi" w:hAnsiTheme="majorBidi" w:cstheme="majorBidi"/>
          <w:color w:val="000000"/>
          <w:w w:val="0"/>
        </w:rPr>
        <w:t>s</w:t>
      </w:r>
      <w:proofErr w:type="spellEnd"/>
      <w:r w:rsidRPr="00DF472B">
        <w:rPr>
          <w:rFonts w:asciiTheme="majorBidi" w:hAnsiTheme="majorBidi" w:cstheme="majorBidi"/>
          <w:color w:val="000000"/>
          <w:w w:val="0"/>
        </w:rPr>
        <w:t xml:space="preserve"> can be granted virtually and promptly to the attendees across the globe. With the rise of </w:t>
      </w:r>
      <w:proofErr w:type="spellStart"/>
      <w:r w:rsidRPr="00DF472B">
        <w:rPr>
          <w:rFonts w:asciiTheme="majorBidi" w:hAnsiTheme="majorBidi" w:cstheme="majorBidi"/>
          <w:i/>
          <w:iCs/>
          <w:color w:val="000000"/>
          <w:w w:val="0"/>
        </w:rPr>
        <w:t>sanad</w:t>
      </w:r>
      <w:proofErr w:type="spellEnd"/>
      <w:r w:rsidRPr="00DF472B">
        <w:rPr>
          <w:rFonts w:asciiTheme="majorBidi" w:hAnsiTheme="majorBidi" w:cstheme="majorBidi"/>
          <w:color w:val="000000"/>
          <w:w w:val="0"/>
        </w:rPr>
        <w:t xml:space="preserve"> culture, there seems to be a significant concern with the adequacy of attention afforded to the study of its counterpart that is the </w:t>
      </w:r>
      <w:proofErr w:type="spellStart"/>
      <w:r w:rsidRPr="00DF472B">
        <w:rPr>
          <w:rFonts w:asciiTheme="majorBidi" w:hAnsiTheme="majorBidi" w:cstheme="majorBidi"/>
          <w:i/>
          <w:iCs/>
          <w:color w:val="000000"/>
          <w:w w:val="0"/>
        </w:rPr>
        <w:t>matn</w:t>
      </w:r>
      <w:proofErr w:type="spellEnd"/>
      <w:r w:rsidRPr="00DF472B">
        <w:rPr>
          <w:rFonts w:asciiTheme="majorBidi" w:hAnsiTheme="majorBidi" w:cstheme="majorBidi"/>
          <w:color w:val="000000"/>
          <w:w w:val="0"/>
        </w:rPr>
        <w:t xml:space="preserve"> (the text) of the </w:t>
      </w:r>
      <w:proofErr w:type="spellStart"/>
      <w:r w:rsidRPr="00DF472B">
        <w:rPr>
          <w:rFonts w:asciiTheme="majorBidi" w:hAnsiTheme="majorBidi" w:cstheme="majorBidi"/>
          <w:i/>
          <w:iCs/>
          <w:color w:val="000000"/>
          <w:w w:val="0"/>
        </w:rPr>
        <w:t>ḥadīth</w:t>
      </w:r>
      <w:r w:rsidRPr="00DF472B">
        <w:rPr>
          <w:rFonts w:asciiTheme="majorBidi" w:hAnsiTheme="majorBidi" w:cstheme="majorBidi"/>
          <w:color w:val="000000"/>
          <w:w w:val="0"/>
        </w:rPr>
        <w:t>s</w:t>
      </w:r>
      <w:proofErr w:type="spellEnd"/>
      <w:r w:rsidRPr="00DF472B">
        <w:rPr>
          <w:rFonts w:asciiTheme="majorBidi" w:hAnsiTheme="majorBidi" w:cstheme="majorBidi"/>
          <w:color w:val="000000"/>
          <w:w w:val="0"/>
        </w:rPr>
        <w:t xml:space="preserve">. It is true that in the medieval era, participants in </w:t>
      </w:r>
      <w:proofErr w:type="spellStart"/>
      <w:r w:rsidRPr="00DF472B">
        <w:rPr>
          <w:rFonts w:asciiTheme="majorBidi" w:hAnsiTheme="majorBidi" w:cstheme="majorBidi"/>
          <w:i/>
          <w:iCs/>
          <w:color w:val="000000"/>
          <w:w w:val="0"/>
        </w:rPr>
        <w:t>ḥadīth</w:t>
      </w:r>
      <w:proofErr w:type="spellEnd"/>
      <w:r w:rsidRPr="00DF472B">
        <w:rPr>
          <w:rFonts w:asciiTheme="majorBidi" w:hAnsiTheme="majorBidi" w:cstheme="majorBidi"/>
          <w:color w:val="000000"/>
          <w:w w:val="0"/>
        </w:rPr>
        <w:t xml:space="preserve"> learning and praxis have been generally divided into two groups: those who were heavily inclined towards the rigour of </w:t>
      </w:r>
      <w:proofErr w:type="spellStart"/>
      <w:r w:rsidRPr="00DF472B">
        <w:rPr>
          <w:rFonts w:asciiTheme="majorBidi" w:hAnsiTheme="majorBidi" w:cstheme="majorBidi"/>
          <w:i/>
          <w:iCs/>
          <w:color w:val="000000"/>
          <w:w w:val="0"/>
        </w:rPr>
        <w:t>sanad</w:t>
      </w:r>
      <w:proofErr w:type="spellEnd"/>
      <w:r w:rsidRPr="00DF472B">
        <w:rPr>
          <w:rFonts w:asciiTheme="majorBidi" w:hAnsiTheme="majorBidi" w:cstheme="majorBidi"/>
          <w:color w:val="000000"/>
          <w:w w:val="0"/>
        </w:rPr>
        <w:t xml:space="preserve"> compilation and scrutinization, and those who propagated the primacy of meaning i.e., the content of the </w:t>
      </w:r>
      <w:proofErr w:type="spellStart"/>
      <w:r w:rsidRPr="00DF472B">
        <w:rPr>
          <w:rFonts w:asciiTheme="majorBidi" w:hAnsiTheme="majorBidi" w:cstheme="majorBidi"/>
          <w:i/>
          <w:iCs/>
          <w:color w:val="000000"/>
          <w:w w:val="0"/>
        </w:rPr>
        <w:t>ḥadīth</w:t>
      </w:r>
      <w:proofErr w:type="spellEnd"/>
      <w:r w:rsidRPr="00DF472B">
        <w:rPr>
          <w:rFonts w:asciiTheme="majorBidi" w:hAnsiTheme="majorBidi" w:cstheme="majorBidi"/>
          <w:color w:val="000000"/>
          <w:w w:val="0"/>
        </w:rPr>
        <w:t xml:space="preserve"> texts. The usual Arabic reference to this dichotomy is the </w:t>
      </w:r>
      <w:proofErr w:type="spellStart"/>
      <w:r w:rsidRPr="00DF472B">
        <w:rPr>
          <w:rFonts w:asciiTheme="majorBidi" w:hAnsiTheme="majorBidi" w:cstheme="majorBidi"/>
          <w:i/>
          <w:iCs/>
          <w:color w:val="000000"/>
          <w:w w:val="0"/>
        </w:rPr>
        <w:t>riwāyah</w:t>
      </w:r>
      <w:proofErr w:type="spellEnd"/>
      <w:r w:rsidRPr="00DF472B">
        <w:rPr>
          <w:rFonts w:asciiTheme="majorBidi" w:hAnsiTheme="majorBidi" w:cstheme="majorBidi"/>
          <w:color w:val="000000"/>
          <w:w w:val="0"/>
        </w:rPr>
        <w:t xml:space="preserve"> versus </w:t>
      </w:r>
      <w:proofErr w:type="spellStart"/>
      <w:r w:rsidRPr="00DF472B">
        <w:rPr>
          <w:rFonts w:asciiTheme="majorBidi" w:hAnsiTheme="majorBidi" w:cstheme="majorBidi"/>
          <w:i/>
          <w:iCs/>
          <w:color w:val="000000"/>
          <w:w w:val="0"/>
        </w:rPr>
        <w:t>dirāyah</w:t>
      </w:r>
      <w:proofErr w:type="spellEnd"/>
      <w:r>
        <w:rPr>
          <w:rFonts w:asciiTheme="majorBidi" w:hAnsiTheme="majorBidi" w:cstheme="majorBidi"/>
          <w:color w:val="000000"/>
          <w:w w:val="0"/>
        </w:rPr>
        <w:t xml:space="preserve"> tension.</w:t>
      </w:r>
      <w:r w:rsidRPr="00DF472B">
        <w:rPr>
          <w:rFonts w:asciiTheme="majorBidi" w:hAnsiTheme="majorBidi" w:cstheme="majorBidi"/>
          <w:color w:val="000000"/>
          <w:w w:val="0"/>
        </w:rPr>
        <w:t xml:space="preserve"> A number of treatises </w:t>
      </w:r>
      <w:r>
        <w:rPr>
          <w:rFonts w:asciiTheme="majorBidi" w:hAnsiTheme="majorBidi" w:cstheme="majorBidi"/>
          <w:color w:val="000000"/>
          <w:w w:val="0"/>
        </w:rPr>
        <w:t>germane</w:t>
      </w:r>
      <w:r w:rsidRPr="00DF472B">
        <w:rPr>
          <w:rFonts w:asciiTheme="majorBidi" w:hAnsiTheme="majorBidi" w:cstheme="majorBidi"/>
          <w:color w:val="000000"/>
          <w:w w:val="0"/>
        </w:rPr>
        <w:t xml:space="preserve"> to principles of </w:t>
      </w:r>
      <w:proofErr w:type="spellStart"/>
      <w:r w:rsidRPr="00DF472B">
        <w:rPr>
          <w:rFonts w:asciiTheme="majorBidi" w:hAnsiTheme="majorBidi" w:cstheme="majorBidi"/>
          <w:i/>
          <w:iCs/>
          <w:color w:val="000000"/>
          <w:w w:val="0"/>
        </w:rPr>
        <w:t>ḥadīth</w:t>
      </w:r>
      <w:proofErr w:type="spellEnd"/>
      <w:r w:rsidRPr="00DF472B">
        <w:rPr>
          <w:rFonts w:asciiTheme="majorBidi" w:hAnsiTheme="majorBidi" w:cstheme="majorBidi"/>
          <w:color w:val="000000"/>
          <w:w w:val="0"/>
        </w:rPr>
        <w:t xml:space="preserve"> criticism </w:t>
      </w:r>
      <w:r>
        <w:rPr>
          <w:rFonts w:asciiTheme="majorBidi" w:hAnsiTheme="majorBidi" w:cstheme="majorBidi"/>
          <w:color w:val="000000"/>
          <w:w w:val="0"/>
        </w:rPr>
        <w:t xml:space="preserve">have </w:t>
      </w:r>
      <w:r w:rsidRPr="00DF472B">
        <w:rPr>
          <w:rFonts w:asciiTheme="majorBidi" w:hAnsiTheme="majorBidi" w:cstheme="majorBidi"/>
          <w:color w:val="000000"/>
          <w:w w:val="0"/>
        </w:rPr>
        <w:t>alluded to this concern in the past.</w:t>
      </w:r>
      <w:r w:rsidRPr="00DF472B">
        <w:rPr>
          <w:rStyle w:val="FootnoteReference"/>
          <w:rFonts w:asciiTheme="majorBidi" w:hAnsiTheme="majorBidi" w:cstheme="majorBidi"/>
          <w:color w:val="000000"/>
          <w:w w:val="0"/>
        </w:rPr>
        <w:footnoteReference w:id="2"/>
      </w:r>
      <w:r w:rsidRPr="00DF472B">
        <w:rPr>
          <w:rFonts w:asciiTheme="majorBidi" w:hAnsiTheme="majorBidi" w:cstheme="majorBidi"/>
          <w:color w:val="000000"/>
          <w:w w:val="0"/>
        </w:rPr>
        <w:t xml:space="preserve"> Moreover, this methodological bifurcation has impinged upon </w:t>
      </w:r>
      <w:proofErr w:type="spellStart"/>
      <w:r w:rsidRPr="00DF472B">
        <w:rPr>
          <w:rFonts w:asciiTheme="majorBidi" w:hAnsiTheme="majorBidi" w:cstheme="majorBidi"/>
          <w:i/>
          <w:iCs/>
          <w:color w:val="000000"/>
          <w:w w:val="0"/>
        </w:rPr>
        <w:t>ḥadīth</w:t>
      </w:r>
      <w:proofErr w:type="spellEnd"/>
      <w:r w:rsidRPr="00DF472B">
        <w:rPr>
          <w:rFonts w:asciiTheme="majorBidi" w:hAnsiTheme="majorBidi" w:cstheme="majorBidi"/>
          <w:color w:val="000000"/>
          <w:w w:val="0"/>
        </w:rPr>
        <w:t xml:space="preserve"> evaluation and utilisation until </w:t>
      </w:r>
      <w:r>
        <w:rPr>
          <w:rFonts w:asciiTheme="majorBidi" w:hAnsiTheme="majorBidi" w:cstheme="majorBidi"/>
          <w:color w:val="000000"/>
          <w:w w:val="0"/>
        </w:rPr>
        <w:t>today</w:t>
      </w:r>
      <w:r w:rsidRPr="00DF472B">
        <w:rPr>
          <w:rFonts w:asciiTheme="majorBidi" w:hAnsiTheme="majorBidi" w:cstheme="majorBidi"/>
          <w:color w:val="000000"/>
          <w:w w:val="0"/>
        </w:rPr>
        <w:t xml:space="preserve">. Issues such as the prevalence of </w:t>
      </w:r>
      <w:proofErr w:type="spellStart"/>
      <w:r w:rsidRPr="00DF472B">
        <w:rPr>
          <w:rFonts w:asciiTheme="majorBidi" w:hAnsiTheme="majorBidi" w:cstheme="majorBidi"/>
          <w:i/>
          <w:iCs/>
          <w:color w:val="000000"/>
          <w:w w:val="0"/>
        </w:rPr>
        <w:t>sanad</w:t>
      </w:r>
      <w:proofErr w:type="spellEnd"/>
      <w:r w:rsidRPr="00DF472B">
        <w:rPr>
          <w:rFonts w:asciiTheme="majorBidi" w:hAnsiTheme="majorBidi" w:cstheme="majorBidi"/>
          <w:i/>
          <w:iCs/>
          <w:color w:val="000000"/>
          <w:w w:val="0"/>
        </w:rPr>
        <w:t xml:space="preserve"> </w:t>
      </w:r>
      <w:r w:rsidRPr="00DF472B">
        <w:rPr>
          <w:rFonts w:asciiTheme="majorBidi" w:hAnsiTheme="majorBidi" w:cstheme="majorBidi"/>
          <w:color w:val="000000"/>
          <w:w w:val="0"/>
        </w:rPr>
        <w:t xml:space="preserve">criticism over </w:t>
      </w:r>
      <w:proofErr w:type="spellStart"/>
      <w:r w:rsidRPr="00DF472B">
        <w:rPr>
          <w:rFonts w:asciiTheme="majorBidi" w:hAnsiTheme="majorBidi" w:cstheme="majorBidi"/>
          <w:i/>
          <w:iCs/>
          <w:color w:val="000000"/>
          <w:w w:val="0"/>
        </w:rPr>
        <w:t>matn</w:t>
      </w:r>
      <w:proofErr w:type="spellEnd"/>
      <w:r w:rsidRPr="00DF472B">
        <w:rPr>
          <w:rFonts w:asciiTheme="majorBidi" w:hAnsiTheme="majorBidi" w:cstheme="majorBidi"/>
          <w:color w:val="000000"/>
          <w:w w:val="0"/>
        </w:rPr>
        <w:t xml:space="preserve"> criticism, the function of </w:t>
      </w:r>
      <w:proofErr w:type="spellStart"/>
      <w:r w:rsidRPr="00DF472B">
        <w:rPr>
          <w:rFonts w:asciiTheme="majorBidi" w:hAnsiTheme="majorBidi" w:cstheme="majorBidi"/>
          <w:i/>
          <w:iCs/>
          <w:color w:val="000000"/>
          <w:w w:val="0"/>
        </w:rPr>
        <w:t>sanad</w:t>
      </w:r>
      <w:proofErr w:type="spellEnd"/>
      <w:r w:rsidRPr="00DF472B">
        <w:rPr>
          <w:rFonts w:asciiTheme="majorBidi" w:hAnsiTheme="majorBidi" w:cstheme="majorBidi"/>
          <w:color w:val="000000"/>
          <w:w w:val="0"/>
        </w:rPr>
        <w:t xml:space="preserve"> for non-legal subjects, and the origin of </w:t>
      </w:r>
      <w:proofErr w:type="spellStart"/>
      <w:r w:rsidRPr="00DF472B">
        <w:rPr>
          <w:rFonts w:asciiTheme="majorBidi" w:hAnsiTheme="majorBidi" w:cstheme="majorBidi"/>
          <w:i/>
          <w:iCs/>
          <w:color w:val="000000"/>
          <w:w w:val="0"/>
        </w:rPr>
        <w:t>sanad</w:t>
      </w:r>
      <w:proofErr w:type="spellEnd"/>
      <w:r w:rsidRPr="00DF472B">
        <w:rPr>
          <w:rFonts w:asciiTheme="majorBidi" w:hAnsiTheme="majorBidi" w:cstheme="majorBidi"/>
          <w:color w:val="000000"/>
          <w:w w:val="0"/>
        </w:rPr>
        <w:t xml:space="preserve"> culture are amongst those of interest to modern critical assessment. Although early modern criticism of </w:t>
      </w:r>
      <w:proofErr w:type="spellStart"/>
      <w:r w:rsidRPr="00DF472B">
        <w:rPr>
          <w:rFonts w:asciiTheme="majorBidi" w:hAnsiTheme="majorBidi" w:cstheme="majorBidi"/>
          <w:i/>
          <w:iCs/>
          <w:color w:val="000000"/>
          <w:w w:val="0"/>
        </w:rPr>
        <w:t>ḥadīth</w:t>
      </w:r>
      <w:proofErr w:type="spellEnd"/>
      <w:r w:rsidRPr="00DF472B">
        <w:rPr>
          <w:rFonts w:asciiTheme="majorBidi" w:hAnsiTheme="majorBidi" w:cstheme="majorBidi"/>
          <w:color w:val="000000"/>
          <w:w w:val="0"/>
        </w:rPr>
        <w:t xml:space="preserve">, </w:t>
      </w:r>
      <w:r>
        <w:rPr>
          <w:rFonts w:asciiTheme="majorBidi" w:hAnsiTheme="majorBidi" w:cstheme="majorBidi"/>
          <w:color w:val="000000"/>
          <w:w w:val="0"/>
        </w:rPr>
        <w:t>attend</w:t>
      </w:r>
      <w:r w:rsidRPr="00DF472B">
        <w:rPr>
          <w:rFonts w:asciiTheme="majorBidi" w:hAnsiTheme="majorBidi" w:cstheme="majorBidi"/>
          <w:color w:val="000000"/>
          <w:w w:val="0"/>
        </w:rPr>
        <w:t xml:space="preserve">ed mainly by </w:t>
      </w:r>
      <w:r>
        <w:rPr>
          <w:rFonts w:asciiTheme="majorBidi" w:hAnsiTheme="majorBidi" w:cstheme="majorBidi"/>
          <w:color w:val="000000"/>
          <w:w w:val="0"/>
        </w:rPr>
        <w:t xml:space="preserve">the </w:t>
      </w:r>
      <w:r w:rsidRPr="00DF472B">
        <w:rPr>
          <w:rFonts w:asciiTheme="majorBidi" w:hAnsiTheme="majorBidi" w:cstheme="majorBidi"/>
          <w:color w:val="000000"/>
          <w:w w:val="0"/>
        </w:rPr>
        <w:t>orientalis</w:t>
      </w:r>
      <w:r>
        <w:rPr>
          <w:rFonts w:asciiTheme="majorBidi" w:hAnsiTheme="majorBidi" w:cstheme="majorBidi"/>
          <w:color w:val="000000"/>
          <w:w w:val="0"/>
        </w:rPr>
        <w:t>ts</w:t>
      </w:r>
      <w:r w:rsidRPr="00DF472B">
        <w:rPr>
          <w:rFonts w:asciiTheme="majorBidi" w:hAnsiTheme="majorBidi" w:cstheme="majorBidi"/>
          <w:color w:val="000000"/>
          <w:w w:val="0"/>
        </w:rPr>
        <w:t xml:space="preserve">, </w:t>
      </w:r>
      <w:r>
        <w:rPr>
          <w:rFonts w:asciiTheme="majorBidi" w:hAnsiTheme="majorBidi" w:cstheme="majorBidi"/>
          <w:color w:val="000000"/>
          <w:w w:val="0"/>
        </w:rPr>
        <w:t>bolstered</w:t>
      </w:r>
      <w:r w:rsidRPr="00DF472B">
        <w:rPr>
          <w:rFonts w:asciiTheme="majorBidi" w:hAnsiTheme="majorBidi" w:cstheme="majorBidi"/>
          <w:color w:val="000000"/>
          <w:w w:val="0"/>
        </w:rPr>
        <w:t xml:space="preserve"> scepticism towards </w:t>
      </w:r>
      <w:proofErr w:type="spellStart"/>
      <w:r w:rsidRPr="00DF472B">
        <w:rPr>
          <w:rFonts w:asciiTheme="majorBidi" w:hAnsiTheme="majorBidi" w:cstheme="majorBidi"/>
          <w:i/>
          <w:iCs/>
          <w:color w:val="000000"/>
          <w:w w:val="0"/>
        </w:rPr>
        <w:t>sanad</w:t>
      </w:r>
      <w:proofErr w:type="spellEnd"/>
      <w:r w:rsidRPr="00DF472B">
        <w:rPr>
          <w:rFonts w:asciiTheme="majorBidi" w:hAnsiTheme="majorBidi" w:cstheme="majorBidi"/>
          <w:i/>
          <w:iCs/>
          <w:color w:val="000000"/>
          <w:w w:val="0"/>
        </w:rPr>
        <w:t xml:space="preserve"> </w:t>
      </w:r>
      <w:r w:rsidRPr="00DF472B">
        <w:rPr>
          <w:rFonts w:asciiTheme="majorBidi" w:hAnsiTheme="majorBidi" w:cstheme="majorBidi"/>
          <w:color w:val="000000"/>
          <w:w w:val="0"/>
        </w:rPr>
        <w:t xml:space="preserve">authenticity and tradition, the study of </w:t>
      </w:r>
      <w:proofErr w:type="spellStart"/>
      <w:r w:rsidRPr="00DF472B">
        <w:rPr>
          <w:rFonts w:asciiTheme="majorBidi" w:hAnsiTheme="majorBidi" w:cstheme="majorBidi"/>
          <w:i/>
          <w:iCs/>
          <w:color w:val="000000"/>
          <w:w w:val="0"/>
        </w:rPr>
        <w:t>sanad</w:t>
      </w:r>
      <w:proofErr w:type="spellEnd"/>
      <w:r w:rsidRPr="00DF472B">
        <w:rPr>
          <w:rFonts w:asciiTheme="majorBidi" w:hAnsiTheme="majorBidi" w:cstheme="majorBidi"/>
          <w:i/>
          <w:iCs/>
          <w:color w:val="000000"/>
          <w:w w:val="0"/>
        </w:rPr>
        <w:t xml:space="preserve"> </w:t>
      </w:r>
      <w:r w:rsidRPr="00DF472B">
        <w:rPr>
          <w:rFonts w:asciiTheme="majorBidi" w:hAnsiTheme="majorBidi" w:cstheme="majorBidi"/>
          <w:color w:val="000000"/>
          <w:w w:val="0"/>
        </w:rPr>
        <w:t xml:space="preserve">continues to thrive and to a certain extent has been adopted even outside the field of </w:t>
      </w:r>
      <w:proofErr w:type="spellStart"/>
      <w:r w:rsidRPr="00DF472B">
        <w:rPr>
          <w:rFonts w:asciiTheme="majorBidi" w:hAnsiTheme="majorBidi" w:cstheme="majorBidi"/>
          <w:i/>
          <w:iCs/>
          <w:color w:val="000000"/>
          <w:w w:val="0"/>
        </w:rPr>
        <w:t>ḥad</w:t>
      </w:r>
      <w:r>
        <w:rPr>
          <w:rFonts w:asciiTheme="majorBidi" w:hAnsiTheme="majorBidi" w:cstheme="majorBidi"/>
          <w:i/>
          <w:iCs/>
          <w:color w:val="000000"/>
          <w:w w:val="0"/>
        </w:rPr>
        <w:t>ī</w:t>
      </w:r>
      <w:r w:rsidRPr="00DF472B">
        <w:rPr>
          <w:rFonts w:asciiTheme="majorBidi" w:hAnsiTheme="majorBidi" w:cstheme="majorBidi"/>
          <w:i/>
          <w:iCs/>
          <w:color w:val="000000"/>
          <w:w w:val="0"/>
        </w:rPr>
        <w:t>th</w:t>
      </w:r>
      <w:proofErr w:type="spellEnd"/>
      <w:r w:rsidRPr="00DF472B">
        <w:rPr>
          <w:rFonts w:asciiTheme="majorBidi" w:hAnsiTheme="majorBidi" w:cstheme="majorBidi"/>
          <w:color w:val="000000"/>
          <w:w w:val="0"/>
        </w:rPr>
        <w:t xml:space="preserve"> studies. Nevertheless, studies on the history of </w:t>
      </w:r>
      <w:proofErr w:type="spellStart"/>
      <w:r w:rsidRPr="00DF472B">
        <w:rPr>
          <w:rFonts w:asciiTheme="majorBidi" w:hAnsiTheme="majorBidi" w:cstheme="majorBidi"/>
          <w:i/>
          <w:iCs/>
          <w:color w:val="000000"/>
          <w:w w:val="0"/>
        </w:rPr>
        <w:t>sanad</w:t>
      </w:r>
      <w:proofErr w:type="spellEnd"/>
      <w:r w:rsidRPr="00DF472B">
        <w:rPr>
          <w:rFonts w:asciiTheme="majorBidi" w:hAnsiTheme="majorBidi" w:cstheme="majorBidi"/>
          <w:color w:val="000000"/>
          <w:w w:val="0"/>
        </w:rPr>
        <w:t xml:space="preserve"> in general and how particular </w:t>
      </w:r>
      <w:proofErr w:type="spellStart"/>
      <w:r w:rsidRPr="00DF472B">
        <w:rPr>
          <w:rFonts w:asciiTheme="majorBidi" w:hAnsiTheme="majorBidi" w:cstheme="majorBidi"/>
          <w:i/>
          <w:iCs/>
          <w:color w:val="000000"/>
          <w:w w:val="0"/>
        </w:rPr>
        <w:t>sanad</w:t>
      </w:r>
      <w:proofErr w:type="spellEnd"/>
      <w:r w:rsidRPr="00DF472B">
        <w:rPr>
          <w:rFonts w:asciiTheme="majorBidi" w:hAnsiTheme="majorBidi" w:cstheme="majorBidi"/>
          <w:color w:val="000000"/>
          <w:w w:val="0"/>
        </w:rPr>
        <w:t xml:space="preserve"> may inform our understanding of its history still require more efforts and dedication. It is our aim from this paper to contribute to this endeavour by studying a phenomenon in the history of </w:t>
      </w:r>
      <w:proofErr w:type="spellStart"/>
      <w:r w:rsidRPr="00DF472B">
        <w:rPr>
          <w:rFonts w:asciiTheme="majorBidi" w:hAnsiTheme="majorBidi" w:cstheme="majorBidi"/>
          <w:i/>
          <w:iCs/>
          <w:color w:val="000000"/>
          <w:w w:val="0"/>
        </w:rPr>
        <w:t>sanad</w:t>
      </w:r>
      <w:proofErr w:type="spellEnd"/>
      <w:r w:rsidRPr="00DF472B">
        <w:rPr>
          <w:rFonts w:asciiTheme="majorBidi" w:hAnsiTheme="majorBidi" w:cstheme="majorBidi"/>
          <w:color w:val="000000"/>
          <w:w w:val="0"/>
        </w:rPr>
        <w:t xml:space="preserve"> that is the omission of </w:t>
      </w:r>
      <w:proofErr w:type="spellStart"/>
      <w:r w:rsidRPr="00DF472B">
        <w:rPr>
          <w:rFonts w:asciiTheme="majorBidi" w:hAnsiTheme="majorBidi" w:cstheme="majorBidi"/>
          <w:i/>
          <w:iCs/>
          <w:color w:val="000000"/>
          <w:w w:val="0"/>
        </w:rPr>
        <w:t>sanad</w:t>
      </w:r>
      <w:proofErr w:type="spellEnd"/>
      <w:r w:rsidRPr="00DF472B">
        <w:rPr>
          <w:rFonts w:asciiTheme="majorBidi" w:hAnsiTheme="majorBidi" w:cstheme="majorBidi"/>
          <w:color w:val="000000"/>
          <w:w w:val="0"/>
        </w:rPr>
        <w:t xml:space="preserve"> from works dedicated to the transmission or conveyance of </w:t>
      </w:r>
      <w:proofErr w:type="spellStart"/>
      <w:r w:rsidRPr="00DF472B">
        <w:rPr>
          <w:rFonts w:asciiTheme="majorBidi" w:hAnsiTheme="majorBidi" w:cstheme="majorBidi"/>
          <w:i/>
          <w:iCs/>
          <w:color w:val="000000"/>
          <w:w w:val="0"/>
        </w:rPr>
        <w:t>ḥadīth</w:t>
      </w:r>
      <w:proofErr w:type="spellEnd"/>
      <w:r w:rsidRPr="00DF472B">
        <w:rPr>
          <w:rFonts w:asciiTheme="majorBidi" w:hAnsiTheme="majorBidi" w:cstheme="majorBidi"/>
          <w:color w:val="000000"/>
          <w:w w:val="0"/>
        </w:rPr>
        <w:t xml:space="preserve"> and Sunnah.</w:t>
      </w:r>
    </w:p>
    <w:p w14:paraId="12AA75FE" w14:textId="307D3F0E" w:rsidR="003A1A78" w:rsidRDefault="003A1A78"/>
    <w:p w14:paraId="4FE8D540" w14:textId="3249D7EF" w:rsidR="003A1A78" w:rsidRDefault="003A1A78"/>
    <w:p w14:paraId="65AC747F" w14:textId="77777777" w:rsidR="003A1A78" w:rsidRPr="005046AA" w:rsidRDefault="003A1A78" w:rsidP="003A1A78">
      <w:pPr>
        <w:widowControl w:val="0"/>
        <w:spacing w:after="200" w:line="360" w:lineRule="auto"/>
        <w:ind w:right="-40"/>
        <w:jc w:val="both"/>
        <w:rPr>
          <w:rFonts w:asciiTheme="majorBidi" w:eastAsia="Garamond" w:hAnsiTheme="majorBidi" w:cstheme="majorBidi"/>
          <w:b/>
          <w:bCs/>
        </w:rPr>
      </w:pPr>
      <w:r w:rsidRPr="005046AA">
        <w:rPr>
          <w:rFonts w:asciiTheme="majorBidi" w:eastAsia="Garamond" w:hAnsiTheme="majorBidi" w:cstheme="majorBidi"/>
          <w:b/>
          <w:bCs/>
        </w:rPr>
        <w:lastRenderedPageBreak/>
        <w:t xml:space="preserve">The Legacy of </w:t>
      </w:r>
      <w:proofErr w:type="spellStart"/>
      <w:r w:rsidRPr="005046AA">
        <w:rPr>
          <w:rFonts w:asciiTheme="majorBidi" w:eastAsia="Garamond" w:hAnsiTheme="majorBidi" w:cstheme="majorBidi"/>
          <w:b/>
          <w:bCs/>
          <w:i/>
          <w:iCs/>
        </w:rPr>
        <w:t>Mujarrad-Musnad</w:t>
      </w:r>
      <w:proofErr w:type="spellEnd"/>
      <w:r w:rsidRPr="005046AA">
        <w:rPr>
          <w:rFonts w:asciiTheme="majorBidi" w:eastAsia="Garamond" w:hAnsiTheme="majorBidi" w:cstheme="majorBidi"/>
          <w:b/>
          <w:bCs/>
        </w:rPr>
        <w:t xml:space="preserve"> Method</w:t>
      </w:r>
    </w:p>
    <w:p w14:paraId="23FE1843" w14:textId="77777777" w:rsidR="003A1A78" w:rsidRPr="005046AA" w:rsidRDefault="003A1A78" w:rsidP="003A1A78">
      <w:pPr>
        <w:widowControl w:val="0"/>
        <w:spacing w:after="200" w:line="360" w:lineRule="auto"/>
        <w:ind w:right="-40"/>
        <w:jc w:val="both"/>
        <w:rPr>
          <w:rFonts w:asciiTheme="majorBidi" w:eastAsia="Garamond" w:hAnsiTheme="majorBidi" w:cstheme="majorBidi"/>
        </w:rPr>
      </w:pPr>
      <w:r w:rsidRPr="005046AA">
        <w:rPr>
          <w:rFonts w:asciiTheme="majorBidi" w:eastAsia="Garamond" w:hAnsiTheme="majorBidi" w:cstheme="majorBidi"/>
        </w:rPr>
        <w:tab/>
        <w:t xml:space="preserve">Keeping the above concern of exploring the development within the circle of </w:t>
      </w:r>
      <w:proofErr w:type="spellStart"/>
      <w:r w:rsidRPr="005046AA">
        <w:rPr>
          <w:rFonts w:asciiTheme="majorBidi" w:eastAsia="Garamond" w:hAnsiTheme="majorBidi" w:cstheme="majorBidi"/>
          <w:i/>
          <w:iCs/>
        </w:rPr>
        <w:t>ḥadīth</w:t>
      </w:r>
      <w:proofErr w:type="spellEnd"/>
      <w:r w:rsidRPr="005046AA">
        <w:rPr>
          <w:rFonts w:asciiTheme="majorBidi" w:eastAsia="Garamond" w:hAnsiTheme="majorBidi" w:cstheme="majorBidi"/>
        </w:rPr>
        <w:t>, we will continue to probe into the emulation of al-</w:t>
      </w:r>
      <w:proofErr w:type="spellStart"/>
      <w:r w:rsidRPr="005046AA">
        <w:rPr>
          <w:rFonts w:asciiTheme="majorBidi" w:eastAsia="Garamond" w:hAnsiTheme="majorBidi" w:cstheme="majorBidi"/>
        </w:rPr>
        <w:t>Quḍāʿī’s</w:t>
      </w:r>
      <w:proofErr w:type="spellEnd"/>
      <w:r w:rsidRPr="005046AA">
        <w:rPr>
          <w:rFonts w:asciiTheme="majorBidi" w:eastAsia="Garamond" w:hAnsiTheme="majorBidi" w:cstheme="majorBidi"/>
        </w:rPr>
        <w:t xml:space="preserve"> method, particularly the </w:t>
      </w:r>
      <w:proofErr w:type="spellStart"/>
      <w:r w:rsidRPr="005046AA">
        <w:rPr>
          <w:rFonts w:asciiTheme="majorBidi" w:eastAsia="Garamond" w:hAnsiTheme="majorBidi" w:cstheme="majorBidi"/>
          <w:i/>
          <w:iCs/>
        </w:rPr>
        <w:t>tajrīd</w:t>
      </w:r>
      <w:proofErr w:type="spellEnd"/>
      <w:r w:rsidRPr="005046AA">
        <w:rPr>
          <w:rFonts w:asciiTheme="majorBidi" w:eastAsia="Garamond" w:hAnsiTheme="majorBidi" w:cstheme="majorBidi"/>
        </w:rPr>
        <w:t xml:space="preserve">, amongst the succeeding </w:t>
      </w:r>
      <w:proofErr w:type="spellStart"/>
      <w:r w:rsidRPr="005046AA">
        <w:rPr>
          <w:rFonts w:asciiTheme="majorBidi" w:eastAsia="Garamond" w:hAnsiTheme="majorBidi" w:cstheme="majorBidi"/>
          <w:i/>
          <w:iCs/>
        </w:rPr>
        <w:t>ḥadīth</w:t>
      </w:r>
      <w:proofErr w:type="spellEnd"/>
      <w:r w:rsidRPr="005046AA">
        <w:rPr>
          <w:rFonts w:asciiTheme="majorBidi" w:eastAsia="Garamond" w:hAnsiTheme="majorBidi" w:cstheme="majorBidi"/>
        </w:rPr>
        <w:t xml:space="preserve"> scholars. The works mentioned below have been said to have a connection in one way or another to </w:t>
      </w:r>
      <w:proofErr w:type="spellStart"/>
      <w:r w:rsidRPr="005046AA">
        <w:rPr>
          <w:rFonts w:asciiTheme="majorBidi" w:eastAsia="Garamond" w:hAnsiTheme="majorBidi" w:cstheme="majorBidi"/>
          <w:i/>
          <w:iCs/>
        </w:rPr>
        <w:t>Shihāb</w:t>
      </w:r>
      <w:proofErr w:type="spellEnd"/>
      <w:r w:rsidRPr="005046AA">
        <w:rPr>
          <w:rFonts w:asciiTheme="majorBidi" w:eastAsia="Garamond" w:hAnsiTheme="majorBidi" w:cstheme="majorBidi"/>
          <w:i/>
          <w:iCs/>
        </w:rPr>
        <w:t xml:space="preserve"> al-</w:t>
      </w:r>
      <w:proofErr w:type="spellStart"/>
      <w:r w:rsidRPr="005046AA">
        <w:rPr>
          <w:rFonts w:asciiTheme="majorBidi" w:eastAsia="Garamond" w:hAnsiTheme="majorBidi" w:cstheme="majorBidi"/>
          <w:i/>
          <w:iCs/>
        </w:rPr>
        <w:t>Akhbār</w:t>
      </w:r>
      <w:proofErr w:type="spellEnd"/>
      <w:r w:rsidRPr="005046AA">
        <w:rPr>
          <w:rFonts w:asciiTheme="majorBidi" w:eastAsia="Garamond" w:hAnsiTheme="majorBidi" w:cstheme="majorBidi"/>
        </w:rPr>
        <w:t xml:space="preserve"> or </w:t>
      </w:r>
      <w:proofErr w:type="spellStart"/>
      <w:r w:rsidRPr="005046AA">
        <w:rPr>
          <w:rFonts w:asciiTheme="majorBidi" w:eastAsia="Garamond" w:hAnsiTheme="majorBidi" w:cstheme="majorBidi"/>
          <w:i/>
          <w:iCs/>
        </w:rPr>
        <w:t>Musnad</w:t>
      </w:r>
      <w:proofErr w:type="spellEnd"/>
      <w:r w:rsidRPr="005046AA">
        <w:rPr>
          <w:rFonts w:asciiTheme="majorBidi" w:eastAsia="Garamond" w:hAnsiTheme="majorBidi" w:cstheme="majorBidi"/>
          <w:i/>
          <w:iCs/>
        </w:rPr>
        <w:t xml:space="preserve"> al-</w:t>
      </w:r>
      <w:proofErr w:type="spellStart"/>
      <w:r w:rsidRPr="005046AA">
        <w:rPr>
          <w:rFonts w:asciiTheme="majorBidi" w:eastAsia="Garamond" w:hAnsiTheme="majorBidi" w:cstheme="majorBidi"/>
          <w:i/>
          <w:iCs/>
        </w:rPr>
        <w:t>Shihāb</w:t>
      </w:r>
      <w:proofErr w:type="spellEnd"/>
      <w:r w:rsidRPr="005046AA">
        <w:rPr>
          <w:rFonts w:asciiTheme="majorBidi" w:eastAsia="Garamond" w:hAnsiTheme="majorBidi" w:cstheme="majorBidi"/>
        </w:rPr>
        <w:t>.</w:t>
      </w:r>
    </w:p>
    <w:p w14:paraId="65F579EF" w14:textId="77777777" w:rsidR="003A1A78" w:rsidRPr="005046AA" w:rsidRDefault="003A1A78" w:rsidP="003A1A78">
      <w:pPr>
        <w:pStyle w:val="ListParagraph"/>
        <w:widowControl w:val="0"/>
        <w:numPr>
          <w:ilvl w:val="0"/>
          <w:numId w:val="1"/>
        </w:numPr>
        <w:spacing w:line="360" w:lineRule="auto"/>
        <w:ind w:right="-40"/>
        <w:jc w:val="both"/>
        <w:rPr>
          <w:rFonts w:asciiTheme="majorBidi" w:eastAsia="Garamond" w:hAnsiTheme="majorBidi" w:cstheme="majorBidi"/>
          <w:sz w:val="24"/>
          <w:szCs w:val="24"/>
        </w:rPr>
      </w:pPr>
      <w:r w:rsidRPr="005046AA">
        <w:rPr>
          <w:rFonts w:asciiTheme="majorBidi" w:eastAsia="Garamond" w:hAnsiTheme="majorBidi" w:cstheme="majorBidi"/>
          <w:sz w:val="24"/>
          <w:szCs w:val="24"/>
        </w:rPr>
        <w:t>The work of al-</w:t>
      </w:r>
      <w:proofErr w:type="spellStart"/>
      <w:r w:rsidRPr="005046AA">
        <w:rPr>
          <w:rFonts w:asciiTheme="majorBidi" w:eastAsia="Garamond" w:hAnsiTheme="majorBidi" w:cstheme="majorBidi"/>
          <w:sz w:val="24"/>
          <w:szCs w:val="24"/>
        </w:rPr>
        <w:t>Khaṭīb</w:t>
      </w:r>
      <w:proofErr w:type="spellEnd"/>
      <w:r w:rsidRPr="005046AA">
        <w:rPr>
          <w:rFonts w:asciiTheme="majorBidi" w:eastAsia="Garamond" w:hAnsiTheme="majorBidi" w:cstheme="majorBidi"/>
          <w:sz w:val="24"/>
          <w:szCs w:val="24"/>
        </w:rPr>
        <w:t xml:space="preserve"> al-</w:t>
      </w:r>
      <w:proofErr w:type="spellStart"/>
      <w:r w:rsidRPr="005046AA">
        <w:rPr>
          <w:rFonts w:asciiTheme="majorBidi" w:eastAsia="Garamond" w:hAnsiTheme="majorBidi" w:cstheme="majorBidi"/>
          <w:sz w:val="24"/>
          <w:szCs w:val="24"/>
        </w:rPr>
        <w:t>Baghdādī</w:t>
      </w:r>
      <w:proofErr w:type="spellEnd"/>
      <w:r w:rsidRPr="005046AA">
        <w:rPr>
          <w:rFonts w:asciiTheme="majorBidi" w:eastAsia="Garamond" w:hAnsiTheme="majorBidi" w:cstheme="majorBidi"/>
          <w:sz w:val="24"/>
          <w:szCs w:val="24"/>
        </w:rPr>
        <w:t xml:space="preserve"> on learning astronomy and astrology titled </w:t>
      </w:r>
      <w:r w:rsidRPr="005046AA">
        <w:rPr>
          <w:rFonts w:asciiTheme="majorBidi" w:eastAsia="Garamond" w:hAnsiTheme="majorBidi" w:cstheme="majorBidi"/>
          <w:i/>
          <w:iCs/>
          <w:sz w:val="24"/>
          <w:szCs w:val="24"/>
        </w:rPr>
        <w:t>al-</w:t>
      </w:r>
      <w:proofErr w:type="spellStart"/>
      <w:r w:rsidRPr="005046AA">
        <w:rPr>
          <w:rFonts w:asciiTheme="majorBidi" w:eastAsia="Garamond" w:hAnsiTheme="majorBidi" w:cstheme="majorBidi"/>
          <w:i/>
          <w:iCs/>
          <w:sz w:val="24"/>
          <w:szCs w:val="24"/>
        </w:rPr>
        <w:t>Qawl</w:t>
      </w:r>
      <w:proofErr w:type="spellEnd"/>
      <w:r w:rsidRPr="005046AA">
        <w:rPr>
          <w:rFonts w:asciiTheme="majorBidi" w:eastAsia="Garamond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5046AA">
        <w:rPr>
          <w:rFonts w:asciiTheme="majorBidi" w:eastAsia="Garamond" w:hAnsiTheme="majorBidi" w:cstheme="majorBidi"/>
          <w:i/>
          <w:iCs/>
          <w:sz w:val="24"/>
          <w:szCs w:val="24"/>
        </w:rPr>
        <w:t>fī</w:t>
      </w:r>
      <w:proofErr w:type="spellEnd"/>
      <w:r w:rsidRPr="005046AA">
        <w:rPr>
          <w:rFonts w:asciiTheme="majorBidi" w:eastAsia="Garamond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5046AA">
        <w:rPr>
          <w:rFonts w:asciiTheme="majorBidi" w:eastAsia="Garamond" w:hAnsiTheme="majorBidi" w:cstheme="majorBidi"/>
          <w:i/>
          <w:iCs/>
          <w:sz w:val="24"/>
          <w:szCs w:val="24"/>
        </w:rPr>
        <w:t>ʿIlm</w:t>
      </w:r>
      <w:proofErr w:type="spellEnd"/>
      <w:r w:rsidRPr="005046AA">
        <w:rPr>
          <w:rFonts w:asciiTheme="majorBidi" w:eastAsia="Garamond" w:hAnsiTheme="majorBidi" w:cstheme="majorBidi"/>
          <w:i/>
          <w:iCs/>
          <w:sz w:val="24"/>
          <w:szCs w:val="24"/>
        </w:rPr>
        <w:t xml:space="preserve"> al-</w:t>
      </w:r>
      <w:proofErr w:type="spellStart"/>
      <w:r w:rsidRPr="005046AA">
        <w:rPr>
          <w:rFonts w:asciiTheme="majorBidi" w:eastAsia="Garamond" w:hAnsiTheme="majorBidi" w:cstheme="majorBidi"/>
          <w:i/>
          <w:iCs/>
          <w:sz w:val="24"/>
          <w:szCs w:val="24"/>
        </w:rPr>
        <w:t>Nujūm</w:t>
      </w:r>
      <w:proofErr w:type="spellEnd"/>
      <w:r w:rsidRPr="005046AA">
        <w:rPr>
          <w:rFonts w:asciiTheme="majorBidi" w:eastAsia="Garamond" w:hAnsiTheme="majorBidi" w:cstheme="majorBidi"/>
          <w:i/>
          <w:iCs/>
          <w:sz w:val="24"/>
          <w:szCs w:val="24"/>
        </w:rPr>
        <w:t>, Hal al-</w:t>
      </w:r>
      <w:proofErr w:type="spellStart"/>
      <w:r w:rsidRPr="005046AA">
        <w:rPr>
          <w:rFonts w:asciiTheme="majorBidi" w:eastAsia="Garamond" w:hAnsiTheme="majorBidi" w:cstheme="majorBidi"/>
          <w:i/>
          <w:iCs/>
          <w:sz w:val="24"/>
          <w:szCs w:val="24"/>
        </w:rPr>
        <w:t>Shurūʿ</w:t>
      </w:r>
      <w:proofErr w:type="spellEnd"/>
      <w:r w:rsidRPr="005046AA">
        <w:rPr>
          <w:rFonts w:asciiTheme="majorBidi" w:eastAsia="Garamond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5046AA">
        <w:rPr>
          <w:rFonts w:asciiTheme="majorBidi" w:eastAsia="Garamond" w:hAnsiTheme="majorBidi" w:cstheme="majorBidi"/>
          <w:i/>
          <w:iCs/>
          <w:sz w:val="24"/>
          <w:szCs w:val="24"/>
        </w:rPr>
        <w:t>fīhi</w:t>
      </w:r>
      <w:proofErr w:type="spellEnd"/>
      <w:r w:rsidRPr="005046AA">
        <w:rPr>
          <w:rFonts w:asciiTheme="majorBidi" w:eastAsia="Garamond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5046AA">
        <w:rPr>
          <w:rFonts w:asciiTheme="majorBidi" w:eastAsia="Garamond" w:hAnsiTheme="majorBidi" w:cstheme="majorBidi"/>
          <w:i/>
          <w:iCs/>
          <w:sz w:val="24"/>
          <w:szCs w:val="24"/>
        </w:rPr>
        <w:t>Mashrūʿ</w:t>
      </w:r>
      <w:proofErr w:type="spellEnd"/>
      <w:r w:rsidRPr="005046AA">
        <w:rPr>
          <w:rFonts w:asciiTheme="majorBidi" w:eastAsia="Garamond" w:hAnsiTheme="majorBidi" w:cstheme="majorBidi"/>
          <w:i/>
          <w:iCs/>
          <w:sz w:val="24"/>
          <w:szCs w:val="24"/>
        </w:rPr>
        <w:t xml:space="preserve"> aw </w:t>
      </w:r>
      <w:proofErr w:type="spellStart"/>
      <w:r w:rsidRPr="005046AA">
        <w:rPr>
          <w:rFonts w:asciiTheme="majorBidi" w:eastAsia="Garamond" w:hAnsiTheme="majorBidi" w:cstheme="majorBidi"/>
          <w:i/>
          <w:iCs/>
          <w:sz w:val="24"/>
          <w:szCs w:val="24"/>
        </w:rPr>
        <w:t>Madhmūm</w:t>
      </w:r>
      <w:proofErr w:type="spellEnd"/>
      <w:r w:rsidRPr="005046AA">
        <w:rPr>
          <w:rFonts w:asciiTheme="majorBidi" w:eastAsia="Garamond" w:hAnsiTheme="majorBidi" w:cstheme="majorBidi"/>
          <w:sz w:val="24"/>
          <w:szCs w:val="24"/>
        </w:rPr>
        <w:t>. al-</w:t>
      </w:r>
      <w:proofErr w:type="spellStart"/>
      <w:r w:rsidRPr="005046AA">
        <w:rPr>
          <w:rFonts w:asciiTheme="majorBidi" w:eastAsia="Garamond" w:hAnsiTheme="majorBidi" w:cstheme="majorBidi"/>
          <w:sz w:val="24"/>
          <w:szCs w:val="24"/>
        </w:rPr>
        <w:t>Khaṭīb</w:t>
      </w:r>
      <w:proofErr w:type="spellEnd"/>
      <w:r w:rsidRPr="005046AA">
        <w:rPr>
          <w:rFonts w:asciiTheme="majorBidi" w:eastAsia="Garamond" w:hAnsiTheme="majorBidi" w:cstheme="majorBidi"/>
          <w:sz w:val="24"/>
          <w:szCs w:val="24"/>
        </w:rPr>
        <w:t xml:space="preserve"> mentioned that he audited al-</w:t>
      </w:r>
      <w:proofErr w:type="spellStart"/>
      <w:r w:rsidRPr="005046AA">
        <w:rPr>
          <w:rFonts w:asciiTheme="majorBidi" w:eastAsia="Garamond" w:hAnsiTheme="majorBidi" w:cstheme="majorBidi"/>
          <w:sz w:val="24"/>
          <w:szCs w:val="24"/>
        </w:rPr>
        <w:t>Qudāʿī’s</w:t>
      </w:r>
      <w:proofErr w:type="spellEnd"/>
      <w:r w:rsidRPr="005046AA">
        <w:rPr>
          <w:rFonts w:asciiTheme="majorBidi" w:eastAsia="Garamond" w:hAnsiTheme="majorBidi" w:cstheme="majorBidi"/>
          <w:sz w:val="24"/>
          <w:szCs w:val="24"/>
        </w:rPr>
        <w:t xml:space="preserve"> session at the Holy Mosque in Makkah.</w:t>
      </w:r>
      <w:r w:rsidRPr="005046AA">
        <w:rPr>
          <w:rStyle w:val="FootnoteReference"/>
          <w:rFonts w:asciiTheme="majorBidi" w:eastAsia="Garamond" w:hAnsiTheme="majorBidi" w:cstheme="majorBidi"/>
          <w:sz w:val="24"/>
          <w:szCs w:val="24"/>
        </w:rPr>
        <w:footnoteReference w:id="3"/>
      </w:r>
      <w:r w:rsidRPr="005046AA">
        <w:rPr>
          <w:rFonts w:asciiTheme="majorBidi" w:eastAsia="Garamond" w:hAnsiTheme="majorBidi" w:cstheme="majorBidi"/>
          <w:sz w:val="24"/>
          <w:szCs w:val="24"/>
        </w:rPr>
        <w:t xml:space="preserve"> The </w:t>
      </w:r>
      <w:proofErr w:type="spellStart"/>
      <w:r w:rsidRPr="005046AA">
        <w:rPr>
          <w:rFonts w:asciiTheme="majorBidi" w:eastAsia="Garamond" w:hAnsiTheme="majorBidi" w:cstheme="majorBidi"/>
          <w:i/>
          <w:iCs/>
          <w:sz w:val="24"/>
          <w:szCs w:val="24"/>
        </w:rPr>
        <w:t>ḥadīth</w:t>
      </w:r>
      <w:r w:rsidRPr="005046AA">
        <w:rPr>
          <w:rFonts w:asciiTheme="majorBidi" w:eastAsia="Garamond" w:hAnsiTheme="majorBidi" w:cstheme="majorBidi"/>
          <w:sz w:val="24"/>
          <w:szCs w:val="24"/>
        </w:rPr>
        <w:t>s</w:t>
      </w:r>
      <w:proofErr w:type="spellEnd"/>
      <w:r w:rsidRPr="005046AA">
        <w:rPr>
          <w:rFonts w:asciiTheme="majorBidi" w:eastAsia="Garamond" w:hAnsiTheme="majorBidi" w:cstheme="majorBidi"/>
          <w:sz w:val="24"/>
          <w:szCs w:val="24"/>
        </w:rPr>
        <w:t xml:space="preserve"> in the survived part of this work were devoid of </w:t>
      </w:r>
      <w:proofErr w:type="spellStart"/>
      <w:r w:rsidRPr="005046AA">
        <w:rPr>
          <w:rFonts w:asciiTheme="majorBidi" w:eastAsia="Garamond" w:hAnsiTheme="majorBidi" w:cstheme="majorBidi"/>
          <w:i/>
          <w:iCs/>
          <w:sz w:val="24"/>
          <w:szCs w:val="24"/>
        </w:rPr>
        <w:t>sanad</w:t>
      </w:r>
      <w:r w:rsidRPr="005046AA">
        <w:rPr>
          <w:rFonts w:asciiTheme="majorBidi" w:eastAsia="Garamond" w:hAnsiTheme="majorBidi" w:cstheme="majorBidi"/>
          <w:sz w:val="24"/>
          <w:szCs w:val="24"/>
        </w:rPr>
        <w:t>s</w:t>
      </w:r>
      <w:proofErr w:type="spellEnd"/>
      <w:r w:rsidRPr="005046AA">
        <w:rPr>
          <w:rFonts w:asciiTheme="majorBidi" w:eastAsia="Garamond" w:hAnsiTheme="majorBidi" w:cstheme="majorBidi"/>
          <w:sz w:val="24"/>
          <w:szCs w:val="24"/>
        </w:rPr>
        <w:t>, a feature that is quite strange given all other works of al-</w:t>
      </w:r>
      <w:proofErr w:type="spellStart"/>
      <w:r w:rsidRPr="005046AA">
        <w:rPr>
          <w:rFonts w:asciiTheme="majorBidi" w:eastAsia="Garamond" w:hAnsiTheme="majorBidi" w:cstheme="majorBidi"/>
          <w:sz w:val="24"/>
          <w:szCs w:val="24"/>
        </w:rPr>
        <w:t>Khaṭīb</w:t>
      </w:r>
      <w:proofErr w:type="spellEnd"/>
      <w:r w:rsidRPr="005046AA">
        <w:rPr>
          <w:rFonts w:asciiTheme="majorBidi" w:eastAsia="Garamond" w:hAnsiTheme="majorBidi" w:cstheme="majorBidi"/>
          <w:sz w:val="24"/>
          <w:szCs w:val="24"/>
        </w:rPr>
        <w:t xml:space="preserve">. The above title was attributed to him by </w:t>
      </w:r>
      <w:proofErr w:type="spellStart"/>
      <w:r w:rsidRPr="005046AA">
        <w:rPr>
          <w:rFonts w:asciiTheme="majorBidi" w:eastAsia="Garamond" w:hAnsiTheme="majorBidi" w:cstheme="majorBidi"/>
          <w:sz w:val="24"/>
          <w:szCs w:val="24"/>
        </w:rPr>
        <w:t>Muḥammad</w:t>
      </w:r>
      <w:proofErr w:type="spellEnd"/>
      <w:r w:rsidRPr="005046AA">
        <w:rPr>
          <w:rFonts w:asciiTheme="majorBidi" w:eastAsia="Garamond" w:hAnsiTheme="majorBidi" w:cstheme="majorBidi"/>
          <w:sz w:val="24"/>
          <w:szCs w:val="24"/>
        </w:rPr>
        <w:t xml:space="preserve"> al-</w:t>
      </w:r>
      <w:proofErr w:type="spellStart"/>
      <w:r w:rsidRPr="005046AA">
        <w:rPr>
          <w:rFonts w:asciiTheme="majorBidi" w:eastAsia="Garamond" w:hAnsiTheme="majorBidi" w:cstheme="majorBidi"/>
          <w:sz w:val="24"/>
          <w:szCs w:val="24"/>
        </w:rPr>
        <w:t>Mālikī</w:t>
      </w:r>
      <w:proofErr w:type="spellEnd"/>
      <w:r w:rsidRPr="005046AA">
        <w:rPr>
          <w:rFonts w:asciiTheme="majorBidi" w:eastAsia="Garamond" w:hAnsiTheme="majorBidi" w:cstheme="majorBidi"/>
          <w:sz w:val="24"/>
          <w:szCs w:val="24"/>
        </w:rPr>
        <w:t>, Ibn al-</w:t>
      </w:r>
      <w:proofErr w:type="spellStart"/>
      <w:r w:rsidRPr="005046AA">
        <w:rPr>
          <w:rFonts w:asciiTheme="majorBidi" w:eastAsia="Garamond" w:hAnsiTheme="majorBidi" w:cstheme="majorBidi"/>
          <w:sz w:val="24"/>
          <w:szCs w:val="24"/>
        </w:rPr>
        <w:t>Jawzī</w:t>
      </w:r>
      <w:proofErr w:type="spellEnd"/>
      <w:r w:rsidRPr="005046AA">
        <w:rPr>
          <w:rFonts w:asciiTheme="majorBidi" w:eastAsia="Garamond" w:hAnsiTheme="majorBidi" w:cstheme="majorBidi"/>
          <w:sz w:val="24"/>
          <w:szCs w:val="24"/>
        </w:rPr>
        <w:t xml:space="preserve">, </w:t>
      </w:r>
      <w:proofErr w:type="spellStart"/>
      <w:r w:rsidRPr="005046AA">
        <w:rPr>
          <w:rFonts w:asciiTheme="majorBidi" w:eastAsia="Garamond" w:hAnsiTheme="majorBidi" w:cstheme="majorBidi"/>
          <w:sz w:val="24"/>
          <w:szCs w:val="24"/>
        </w:rPr>
        <w:t>Yāqūt</w:t>
      </w:r>
      <w:proofErr w:type="spellEnd"/>
      <w:r w:rsidRPr="005046AA">
        <w:rPr>
          <w:rFonts w:asciiTheme="majorBidi" w:eastAsia="Garamond" w:hAnsiTheme="majorBidi" w:cstheme="majorBidi"/>
          <w:sz w:val="24"/>
          <w:szCs w:val="24"/>
        </w:rPr>
        <w:t xml:space="preserve"> al-</w:t>
      </w:r>
      <w:proofErr w:type="spellStart"/>
      <w:r w:rsidRPr="005046AA">
        <w:rPr>
          <w:rFonts w:asciiTheme="majorBidi" w:eastAsia="Garamond" w:hAnsiTheme="majorBidi" w:cstheme="majorBidi"/>
          <w:sz w:val="24"/>
          <w:szCs w:val="24"/>
        </w:rPr>
        <w:t>Ḥamawī</w:t>
      </w:r>
      <w:proofErr w:type="spellEnd"/>
      <w:r w:rsidRPr="005046AA">
        <w:rPr>
          <w:rFonts w:asciiTheme="majorBidi" w:eastAsia="Garamond" w:hAnsiTheme="majorBidi" w:cstheme="majorBidi"/>
          <w:sz w:val="24"/>
          <w:szCs w:val="24"/>
        </w:rPr>
        <w:t xml:space="preserve"> and al-</w:t>
      </w:r>
      <w:proofErr w:type="spellStart"/>
      <w:r w:rsidRPr="005046AA">
        <w:rPr>
          <w:rFonts w:asciiTheme="majorBidi" w:eastAsia="Garamond" w:hAnsiTheme="majorBidi" w:cstheme="majorBidi"/>
          <w:sz w:val="24"/>
          <w:szCs w:val="24"/>
        </w:rPr>
        <w:t>Dhahabī</w:t>
      </w:r>
      <w:proofErr w:type="spellEnd"/>
      <w:r w:rsidRPr="005046AA">
        <w:rPr>
          <w:rFonts w:asciiTheme="majorBidi" w:eastAsia="Garamond" w:hAnsiTheme="majorBidi" w:cstheme="majorBidi"/>
          <w:sz w:val="24"/>
          <w:szCs w:val="24"/>
        </w:rPr>
        <w:t>. Moreover, al-</w:t>
      </w:r>
      <w:proofErr w:type="spellStart"/>
      <w:r w:rsidRPr="005046AA">
        <w:rPr>
          <w:rFonts w:asciiTheme="majorBidi" w:eastAsia="Garamond" w:hAnsiTheme="majorBidi" w:cstheme="majorBidi"/>
          <w:sz w:val="24"/>
          <w:szCs w:val="24"/>
        </w:rPr>
        <w:t>ʿIrāqī</w:t>
      </w:r>
      <w:proofErr w:type="spellEnd"/>
      <w:r w:rsidRPr="005046AA">
        <w:rPr>
          <w:rFonts w:asciiTheme="majorBidi" w:eastAsia="Garamond" w:hAnsiTheme="majorBidi" w:cstheme="majorBidi"/>
          <w:sz w:val="24"/>
          <w:szCs w:val="24"/>
        </w:rPr>
        <w:t>, al-</w:t>
      </w:r>
      <w:proofErr w:type="spellStart"/>
      <w:r w:rsidRPr="005046AA">
        <w:rPr>
          <w:rFonts w:asciiTheme="majorBidi" w:eastAsia="Garamond" w:hAnsiTheme="majorBidi" w:cstheme="majorBidi"/>
          <w:sz w:val="24"/>
          <w:szCs w:val="24"/>
        </w:rPr>
        <w:t>Subkī</w:t>
      </w:r>
      <w:proofErr w:type="spellEnd"/>
      <w:r w:rsidRPr="005046AA">
        <w:rPr>
          <w:rFonts w:asciiTheme="majorBidi" w:eastAsia="Garamond" w:hAnsiTheme="majorBidi" w:cstheme="majorBidi"/>
          <w:sz w:val="24"/>
          <w:szCs w:val="24"/>
        </w:rPr>
        <w:t xml:space="preserve">, Mughal </w:t>
      </w:r>
      <w:proofErr w:type="spellStart"/>
      <w:r w:rsidRPr="005046AA">
        <w:rPr>
          <w:rFonts w:asciiTheme="majorBidi" w:eastAsia="Garamond" w:hAnsiTheme="majorBidi" w:cstheme="majorBidi"/>
          <w:sz w:val="24"/>
          <w:szCs w:val="24"/>
        </w:rPr>
        <w:t>Ṭāy</w:t>
      </w:r>
      <w:proofErr w:type="spellEnd"/>
      <w:r w:rsidRPr="005046AA">
        <w:rPr>
          <w:rFonts w:asciiTheme="majorBidi" w:eastAsia="Garamond" w:hAnsiTheme="majorBidi" w:cstheme="majorBidi"/>
          <w:sz w:val="24"/>
          <w:szCs w:val="24"/>
        </w:rPr>
        <w:t xml:space="preserve">, Ibn </w:t>
      </w:r>
      <w:proofErr w:type="spellStart"/>
      <w:r w:rsidRPr="005046AA">
        <w:rPr>
          <w:rFonts w:asciiTheme="majorBidi" w:eastAsia="Garamond" w:hAnsiTheme="majorBidi" w:cstheme="majorBidi"/>
          <w:sz w:val="24"/>
          <w:szCs w:val="24"/>
        </w:rPr>
        <w:t>Ḥajar</w:t>
      </w:r>
      <w:proofErr w:type="spellEnd"/>
      <w:r w:rsidRPr="005046AA">
        <w:rPr>
          <w:rFonts w:asciiTheme="majorBidi" w:eastAsia="Garamond" w:hAnsiTheme="majorBidi" w:cstheme="majorBidi"/>
          <w:sz w:val="24"/>
          <w:szCs w:val="24"/>
        </w:rPr>
        <w:t>, al-</w:t>
      </w:r>
      <w:proofErr w:type="spellStart"/>
      <w:r w:rsidRPr="005046AA">
        <w:rPr>
          <w:rFonts w:asciiTheme="majorBidi" w:eastAsia="Garamond" w:hAnsiTheme="majorBidi" w:cstheme="majorBidi"/>
          <w:sz w:val="24"/>
          <w:szCs w:val="24"/>
        </w:rPr>
        <w:t>Sakhāwī</w:t>
      </w:r>
      <w:proofErr w:type="spellEnd"/>
      <w:r w:rsidRPr="005046AA">
        <w:rPr>
          <w:rFonts w:asciiTheme="majorBidi" w:eastAsia="Garamond" w:hAnsiTheme="majorBidi" w:cstheme="majorBidi"/>
          <w:sz w:val="24"/>
          <w:szCs w:val="24"/>
        </w:rPr>
        <w:t xml:space="preserve"> and al-</w:t>
      </w:r>
      <w:proofErr w:type="spellStart"/>
      <w:r w:rsidRPr="005046AA">
        <w:rPr>
          <w:rFonts w:asciiTheme="majorBidi" w:eastAsia="Garamond" w:hAnsiTheme="majorBidi" w:cstheme="majorBidi"/>
          <w:sz w:val="24"/>
          <w:szCs w:val="24"/>
        </w:rPr>
        <w:t>Suyūtī</w:t>
      </w:r>
      <w:proofErr w:type="spellEnd"/>
      <w:r w:rsidRPr="005046AA">
        <w:rPr>
          <w:rFonts w:asciiTheme="majorBidi" w:eastAsia="Garamond" w:hAnsiTheme="majorBidi" w:cstheme="majorBidi"/>
          <w:sz w:val="24"/>
          <w:szCs w:val="24"/>
        </w:rPr>
        <w:t xml:space="preserve"> had quoted from this work.</w:t>
      </w:r>
      <w:r w:rsidRPr="005046AA">
        <w:rPr>
          <w:rStyle w:val="FootnoteReference"/>
          <w:rFonts w:asciiTheme="majorBidi" w:eastAsia="Garamond" w:hAnsiTheme="majorBidi" w:cstheme="majorBidi"/>
          <w:sz w:val="24"/>
          <w:szCs w:val="24"/>
        </w:rPr>
        <w:footnoteReference w:id="4"/>
      </w:r>
      <w:r w:rsidRPr="005046AA">
        <w:rPr>
          <w:rFonts w:asciiTheme="majorBidi" w:eastAsia="Garamond" w:hAnsiTheme="majorBidi" w:cstheme="majorBidi"/>
          <w:sz w:val="24"/>
          <w:szCs w:val="24"/>
        </w:rPr>
        <w:t xml:space="preserve"> al-</w:t>
      </w:r>
      <w:proofErr w:type="spellStart"/>
      <w:r w:rsidRPr="005046AA">
        <w:rPr>
          <w:rFonts w:asciiTheme="majorBidi" w:eastAsia="Garamond" w:hAnsiTheme="majorBidi" w:cstheme="majorBidi"/>
          <w:sz w:val="24"/>
          <w:szCs w:val="24"/>
        </w:rPr>
        <w:t>Nawawī</w:t>
      </w:r>
      <w:proofErr w:type="spellEnd"/>
      <w:r w:rsidRPr="005046AA">
        <w:rPr>
          <w:rFonts w:asciiTheme="majorBidi" w:eastAsia="Garamond" w:hAnsiTheme="majorBidi" w:cstheme="majorBidi"/>
          <w:sz w:val="24"/>
          <w:szCs w:val="24"/>
        </w:rPr>
        <w:t xml:space="preserve"> copied al-</w:t>
      </w:r>
      <w:proofErr w:type="spellStart"/>
      <w:r w:rsidRPr="005046AA">
        <w:rPr>
          <w:rFonts w:asciiTheme="majorBidi" w:eastAsia="Garamond" w:hAnsiTheme="majorBidi" w:cstheme="majorBidi"/>
          <w:sz w:val="24"/>
          <w:szCs w:val="24"/>
        </w:rPr>
        <w:t>Khaṭīb’s</w:t>
      </w:r>
      <w:proofErr w:type="spellEnd"/>
      <w:r w:rsidRPr="005046AA">
        <w:rPr>
          <w:rFonts w:asciiTheme="majorBidi" w:eastAsia="Garamond" w:hAnsiTheme="majorBidi" w:cstheme="majorBidi"/>
          <w:sz w:val="24"/>
          <w:szCs w:val="24"/>
        </w:rPr>
        <w:t xml:space="preserve"> comment on a </w:t>
      </w:r>
      <w:proofErr w:type="spellStart"/>
      <w:r w:rsidRPr="005046AA">
        <w:rPr>
          <w:rFonts w:asciiTheme="majorBidi" w:eastAsia="Garamond" w:hAnsiTheme="majorBidi" w:cstheme="majorBidi"/>
          <w:i/>
          <w:iCs/>
          <w:sz w:val="24"/>
          <w:szCs w:val="24"/>
        </w:rPr>
        <w:t>ḥadīth</w:t>
      </w:r>
      <w:proofErr w:type="spellEnd"/>
      <w:r w:rsidRPr="005046AA">
        <w:rPr>
          <w:rFonts w:asciiTheme="majorBidi" w:eastAsia="Garamond" w:hAnsiTheme="majorBidi" w:cstheme="majorBidi"/>
          <w:sz w:val="24"/>
          <w:szCs w:val="24"/>
        </w:rPr>
        <w:t xml:space="preserve"> from this work.</w:t>
      </w:r>
      <w:r w:rsidRPr="005046AA">
        <w:rPr>
          <w:rStyle w:val="FootnoteReference"/>
          <w:rFonts w:asciiTheme="majorBidi" w:eastAsia="Garamond" w:hAnsiTheme="majorBidi" w:cstheme="majorBidi"/>
          <w:sz w:val="24"/>
          <w:szCs w:val="24"/>
        </w:rPr>
        <w:footnoteReference w:id="5"/>
      </w:r>
      <w:r w:rsidRPr="005046AA">
        <w:rPr>
          <w:rFonts w:asciiTheme="majorBidi" w:eastAsia="Garamond" w:hAnsiTheme="majorBidi" w:cstheme="majorBidi"/>
          <w:sz w:val="24"/>
          <w:szCs w:val="24"/>
        </w:rPr>
        <w:t xml:space="preserve"> It is possible that the present manuscript is an abridged version of the original work by al-</w:t>
      </w:r>
      <w:proofErr w:type="spellStart"/>
      <w:r w:rsidRPr="005046AA">
        <w:rPr>
          <w:rFonts w:asciiTheme="majorBidi" w:eastAsia="Garamond" w:hAnsiTheme="majorBidi" w:cstheme="majorBidi"/>
          <w:sz w:val="24"/>
          <w:szCs w:val="24"/>
        </w:rPr>
        <w:t>Khaṭīb</w:t>
      </w:r>
      <w:proofErr w:type="spellEnd"/>
      <w:r w:rsidRPr="005046AA">
        <w:rPr>
          <w:rFonts w:asciiTheme="majorBidi" w:eastAsia="Garamond" w:hAnsiTheme="majorBidi" w:cstheme="majorBidi"/>
          <w:sz w:val="24"/>
          <w:szCs w:val="24"/>
        </w:rPr>
        <w:t>. However, if al-</w:t>
      </w:r>
      <w:proofErr w:type="spellStart"/>
      <w:r w:rsidRPr="005046AA">
        <w:rPr>
          <w:rFonts w:asciiTheme="majorBidi" w:eastAsia="Garamond" w:hAnsiTheme="majorBidi" w:cstheme="majorBidi"/>
          <w:sz w:val="24"/>
          <w:szCs w:val="24"/>
        </w:rPr>
        <w:t>Khaṭīb</w:t>
      </w:r>
      <w:proofErr w:type="spellEnd"/>
      <w:r w:rsidRPr="005046AA">
        <w:rPr>
          <w:rFonts w:asciiTheme="majorBidi" w:eastAsia="Garamond" w:hAnsiTheme="majorBidi" w:cstheme="majorBidi"/>
          <w:sz w:val="24"/>
          <w:szCs w:val="24"/>
        </w:rPr>
        <w:t xml:space="preserve"> himself omitted the </w:t>
      </w:r>
      <w:proofErr w:type="spellStart"/>
      <w:r w:rsidRPr="005046AA">
        <w:rPr>
          <w:rFonts w:asciiTheme="majorBidi" w:eastAsia="Garamond" w:hAnsiTheme="majorBidi" w:cstheme="majorBidi"/>
          <w:i/>
          <w:iCs/>
          <w:sz w:val="24"/>
          <w:szCs w:val="24"/>
        </w:rPr>
        <w:t>sanad</w:t>
      </w:r>
      <w:r w:rsidRPr="005046AA">
        <w:rPr>
          <w:rFonts w:asciiTheme="majorBidi" w:eastAsia="Garamond" w:hAnsiTheme="majorBidi" w:cstheme="majorBidi"/>
          <w:sz w:val="24"/>
          <w:szCs w:val="24"/>
        </w:rPr>
        <w:t>s</w:t>
      </w:r>
      <w:proofErr w:type="spellEnd"/>
      <w:r w:rsidRPr="005046AA">
        <w:rPr>
          <w:rFonts w:asciiTheme="majorBidi" w:eastAsia="Garamond" w:hAnsiTheme="majorBidi" w:cstheme="majorBidi"/>
          <w:sz w:val="24"/>
          <w:szCs w:val="24"/>
        </w:rPr>
        <w:t xml:space="preserve">, it reflects an escalation of this method amongst </w:t>
      </w:r>
      <w:proofErr w:type="spellStart"/>
      <w:r w:rsidRPr="005046AA">
        <w:rPr>
          <w:rFonts w:asciiTheme="majorBidi" w:eastAsia="Garamond" w:hAnsiTheme="majorBidi" w:cstheme="majorBidi"/>
          <w:i/>
          <w:iCs/>
          <w:sz w:val="24"/>
          <w:szCs w:val="24"/>
        </w:rPr>
        <w:t>ḥadīth</w:t>
      </w:r>
      <w:proofErr w:type="spellEnd"/>
      <w:r w:rsidRPr="005046AA">
        <w:rPr>
          <w:rFonts w:asciiTheme="majorBidi" w:eastAsia="Garamond" w:hAnsiTheme="majorBidi" w:cstheme="majorBidi"/>
          <w:sz w:val="24"/>
          <w:szCs w:val="24"/>
        </w:rPr>
        <w:t xml:space="preserve"> scholars from the contemporary of al-</w:t>
      </w:r>
      <w:proofErr w:type="spellStart"/>
      <w:r w:rsidRPr="005046AA">
        <w:rPr>
          <w:rFonts w:asciiTheme="majorBidi" w:eastAsia="Garamond" w:hAnsiTheme="majorBidi" w:cstheme="majorBidi"/>
          <w:sz w:val="24"/>
          <w:szCs w:val="24"/>
        </w:rPr>
        <w:t>Quḍāʿī</w:t>
      </w:r>
      <w:proofErr w:type="spellEnd"/>
      <w:r w:rsidRPr="005046AA">
        <w:rPr>
          <w:rFonts w:asciiTheme="majorBidi" w:eastAsia="Garamond" w:hAnsiTheme="majorBidi" w:cstheme="majorBidi"/>
          <w:sz w:val="24"/>
          <w:szCs w:val="24"/>
        </w:rPr>
        <w:t>.</w:t>
      </w:r>
    </w:p>
    <w:p w14:paraId="1553BD7D" w14:textId="0122DDC6" w:rsidR="003A1A78" w:rsidRPr="003A1A78" w:rsidRDefault="003A1A78" w:rsidP="003A1A78">
      <w:pPr>
        <w:pStyle w:val="ListParagraph"/>
        <w:widowControl w:val="0"/>
        <w:numPr>
          <w:ilvl w:val="0"/>
          <w:numId w:val="1"/>
        </w:numPr>
        <w:spacing w:line="360" w:lineRule="auto"/>
        <w:ind w:right="-40"/>
        <w:jc w:val="both"/>
        <w:rPr>
          <w:rFonts w:asciiTheme="majorBidi" w:eastAsia="Garamond" w:hAnsiTheme="majorBidi" w:cstheme="majorBidi"/>
          <w:sz w:val="24"/>
          <w:szCs w:val="24"/>
        </w:rPr>
      </w:pPr>
      <w:r w:rsidRPr="005046AA">
        <w:rPr>
          <w:rFonts w:asciiTheme="majorBidi" w:eastAsia="Garamond" w:hAnsiTheme="majorBidi" w:cstheme="majorBidi"/>
          <w:sz w:val="24"/>
          <w:szCs w:val="24"/>
        </w:rPr>
        <w:t xml:space="preserve">It seems that </w:t>
      </w:r>
      <w:proofErr w:type="spellStart"/>
      <w:r w:rsidRPr="005046AA">
        <w:rPr>
          <w:rFonts w:asciiTheme="majorBidi" w:eastAsia="Garamond" w:hAnsiTheme="majorBidi" w:cstheme="majorBidi"/>
          <w:sz w:val="24"/>
          <w:szCs w:val="24"/>
        </w:rPr>
        <w:t>Abū</w:t>
      </w:r>
      <w:proofErr w:type="spellEnd"/>
      <w:r w:rsidRPr="005046AA">
        <w:rPr>
          <w:rFonts w:asciiTheme="majorBidi" w:eastAsia="Garamond" w:hAnsiTheme="majorBidi" w:cstheme="majorBidi"/>
          <w:sz w:val="24"/>
          <w:szCs w:val="24"/>
        </w:rPr>
        <w:t xml:space="preserve"> Bakr </w:t>
      </w:r>
      <w:proofErr w:type="spellStart"/>
      <w:r w:rsidRPr="005046AA">
        <w:rPr>
          <w:rFonts w:asciiTheme="majorBidi" w:eastAsia="Garamond" w:hAnsiTheme="majorBidi" w:cstheme="majorBidi"/>
          <w:sz w:val="24"/>
          <w:szCs w:val="24"/>
        </w:rPr>
        <w:t>Muḥammad</w:t>
      </w:r>
      <w:proofErr w:type="spellEnd"/>
      <w:r w:rsidRPr="005046AA">
        <w:rPr>
          <w:rFonts w:asciiTheme="majorBidi" w:eastAsia="Garamond" w:hAnsiTheme="majorBidi" w:cstheme="majorBidi"/>
          <w:sz w:val="24"/>
          <w:szCs w:val="24"/>
        </w:rPr>
        <w:t xml:space="preserve"> ibn </w:t>
      </w:r>
      <w:proofErr w:type="spellStart"/>
      <w:r w:rsidRPr="005046AA">
        <w:rPr>
          <w:rFonts w:asciiTheme="majorBidi" w:eastAsia="Garamond" w:hAnsiTheme="majorBidi" w:cstheme="majorBidi"/>
          <w:sz w:val="24"/>
          <w:szCs w:val="24"/>
        </w:rPr>
        <w:t>ʿAbd</w:t>
      </w:r>
      <w:proofErr w:type="spellEnd"/>
      <w:r w:rsidRPr="005046AA">
        <w:rPr>
          <w:rFonts w:asciiTheme="majorBidi" w:eastAsia="Garamond" w:hAnsiTheme="majorBidi" w:cstheme="majorBidi"/>
          <w:sz w:val="24"/>
          <w:szCs w:val="24"/>
        </w:rPr>
        <w:t xml:space="preserve"> </w:t>
      </w:r>
      <w:proofErr w:type="spellStart"/>
      <w:r w:rsidRPr="005046AA">
        <w:rPr>
          <w:rFonts w:asciiTheme="majorBidi" w:eastAsia="Garamond" w:hAnsiTheme="majorBidi" w:cstheme="majorBidi"/>
          <w:sz w:val="24"/>
          <w:szCs w:val="24"/>
        </w:rPr>
        <w:t>Allāh</w:t>
      </w:r>
      <w:proofErr w:type="spellEnd"/>
      <w:r w:rsidRPr="005046AA">
        <w:rPr>
          <w:rFonts w:asciiTheme="majorBidi" w:eastAsia="Garamond" w:hAnsiTheme="majorBidi" w:cstheme="majorBidi"/>
          <w:sz w:val="24"/>
          <w:szCs w:val="24"/>
        </w:rPr>
        <w:t xml:space="preserve"> Ibn al-</w:t>
      </w:r>
      <w:proofErr w:type="spellStart"/>
      <w:r w:rsidRPr="005046AA">
        <w:rPr>
          <w:rFonts w:asciiTheme="majorBidi" w:eastAsia="Garamond" w:hAnsiTheme="majorBidi" w:cstheme="majorBidi"/>
          <w:sz w:val="24"/>
          <w:szCs w:val="24"/>
        </w:rPr>
        <w:t>ʿArabī</w:t>
      </w:r>
      <w:proofErr w:type="spellEnd"/>
      <w:r w:rsidRPr="005046AA">
        <w:rPr>
          <w:rFonts w:asciiTheme="majorBidi" w:eastAsia="Garamond" w:hAnsiTheme="majorBidi" w:cstheme="majorBidi"/>
          <w:sz w:val="24"/>
          <w:szCs w:val="24"/>
        </w:rPr>
        <w:t xml:space="preserve"> al-</w:t>
      </w:r>
      <w:proofErr w:type="spellStart"/>
      <w:r w:rsidRPr="005046AA">
        <w:rPr>
          <w:rFonts w:asciiTheme="majorBidi" w:eastAsia="Garamond" w:hAnsiTheme="majorBidi" w:cstheme="majorBidi"/>
          <w:sz w:val="24"/>
          <w:szCs w:val="24"/>
        </w:rPr>
        <w:t>Muʿāfirī</w:t>
      </w:r>
      <w:proofErr w:type="spellEnd"/>
      <w:r w:rsidRPr="005046AA">
        <w:rPr>
          <w:rFonts w:asciiTheme="majorBidi" w:eastAsia="Garamond" w:hAnsiTheme="majorBidi" w:cstheme="majorBidi"/>
          <w:sz w:val="24"/>
          <w:szCs w:val="24"/>
        </w:rPr>
        <w:t xml:space="preserve"> al-</w:t>
      </w:r>
      <w:proofErr w:type="spellStart"/>
      <w:r w:rsidRPr="005046AA">
        <w:rPr>
          <w:rFonts w:asciiTheme="majorBidi" w:eastAsia="Garamond" w:hAnsiTheme="majorBidi" w:cstheme="majorBidi"/>
          <w:sz w:val="24"/>
          <w:szCs w:val="24"/>
        </w:rPr>
        <w:t>Ishbīlī</w:t>
      </w:r>
      <w:proofErr w:type="spellEnd"/>
      <w:r w:rsidRPr="005046AA">
        <w:rPr>
          <w:rFonts w:asciiTheme="majorBidi" w:eastAsia="Garamond" w:hAnsiTheme="majorBidi" w:cstheme="majorBidi"/>
          <w:sz w:val="24"/>
          <w:szCs w:val="24"/>
        </w:rPr>
        <w:t xml:space="preserve"> (543AH) was also influenced by al-</w:t>
      </w:r>
      <w:proofErr w:type="spellStart"/>
      <w:r w:rsidRPr="005046AA">
        <w:rPr>
          <w:rFonts w:asciiTheme="majorBidi" w:eastAsia="Garamond" w:hAnsiTheme="majorBidi" w:cstheme="majorBidi"/>
          <w:sz w:val="24"/>
          <w:szCs w:val="24"/>
        </w:rPr>
        <w:t>Quḍāʿī</w:t>
      </w:r>
      <w:proofErr w:type="spellEnd"/>
      <w:r w:rsidRPr="005046AA">
        <w:rPr>
          <w:rFonts w:asciiTheme="majorBidi" w:eastAsia="Garamond" w:hAnsiTheme="majorBidi" w:cstheme="majorBidi"/>
          <w:sz w:val="24"/>
          <w:szCs w:val="24"/>
        </w:rPr>
        <w:t xml:space="preserve"> in his work </w:t>
      </w:r>
      <w:proofErr w:type="spellStart"/>
      <w:r w:rsidRPr="005046AA">
        <w:rPr>
          <w:rFonts w:asciiTheme="majorBidi" w:eastAsia="Garamond" w:hAnsiTheme="majorBidi" w:cstheme="majorBidi"/>
          <w:i/>
          <w:iCs/>
          <w:sz w:val="24"/>
          <w:szCs w:val="24"/>
        </w:rPr>
        <w:t>Sirāj</w:t>
      </w:r>
      <w:proofErr w:type="spellEnd"/>
      <w:r w:rsidRPr="005046AA">
        <w:rPr>
          <w:rFonts w:asciiTheme="majorBidi" w:eastAsia="Garamond" w:hAnsiTheme="majorBidi" w:cstheme="majorBidi"/>
          <w:i/>
          <w:iCs/>
          <w:sz w:val="24"/>
          <w:szCs w:val="24"/>
        </w:rPr>
        <w:t xml:space="preserve"> al-</w:t>
      </w:r>
      <w:proofErr w:type="spellStart"/>
      <w:r w:rsidRPr="005046AA">
        <w:rPr>
          <w:rFonts w:asciiTheme="majorBidi" w:eastAsia="Garamond" w:hAnsiTheme="majorBidi" w:cstheme="majorBidi"/>
          <w:i/>
          <w:iCs/>
          <w:sz w:val="24"/>
          <w:szCs w:val="24"/>
        </w:rPr>
        <w:t>Muhtadīn</w:t>
      </w:r>
      <w:proofErr w:type="spellEnd"/>
      <w:r w:rsidRPr="005046AA">
        <w:rPr>
          <w:rFonts w:asciiTheme="majorBidi" w:eastAsia="Garamond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5046AA">
        <w:rPr>
          <w:rFonts w:asciiTheme="majorBidi" w:eastAsia="Garamond" w:hAnsiTheme="majorBidi" w:cstheme="majorBidi"/>
          <w:i/>
          <w:iCs/>
          <w:sz w:val="24"/>
          <w:szCs w:val="24"/>
        </w:rPr>
        <w:t>fī</w:t>
      </w:r>
      <w:proofErr w:type="spellEnd"/>
      <w:r w:rsidRPr="005046AA">
        <w:rPr>
          <w:rFonts w:asciiTheme="majorBidi" w:eastAsia="Garamond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5046AA">
        <w:rPr>
          <w:rFonts w:asciiTheme="majorBidi" w:eastAsia="Garamond" w:hAnsiTheme="majorBidi" w:cstheme="majorBidi"/>
          <w:i/>
          <w:iCs/>
          <w:sz w:val="24"/>
          <w:szCs w:val="24"/>
        </w:rPr>
        <w:t>Ādāb</w:t>
      </w:r>
      <w:proofErr w:type="spellEnd"/>
      <w:r w:rsidRPr="005046AA">
        <w:rPr>
          <w:rFonts w:asciiTheme="majorBidi" w:eastAsia="Garamond" w:hAnsiTheme="majorBidi" w:cstheme="majorBidi"/>
          <w:i/>
          <w:iCs/>
          <w:sz w:val="24"/>
          <w:szCs w:val="24"/>
        </w:rPr>
        <w:t xml:space="preserve"> al-</w:t>
      </w:r>
      <w:proofErr w:type="spellStart"/>
      <w:r w:rsidRPr="005046AA">
        <w:rPr>
          <w:rFonts w:asciiTheme="majorBidi" w:eastAsia="Garamond" w:hAnsiTheme="majorBidi" w:cstheme="majorBidi"/>
          <w:i/>
          <w:iCs/>
          <w:sz w:val="24"/>
          <w:szCs w:val="24"/>
        </w:rPr>
        <w:t>Ṣāliḥīn</w:t>
      </w:r>
      <w:proofErr w:type="spellEnd"/>
      <w:r w:rsidRPr="005046AA">
        <w:rPr>
          <w:rFonts w:asciiTheme="majorBidi" w:eastAsia="Garamond" w:hAnsiTheme="majorBidi" w:cstheme="majorBidi"/>
          <w:sz w:val="24"/>
          <w:szCs w:val="24"/>
        </w:rPr>
        <w:t xml:space="preserve">. The modern editor of the work, </w:t>
      </w:r>
      <w:proofErr w:type="spellStart"/>
      <w:r w:rsidRPr="005046AA">
        <w:rPr>
          <w:rFonts w:asciiTheme="majorBidi" w:eastAsia="Garamond" w:hAnsiTheme="majorBidi" w:cstheme="majorBidi"/>
          <w:sz w:val="24"/>
          <w:szCs w:val="24"/>
        </w:rPr>
        <w:t>Muḥammad</w:t>
      </w:r>
      <w:proofErr w:type="spellEnd"/>
      <w:r w:rsidRPr="005046AA">
        <w:rPr>
          <w:rFonts w:asciiTheme="majorBidi" w:eastAsia="Garamond" w:hAnsiTheme="majorBidi" w:cstheme="majorBidi"/>
          <w:sz w:val="24"/>
          <w:szCs w:val="24"/>
        </w:rPr>
        <w:t xml:space="preserve"> ibn al-</w:t>
      </w:r>
      <w:proofErr w:type="spellStart"/>
      <w:r w:rsidRPr="005046AA">
        <w:rPr>
          <w:rFonts w:asciiTheme="majorBidi" w:eastAsia="Garamond" w:hAnsiTheme="majorBidi" w:cstheme="majorBidi"/>
          <w:sz w:val="24"/>
          <w:szCs w:val="24"/>
        </w:rPr>
        <w:t>Amīn</w:t>
      </w:r>
      <w:proofErr w:type="spellEnd"/>
      <w:r w:rsidRPr="005046AA">
        <w:rPr>
          <w:rFonts w:asciiTheme="majorBidi" w:eastAsia="Garamond" w:hAnsiTheme="majorBidi" w:cstheme="majorBidi"/>
          <w:sz w:val="24"/>
          <w:szCs w:val="24"/>
        </w:rPr>
        <w:t xml:space="preserve"> </w:t>
      </w:r>
      <w:proofErr w:type="spellStart"/>
      <w:r w:rsidRPr="005046AA">
        <w:rPr>
          <w:rFonts w:asciiTheme="majorBidi" w:eastAsia="Garamond" w:hAnsiTheme="majorBidi" w:cstheme="majorBidi"/>
          <w:sz w:val="24"/>
          <w:szCs w:val="24"/>
        </w:rPr>
        <w:t>Bū</w:t>
      </w:r>
      <w:proofErr w:type="spellEnd"/>
      <w:r w:rsidRPr="005046AA">
        <w:rPr>
          <w:rFonts w:asciiTheme="majorBidi" w:eastAsia="Garamond" w:hAnsiTheme="majorBidi" w:cstheme="majorBidi"/>
          <w:sz w:val="24"/>
          <w:szCs w:val="24"/>
        </w:rPr>
        <w:t xml:space="preserve"> </w:t>
      </w:r>
      <w:proofErr w:type="spellStart"/>
      <w:r w:rsidRPr="005046AA">
        <w:rPr>
          <w:rFonts w:asciiTheme="majorBidi" w:eastAsia="Garamond" w:hAnsiTheme="majorBidi" w:cstheme="majorBidi"/>
          <w:sz w:val="24"/>
          <w:szCs w:val="24"/>
        </w:rPr>
        <w:t>Khubzah</w:t>
      </w:r>
      <w:proofErr w:type="spellEnd"/>
      <w:r w:rsidRPr="005046AA">
        <w:rPr>
          <w:rFonts w:asciiTheme="majorBidi" w:eastAsia="Garamond" w:hAnsiTheme="majorBidi" w:cstheme="majorBidi"/>
          <w:sz w:val="24"/>
          <w:szCs w:val="24"/>
        </w:rPr>
        <w:t xml:space="preserve"> remarked that Ibn al-</w:t>
      </w:r>
      <w:proofErr w:type="spellStart"/>
      <w:r w:rsidRPr="005046AA">
        <w:rPr>
          <w:rFonts w:asciiTheme="majorBidi" w:eastAsia="Garamond" w:hAnsiTheme="majorBidi" w:cstheme="majorBidi"/>
          <w:sz w:val="24"/>
          <w:szCs w:val="24"/>
        </w:rPr>
        <w:t>ʿArabī</w:t>
      </w:r>
      <w:proofErr w:type="spellEnd"/>
      <w:r w:rsidRPr="005046AA">
        <w:rPr>
          <w:rFonts w:asciiTheme="majorBidi" w:eastAsia="Garamond" w:hAnsiTheme="majorBidi" w:cstheme="majorBidi"/>
          <w:sz w:val="24"/>
          <w:szCs w:val="24"/>
        </w:rPr>
        <w:t xml:space="preserve"> emulated al-</w:t>
      </w:r>
      <w:proofErr w:type="spellStart"/>
      <w:r w:rsidRPr="005046AA">
        <w:rPr>
          <w:rFonts w:asciiTheme="majorBidi" w:eastAsia="Garamond" w:hAnsiTheme="majorBidi" w:cstheme="majorBidi"/>
          <w:sz w:val="24"/>
          <w:szCs w:val="24"/>
        </w:rPr>
        <w:t>Quḍāʿī</w:t>
      </w:r>
      <w:proofErr w:type="spellEnd"/>
      <w:r w:rsidRPr="005046AA">
        <w:rPr>
          <w:rFonts w:asciiTheme="majorBidi" w:eastAsia="Garamond" w:hAnsiTheme="majorBidi" w:cstheme="majorBidi"/>
          <w:sz w:val="24"/>
          <w:szCs w:val="24"/>
        </w:rPr>
        <w:t xml:space="preserve"> in his style but the former attempted to avoid the inclusion of </w:t>
      </w:r>
      <w:proofErr w:type="spellStart"/>
      <w:r w:rsidRPr="005046AA">
        <w:rPr>
          <w:rFonts w:asciiTheme="majorBidi" w:eastAsia="Garamond" w:hAnsiTheme="majorBidi" w:cstheme="majorBidi"/>
          <w:i/>
          <w:iCs/>
          <w:sz w:val="24"/>
          <w:szCs w:val="24"/>
        </w:rPr>
        <w:t>ḥad</w:t>
      </w:r>
      <w:r w:rsidRPr="003A1A78">
        <w:rPr>
          <w:rFonts w:asciiTheme="majorBidi" w:eastAsia="Garamond" w:hAnsiTheme="majorBidi" w:cstheme="majorBidi"/>
          <w:i/>
          <w:iCs/>
        </w:rPr>
        <w:t>īth</w:t>
      </w:r>
      <w:r w:rsidRPr="003A1A78">
        <w:rPr>
          <w:rFonts w:asciiTheme="majorBidi" w:eastAsia="Garamond" w:hAnsiTheme="majorBidi" w:cstheme="majorBidi"/>
        </w:rPr>
        <w:t>s</w:t>
      </w:r>
      <w:proofErr w:type="spellEnd"/>
      <w:r w:rsidRPr="003A1A78">
        <w:rPr>
          <w:rFonts w:asciiTheme="majorBidi" w:eastAsia="Garamond" w:hAnsiTheme="majorBidi" w:cstheme="majorBidi"/>
        </w:rPr>
        <w:t xml:space="preserve"> he evaluated as weak and highly unreliable.</w:t>
      </w:r>
      <w:r w:rsidRPr="005046AA">
        <w:rPr>
          <w:rStyle w:val="FootnoteReference"/>
          <w:rFonts w:asciiTheme="majorBidi" w:eastAsia="Garamond" w:hAnsiTheme="majorBidi" w:cstheme="majorBidi"/>
          <w:sz w:val="24"/>
          <w:szCs w:val="24"/>
        </w:rPr>
        <w:footnoteReference w:id="6"/>
      </w:r>
    </w:p>
    <w:p w14:paraId="457A2E1B" w14:textId="77777777" w:rsidR="003A1A78" w:rsidRPr="003A1A78" w:rsidRDefault="003A1A78" w:rsidP="003A1A78">
      <w:pPr>
        <w:pStyle w:val="ListParagraph"/>
        <w:widowControl w:val="0"/>
        <w:numPr>
          <w:ilvl w:val="0"/>
          <w:numId w:val="1"/>
        </w:numPr>
        <w:spacing w:line="360" w:lineRule="auto"/>
        <w:rPr>
          <w:rFonts w:eastAsia="SimSun"/>
          <w:b/>
          <w:bCs/>
          <w:kern w:val="2"/>
          <w:lang w:eastAsia="zh-CN"/>
        </w:rPr>
      </w:pPr>
      <w:r w:rsidRPr="003A1A78">
        <w:rPr>
          <w:rFonts w:eastAsia="SimSun"/>
          <w:b/>
          <w:bCs/>
          <w:kern w:val="2"/>
          <w:lang w:eastAsia="zh-CN"/>
        </w:rPr>
        <w:t>Conclusion</w:t>
      </w:r>
    </w:p>
    <w:p w14:paraId="7B4791F1" w14:textId="77777777" w:rsidR="003A1A78" w:rsidRPr="003A1A78" w:rsidRDefault="003A1A78" w:rsidP="003A1A7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</w:rPr>
      </w:pPr>
      <w:r w:rsidRPr="003A1A78">
        <w:rPr>
          <w:rFonts w:asciiTheme="majorBidi" w:hAnsiTheme="majorBidi" w:cstheme="majorBidi"/>
        </w:rPr>
        <w:t xml:space="preserve">The history of </w:t>
      </w:r>
      <w:proofErr w:type="spellStart"/>
      <w:r w:rsidRPr="003A1A78">
        <w:rPr>
          <w:rFonts w:asciiTheme="majorBidi" w:hAnsiTheme="majorBidi" w:cstheme="majorBidi"/>
          <w:i/>
          <w:iCs/>
        </w:rPr>
        <w:t>sanad</w:t>
      </w:r>
      <w:proofErr w:type="spellEnd"/>
      <w:r w:rsidRPr="003A1A78">
        <w:rPr>
          <w:rFonts w:asciiTheme="majorBidi" w:hAnsiTheme="majorBidi" w:cstheme="majorBidi"/>
        </w:rPr>
        <w:t xml:space="preserve"> and </w:t>
      </w:r>
      <w:proofErr w:type="spellStart"/>
      <w:r w:rsidRPr="003A1A78">
        <w:rPr>
          <w:rFonts w:asciiTheme="majorBidi" w:hAnsiTheme="majorBidi" w:cstheme="majorBidi"/>
          <w:i/>
          <w:iCs/>
        </w:rPr>
        <w:t>isnād</w:t>
      </w:r>
      <w:proofErr w:type="spellEnd"/>
      <w:r w:rsidRPr="003A1A78">
        <w:rPr>
          <w:rFonts w:asciiTheme="majorBidi" w:hAnsiTheme="majorBidi" w:cstheme="majorBidi"/>
        </w:rPr>
        <w:t xml:space="preserve"> lies at the heart of the construct of Islamic intellectual tradition, especially for the Sunnis, since </w:t>
      </w:r>
      <w:proofErr w:type="spellStart"/>
      <w:r w:rsidRPr="003A1A78">
        <w:rPr>
          <w:rFonts w:asciiTheme="majorBidi" w:hAnsiTheme="majorBidi" w:cstheme="majorBidi"/>
          <w:i/>
          <w:iCs/>
        </w:rPr>
        <w:t>sanad</w:t>
      </w:r>
      <w:proofErr w:type="spellEnd"/>
      <w:r w:rsidRPr="003A1A78">
        <w:rPr>
          <w:rFonts w:asciiTheme="majorBidi" w:hAnsiTheme="majorBidi" w:cstheme="majorBidi"/>
        </w:rPr>
        <w:t xml:space="preserve"> forms the foundational blocks for the legitimacy of traditions received from the past. However, dating the systematisation of </w:t>
      </w:r>
      <w:proofErr w:type="spellStart"/>
      <w:r w:rsidRPr="003A1A78">
        <w:rPr>
          <w:rFonts w:asciiTheme="majorBidi" w:hAnsiTheme="majorBidi" w:cstheme="majorBidi"/>
          <w:i/>
          <w:iCs/>
        </w:rPr>
        <w:t>sanad</w:t>
      </w:r>
      <w:proofErr w:type="spellEnd"/>
      <w:r w:rsidRPr="003A1A78">
        <w:rPr>
          <w:rFonts w:asciiTheme="majorBidi" w:hAnsiTheme="majorBidi" w:cstheme="majorBidi"/>
        </w:rPr>
        <w:t xml:space="preserve"> has been a subject of debate </w:t>
      </w:r>
      <w:r w:rsidRPr="003A1A78">
        <w:rPr>
          <w:rFonts w:asciiTheme="majorBidi" w:hAnsiTheme="majorBidi" w:cstheme="majorBidi"/>
        </w:rPr>
        <w:lastRenderedPageBreak/>
        <w:t xml:space="preserve">in modern scholarship following the development of certain philosophies and methodologies in historical research. The present author proposes a general timeline for the history of </w:t>
      </w:r>
      <w:proofErr w:type="spellStart"/>
      <w:r w:rsidRPr="003A1A78">
        <w:rPr>
          <w:rFonts w:asciiTheme="majorBidi" w:hAnsiTheme="majorBidi" w:cstheme="majorBidi"/>
          <w:i/>
          <w:iCs/>
        </w:rPr>
        <w:t>sanad</w:t>
      </w:r>
      <w:proofErr w:type="spellEnd"/>
      <w:r w:rsidRPr="003A1A78">
        <w:rPr>
          <w:rFonts w:asciiTheme="majorBidi" w:hAnsiTheme="majorBidi" w:cstheme="majorBidi"/>
        </w:rPr>
        <w:t xml:space="preserve"> consisting of four phases: 1) conversational </w:t>
      </w:r>
      <w:proofErr w:type="spellStart"/>
      <w:r w:rsidRPr="003A1A78">
        <w:rPr>
          <w:rFonts w:asciiTheme="majorBidi" w:hAnsiTheme="majorBidi" w:cstheme="majorBidi"/>
          <w:i/>
          <w:iCs/>
        </w:rPr>
        <w:t>sanad</w:t>
      </w:r>
      <w:proofErr w:type="spellEnd"/>
      <w:r w:rsidRPr="003A1A78">
        <w:rPr>
          <w:rFonts w:asciiTheme="majorBidi" w:hAnsiTheme="majorBidi" w:cstheme="majorBidi"/>
        </w:rPr>
        <w:t xml:space="preserve">, 2) confessional </w:t>
      </w:r>
      <w:proofErr w:type="spellStart"/>
      <w:r w:rsidRPr="003A1A78">
        <w:rPr>
          <w:rFonts w:asciiTheme="majorBidi" w:hAnsiTheme="majorBidi" w:cstheme="majorBidi"/>
          <w:i/>
          <w:iCs/>
        </w:rPr>
        <w:t>sanad</w:t>
      </w:r>
      <w:proofErr w:type="spellEnd"/>
      <w:r w:rsidRPr="003A1A78">
        <w:rPr>
          <w:rFonts w:asciiTheme="majorBidi" w:hAnsiTheme="majorBidi" w:cstheme="majorBidi"/>
        </w:rPr>
        <w:t xml:space="preserve">, 3) critical </w:t>
      </w:r>
      <w:proofErr w:type="spellStart"/>
      <w:r w:rsidRPr="003A1A78">
        <w:rPr>
          <w:rFonts w:asciiTheme="majorBidi" w:hAnsiTheme="majorBidi" w:cstheme="majorBidi"/>
          <w:i/>
          <w:iCs/>
        </w:rPr>
        <w:t>sanad</w:t>
      </w:r>
      <w:proofErr w:type="spellEnd"/>
      <w:r w:rsidRPr="003A1A78">
        <w:rPr>
          <w:rFonts w:asciiTheme="majorBidi" w:hAnsiTheme="majorBidi" w:cstheme="majorBidi"/>
        </w:rPr>
        <w:t xml:space="preserve">, and 4) customary </w:t>
      </w:r>
      <w:proofErr w:type="spellStart"/>
      <w:r w:rsidRPr="003A1A78">
        <w:rPr>
          <w:rFonts w:asciiTheme="majorBidi" w:hAnsiTheme="majorBidi" w:cstheme="majorBidi"/>
          <w:i/>
          <w:iCs/>
        </w:rPr>
        <w:t>sanad</w:t>
      </w:r>
      <w:proofErr w:type="spellEnd"/>
      <w:r w:rsidRPr="003A1A78">
        <w:rPr>
          <w:rFonts w:asciiTheme="majorBidi" w:hAnsiTheme="majorBidi" w:cstheme="majorBidi"/>
        </w:rPr>
        <w:t xml:space="preserve">. To address the main question of this paper which is “who first omitted </w:t>
      </w:r>
      <w:proofErr w:type="spellStart"/>
      <w:r w:rsidRPr="003A1A78">
        <w:rPr>
          <w:rFonts w:asciiTheme="majorBidi" w:hAnsiTheme="majorBidi" w:cstheme="majorBidi"/>
          <w:i/>
          <w:iCs/>
        </w:rPr>
        <w:t>sanad</w:t>
      </w:r>
      <w:r w:rsidRPr="003A1A78">
        <w:rPr>
          <w:rFonts w:asciiTheme="majorBidi" w:hAnsiTheme="majorBidi" w:cstheme="majorBidi"/>
        </w:rPr>
        <w:t>s</w:t>
      </w:r>
      <w:proofErr w:type="spellEnd"/>
      <w:r w:rsidRPr="003A1A78">
        <w:rPr>
          <w:rFonts w:asciiTheme="majorBidi" w:hAnsiTheme="majorBidi" w:cstheme="majorBidi"/>
        </w:rPr>
        <w:t xml:space="preserve"> from a </w:t>
      </w:r>
      <w:proofErr w:type="spellStart"/>
      <w:r w:rsidRPr="003A1A78">
        <w:rPr>
          <w:rFonts w:asciiTheme="majorBidi" w:hAnsiTheme="majorBidi" w:cstheme="majorBidi"/>
          <w:i/>
          <w:iCs/>
        </w:rPr>
        <w:t>ḥadīth</w:t>
      </w:r>
      <w:proofErr w:type="spellEnd"/>
      <w:r w:rsidRPr="003A1A78">
        <w:rPr>
          <w:rFonts w:asciiTheme="majorBidi" w:hAnsiTheme="majorBidi" w:cstheme="majorBidi"/>
        </w:rPr>
        <w:t xml:space="preserve"> work amongst the </w:t>
      </w:r>
      <w:proofErr w:type="spellStart"/>
      <w:r w:rsidRPr="003A1A78">
        <w:rPr>
          <w:rFonts w:asciiTheme="majorBidi" w:hAnsiTheme="majorBidi" w:cstheme="majorBidi"/>
          <w:i/>
          <w:iCs/>
        </w:rPr>
        <w:t>muḥaddithūn</w:t>
      </w:r>
      <w:proofErr w:type="spellEnd"/>
      <w:r w:rsidRPr="003A1A78">
        <w:rPr>
          <w:rFonts w:asciiTheme="majorBidi" w:hAnsiTheme="majorBidi" w:cstheme="majorBidi"/>
        </w:rPr>
        <w:t xml:space="preserve">?”, the author highlights the </w:t>
      </w:r>
      <w:proofErr w:type="spellStart"/>
      <w:r w:rsidRPr="003A1A78">
        <w:rPr>
          <w:rFonts w:asciiTheme="majorBidi" w:hAnsiTheme="majorBidi" w:cstheme="majorBidi"/>
          <w:i/>
          <w:iCs/>
        </w:rPr>
        <w:t>mujarrad-musnad</w:t>
      </w:r>
      <w:proofErr w:type="spellEnd"/>
      <w:r w:rsidRPr="003A1A78">
        <w:rPr>
          <w:rFonts w:asciiTheme="majorBidi" w:hAnsiTheme="majorBidi" w:cstheme="majorBidi"/>
        </w:rPr>
        <w:t xml:space="preserve"> method introduced by the fifth </w:t>
      </w:r>
      <w:proofErr w:type="spellStart"/>
      <w:r w:rsidRPr="003A1A78">
        <w:rPr>
          <w:rFonts w:asciiTheme="majorBidi" w:hAnsiTheme="majorBidi" w:cstheme="majorBidi"/>
        </w:rPr>
        <w:t>Hijrī</w:t>
      </w:r>
      <w:proofErr w:type="spellEnd"/>
      <w:r w:rsidRPr="003A1A78">
        <w:rPr>
          <w:rFonts w:asciiTheme="majorBidi" w:hAnsiTheme="majorBidi" w:cstheme="majorBidi"/>
        </w:rPr>
        <w:t xml:space="preserve"> century Egyptian judge, </w:t>
      </w:r>
      <w:proofErr w:type="spellStart"/>
      <w:r w:rsidRPr="003A1A78">
        <w:rPr>
          <w:rFonts w:asciiTheme="majorBidi" w:hAnsiTheme="majorBidi" w:cstheme="majorBidi"/>
        </w:rPr>
        <w:t>Muḥammad</w:t>
      </w:r>
      <w:proofErr w:type="spellEnd"/>
      <w:r w:rsidRPr="003A1A78">
        <w:rPr>
          <w:rFonts w:asciiTheme="majorBidi" w:hAnsiTheme="majorBidi" w:cstheme="majorBidi"/>
        </w:rPr>
        <w:t xml:space="preserve"> ibn </w:t>
      </w:r>
      <w:proofErr w:type="spellStart"/>
      <w:r w:rsidRPr="003A1A78">
        <w:rPr>
          <w:rFonts w:asciiTheme="majorBidi" w:hAnsiTheme="majorBidi" w:cstheme="majorBidi"/>
        </w:rPr>
        <w:t>Salāmah</w:t>
      </w:r>
      <w:proofErr w:type="spellEnd"/>
      <w:r w:rsidRPr="003A1A78">
        <w:rPr>
          <w:rFonts w:asciiTheme="majorBidi" w:hAnsiTheme="majorBidi" w:cstheme="majorBidi"/>
        </w:rPr>
        <w:t xml:space="preserve"> al-</w:t>
      </w:r>
      <w:proofErr w:type="spellStart"/>
      <w:r w:rsidRPr="003A1A78">
        <w:rPr>
          <w:rFonts w:asciiTheme="majorBidi" w:hAnsiTheme="majorBidi" w:cstheme="majorBidi"/>
        </w:rPr>
        <w:t>Quḍāʿī</w:t>
      </w:r>
      <w:proofErr w:type="spellEnd"/>
      <w:r w:rsidRPr="003A1A78">
        <w:rPr>
          <w:rFonts w:asciiTheme="majorBidi" w:hAnsiTheme="majorBidi" w:cstheme="majorBidi"/>
        </w:rPr>
        <w:t xml:space="preserve">. The scholar has been an inspiration for later </w:t>
      </w:r>
      <w:proofErr w:type="spellStart"/>
      <w:r w:rsidRPr="003A1A78">
        <w:rPr>
          <w:rFonts w:asciiTheme="majorBidi" w:hAnsiTheme="majorBidi" w:cstheme="majorBidi"/>
          <w:i/>
          <w:iCs/>
        </w:rPr>
        <w:t>ḥadīth</w:t>
      </w:r>
      <w:proofErr w:type="spellEnd"/>
      <w:r w:rsidRPr="003A1A78">
        <w:rPr>
          <w:rFonts w:asciiTheme="majorBidi" w:hAnsiTheme="majorBidi" w:cstheme="majorBidi"/>
        </w:rPr>
        <w:t xml:space="preserve"> scholars in the exercise of </w:t>
      </w:r>
      <w:proofErr w:type="spellStart"/>
      <w:r w:rsidRPr="003A1A78">
        <w:rPr>
          <w:rFonts w:asciiTheme="majorBidi" w:hAnsiTheme="majorBidi" w:cstheme="majorBidi"/>
          <w:i/>
          <w:iCs/>
        </w:rPr>
        <w:t>tajrīd</w:t>
      </w:r>
      <w:proofErr w:type="spellEnd"/>
      <w:r w:rsidRPr="003A1A78">
        <w:rPr>
          <w:rFonts w:asciiTheme="majorBidi" w:hAnsiTheme="majorBidi" w:cstheme="majorBidi"/>
        </w:rPr>
        <w:t xml:space="preserve">, and since his work </w:t>
      </w:r>
      <w:proofErr w:type="spellStart"/>
      <w:r w:rsidRPr="003A1A78">
        <w:rPr>
          <w:rFonts w:asciiTheme="majorBidi" w:hAnsiTheme="majorBidi" w:cstheme="majorBidi"/>
          <w:i/>
          <w:iCs/>
        </w:rPr>
        <w:t>Shihāb</w:t>
      </w:r>
      <w:proofErr w:type="spellEnd"/>
      <w:r w:rsidRPr="003A1A78">
        <w:rPr>
          <w:rFonts w:asciiTheme="majorBidi" w:hAnsiTheme="majorBidi" w:cstheme="majorBidi"/>
          <w:i/>
          <w:iCs/>
        </w:rPr>
        <w:t xml:space="preserve"> al-</w:t>
      </w:r>
      <w:proofErr w:type="spellStart"/>
      <w:r w:rsidRPr="003A1A78">
        <w:rPr>
          <w:rFonts w:asciiTheme="majorBidi" w:hAnsiTheme="majorBidi" w:cstheme="majorBidi"/>
          <w:i/>
          <w:iCs/>
        </w:rPr>
        <w:t>Akhbār</w:t>
      </w:r>
      <w:proofErr w:type="spellEnd"/>
      <w:r w:rsidRPr="003A1A78">
        <w:rPr>
          <w:rFonts w:asciiTheme="majorBidi" w:hAnsiTheme="majorBidi" w:cstheme="majorBidi"/>
        </w:rPr>
        <w:t xml:space="preserve"> receives wide acceptance and students of </w:t>
      </w:r>
      <w:proofErr w:type="spellStart"/>
      <w:r w:rsidRPr="003A1A78">
        <w:rPr>
          <w:rFonts w:asciiTheme="majorBidi" w:hAnsiTheme="majorBidi" w:cstheme="majorBidi"/>
          <w:i/>
          <w:iCs/>
        </w:rPr>
        <w:t>ḥadīth</w:t>
      </w:r>
      <w:proofErr w:type="spellEnd"/>
      <w:r w:rsidRPr="003A1A78">
        <w:rPr>
          <w:rFonts w:asciiTheme="majorBidi" w:hAnsiTheme="majorBidi" w:cstheme="majorBidi"/>
        </w:rPr>
        <w:t xml:space="preserve"> have been encouraged to memorise it, others emulated his approach. It is important to note that the </w:t>
      </w:r>
      <w:proofErr w:type="spellStart"/>
      <w:r w:rsidRPr="003A1A78">
        <w:rPr>
          <w:rFonts w:asciiTheme="majorBidi" w:hAnsiTheme="majorBidi" w:cstheme="majorBidi"/>
          <w:i/>
          <w:iCs/>
        </w:rPr>
        <w:t>mujarrad-musnad</w:t>
      </w:r>
      <w:proofErr w:type="spellEnd"/>
      <w:r w:rsidRPr="003A1A78">
        <w:rPr>
          <w:rFonts w:asciiTheme="majorBidi" w:hAnsiTheme="majorBidi" w:cstheme="majorBidi"/>
        </w:rPr>
        <w:t xml:space="preserve"> method did not compromise the authority of </w:t>
      </w:r>
      <w:proofErr w:type="spellStart"/>
      <w:r w:rsidRPr="003A1A78">
        <w:rPr>
          <w:rFonts w:asciiTheme="majorBidi" w:hAnsiTheme="majorBidi" w:cstheme="majorBidi"/>
          <w:i/>
          <w:iCs/>
        </w:rPr>
        <w:t>sanad</w:t>
      </w:r>
      <w:proofErr w:type="spellEnd"/>
      <w:r w:rsidRPr="003A1A78">
        <w:rPr>
          <w:rFonts w:asciiTheme="majorBidi" w:hAnsiTheme="majorBidi" w:cstheme="majorBidi"/>
        </w:rPr>
        <w:t xml:space="preserve">. It is rather observed that </w:t>
      </w:r>
      <w:proofErr w:type="spellStart"/>
      <w:r w:rsidRPr="003A1A78">
        <w:rPr>
          <w:rFonts w:asciiTheme="majorBidi" w:hAnsiTheme="majorBidi" w:cstheme="majorBidi"/>
          <w:i/>
          <w:iCs/>
        </w:rPr>
        <w:t>tajrīd</w:t>
      </w:r>
      <w:proofErr w:type="spellEnd"/>
      <w:r w:rsidRPr="003A1A78">
        <w:rPr>
          <w:rFonts w:asciiTheme="majorBidi" w:hAnsiTheme="majorBidi" w:cstheme="majorBidi"/>
        </w:rPr>
        <w:t xml:space="preserve"> has contributed to the extensive dissemination of </w:t>
      </w:r>
      <w:proofErr w:type="spellStart"/>
      <w:r w:rsidRPr="003A1A78">
        <w:rPr>
          <w:rFonts w:asciiTheme="majorBidi" w:hAnsiTheme="majorBidi" w:cstheme="majorBidi"/>
          <w:i/>
          <w:iCs/>
        </w:rPr>
        <w:t>ḥadīth</w:t>
      </w:r>
      <w:proofErr w:type="spellEnd"/>
      <w:r w:rsidRPr="003A1A78">
        <w:rPr>
          <w:rFonts w:asciiTheme="majorBidi" w:hAnsiTheme="majorBidi" w:cstheme="majorBidi"/>
        </w:rPr>
        <w:t xml:space="preserve"> in later Muslim communities.</w:t>
      </w:r>
    </w:p>
    <w:p w14:paraId="03B6C1B1" w14:textId="77777777" w:rsidR="003A1A78" w:rsidRDefault="003A1A78" w:rsidP="003A1A78">
      <w:pPr>
        <w:pStyle w:val="FootnoteText"/>
        <w:spacing w:line="360" w:lineRule="auto"/>
        <w:ind w:left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</w:pPr>
    </w:p>
    <w:p w14:paraId="15314F96" w14:textId="77777777" w:rsidR="003A1A78" w:rsidRDefault="003A1A78" w:rsidP="003A1A78">
      <w:pPr>
        <w:pStyle w:val="FootnoteText"/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References</w:t>
      </w:r>
    </w:p>
    <w:p w14:paraId="1958FEDC" w14:textId="77777777" w:rsidR="003A1A78" w:rsidRDefault="003A1A78" w:rsidP="003A1A78">
      <w:pPr>
        <w:widowControl w:val="0"/>
        <w:autoSpaceDE w:val="0"/>
        <w:autoSpaceDN w:val="0"/>
        <w:adjustRightInd w:val="0"/>
        <w:spacing w:line="360" w:lineRule="auto"/>
        <w:jc w:val="both"/>
        <w:rPr>
          <w:noProof/>
        </w:rPr>
      </w:pPr>
      <w:r w:rsidRPr="003A1A78">
        <w:rPr>
          <w:color w:val="000000"/>
        </w:rPr>
        <w:fldChar w:fldCharType="begin" w:fldLock="1"/>
      </w:r>
      <w:r w:rsidRPr="003A1A78">
        <w:rPr>
          <w:color w:val="000000"/>
        </w:rPr>
        <w:instrText xml:space="preserve">ADDIN Mendeley Bibliography CSL_BIBLIOGRAPHY </w:instrText>
      </w:r>
      <w:r w:rsidRPr="003A1A78">
        <w:rPr>
          <w:color w:val="000000"/>
        </w:rPr>
        <w:fldChar w:fldCharType="separate"/>
      </w:r>
      <w:r w:rsidRPr="00C16FBE">
        <w:rPr>
          <w:noProof/>
        </w:rPr>
        <w:t xml:space="preserve">Abū Shujāʿ al-Daylamī, Shirūyē ibn Shahrdār. </w:t>
      </w:r>
      <w:r w:rsidRPr="003A1A78">
        <w:rPr>
          <w:i/>
          <w:iCs/>
          <w:noProof/>
        </w:rPr>
        <w:t>Firdaws al-Akhbār Bi Maʾthūr al-Khiṭāb al-Mukharraj ʿalā Kitāb al-Shihāb</w:t>
      </w:r>
      <w:r w:rsidRPr="00C16FBE">
        <w:rPr>
          <w:noProof/>
        </w:rPr>
        <w:t>. 1st ed. Beirut: Dār al-Kitāb al-ʿArabī, 1987.</w:t>
      </w:r>
    </w:p>
    <w:p w14:paraId="2DB3E49E" w14:textId="2466DDD5" w:rsidR="003A1A78" w:rsidRPr="00C16FBE" w:rsidRDefault="003A1A78" w:rsidP="003A1A78">
      <w:pPr>
        <w:widowControl w:val="0"/>
        <w:autoSpaceDE w:val="0"/>
        <w:autoSpaceDN w:val="0"/>
        <w:adjustRightInd w:val="0"/>
        <w:spacing w:line="360" w:lineRule="auto"/>
        <w:jc w:val="both"/>
        <w:rPr>
          <w:noProof/>
        </w:rPr>
      </w:pPr>
      <w:r w:rsidRPr="00C16FBE">
        <w:rPr>
          <w:noProof/>
        </w:rPr>
        <w:t xml:space="preserve">Abū Zayd, Bakr. </w:t>
      </w:r>
      <w:r w:rsidRPr="003A1A78">
        <w:rPr>
          <w:i/>
          <w:iCs/>
          <w:noProof/>
        </w:rPr>
        <w:t>al-Taʾṣīl Li Uṣūl al-Takhrīj Wa Qawāʿid al-Jarḥ Wa al-Taʿdīl</w:t>
      </w:r>
      <w:r w:rsidRPr="00C16FBE">
        <w:rPr>
          <w:noProof/>
        </w:rPr>
        <w:t>. Riyadh: Dār al-ʿĀṣimah, 1992.</w:t>
      </w:r>
    </w:p>
    <w:p w14:paraId="69565205" w14:textId="77777777" w:rsidR="003A1A78" w:rsidRPr="00C16FBE" w:rsidRDefault="003A1A78" w:rsidP="003A1A78">
      <w:pPr>
        <w:widowControl w:val="0"/>
        <w:autoSpaceDE w:val="0"/>
        <w:autoSpaceDN w:val="0"/>
        <w:adjustRightInd w:val="0"/>
        <w:spacing w:line="360" w:lineRule="auto"/>
        <w:jc w:val="both"/>
        <w:rPr>
          <w:noProof/>
        </w:rPr>
      </w:pPr>
      <w:r>
        <w:rPr>
          <w:noProof/>
        </w:rPr>
        <w:t>al-</w:t>
      </w:r>
      <w:r w:rsidRPr="00C16FBE">
        <w:rPr>
          <w:noProof/>
        </w:rPr>
        <w:t>Ahdal, Ahmad Muhammad Ahmad. ‘A Critical Edition of “</w:t>
      </w:r>
      <w:r>
        <w:rPr>
          <w:noProof/>
        </w:rPr>
        <w:t>al-</w:t>
      </w:r>
      <w:r w:rsidRPr="00C16FBE">
        <w:rPr>
          <w:noProof/>
        </w:rPr>
        <w:t xml:space="preserve">Kawkab </w:t>
      </w:r>
      <w:r>
        <w:rPr>
          <w:noProof/>
        </w:rPr>
        <w:t>al-</w:t>
      </w:r>
      <w:r w:rsidRPr="00C16FBE">
        <w:rPr>
          <w:noProof/>
        </w:rPr>
        <w:t xml:space="preserve">Durri </w:t>
      </w:r>
      <w:r>
        <w:rPr>
          <w:noProof/>
        </w:rPr>
        <w:t>al-</w:t>
      </w:r>
      <w:r w:rsidRPr="00C16FBE">
        <w:rPr>
          <w:noProof/>
        </w:rPr>
        <w:t xml:space="preserve">Mustakhraj Min Kalam </w:t>
      </w:r>
      <w:r>
        <w:rPr>
          <w:noProof/>
        </w:rPr>
        <w:t>al-</w:t>
      </w:r>
      <w:r w:rsidRPr="00C16FBE">
        <w:rPr>
          <w:noProof/>
        </w:rPr>
        <w:t xml:space="preserve">Nabi” by Ahmad b. Maʿadd b. ʿIsa b. Wakil </w:t>
      </w:r>
      <w:r>
        <w:rPr>
          <w:noProof/>
        </w:rPr>
        <w:t>al-</w:t>
      </w:r>
      <w:r w:rsidRPr="00C16FBE">
        <w:rPr>
          <w:noProof/>
        </w:rPr>
        <w:t xml:space="preserve">Tujibi </w:t>
      </w:r>
      <w:r>
        <w:rPr>
          <w:noProof/>
        </w:rPr>
        <w:t>al-</w:t>
      </w:r>
      <w:r w:rsidRPr="00C16FBE">
        <w:rPr>
          <w:noProof/>
        </w:rPr>
        <w:t>Uqlishi’. University of Glasgow, 1986.</w:t>
      </w:r>
    </w:p>
    <w:p w14:paraId="2F9574BE" w14:textId="77777777" w:rsidR="003A1A78" w:rsidRPr="00C16FBE" w:rsidRDefault="003A1A78" w:rsidP="003A1A78">
      <w:pPr>
        <w:widowControl w:val="0"/>
        <w:autoSpaceDE w:val="0"/>
        <w:autoSpaceDN w:val="0"/>
        <w:adjustRightInd w:val="0"/>
        <w:spacing w:line="360" w:lineRule="auto"/>
        <w:jc w:val="both"/>
        <w:rPr>
          <w:noProof/>
        </w:rPr>
      </w:pPr>
      <w:r>
        <w:rPr>
          <w:noProof/>
        </w:rPr>
        <w:t>al-</w:t>
      </w:r>
      <w:r w:rsidRPr="00C16FBE">
        <w:rPr>
          <w:noProof/>
        </w:rPr>
        <w:t xml:space="preserve">Dhahabī, Muḥammad ibn Aḥmad ibn ʿUthmān Abū ʿAbd Allah. </w:t>
      </w:r>
      <w:r w:rsidRPr="003A1A78">
        <w:rPr>
          <w:i/>
          <w:iCs/>
          <w:noProof/>
        </w:rPr>
        <w:t>Siyar Aʿlām al-Nubalāʾ</w:t>
      </w:r>
      <w:r w:rsidRPr="00C16FBE">
        <w:rPr>
          <w:noProof/>
        </w:rPr>
        <w:t xml:space="preserve">. Edited by Shuʿayb </w:t>
      </w:r>
      <w:r>
        <w:rPr>
          <w:noProof/>
        </w:rPr>
        <w:t>al-</w:t>
      </w:r>
      <w:r w:rsidRPr="00C16FBE">
        <w:rPr>
          <w:noProof/>
        </w:rPr>
        <w:t>Arnāʾūṭ. Beirut: Muʾassasah al-Risālah, 1985.</w:t>
      </w:r>
    </w:p>
    <w:p w14:paraId="13AC5838" w14:textId="77777777" w:rsidR="003A1A78" w:rsidRPr="00C16FBE" w:rsidRDefault="003A1A78" w:rsidP="003A1A78">
      <w:pPr>
        <w:widowControl w:val="0"/>
        <w:autoSpaceDE w:val="0"/>
        <w:autoSpaceDN w:val="0"/>
        <w:adjustRightInd w:val="0"/>
        <w:spacing w:line="360" w:lineRule="auto"/>
        <w:jc w:val="both"/>
        <w:rPr>
          <w:noProof/>
        </w:rPr>
      </w:pPr>
      <w:r>
        <w:rPr>
          <w:noProof/>
        </w:rPr>
        <w:t>al-</w:t>
      </w:r>
      <w:r w:rsidRPr="00C16FBE">
        <w:rPr>
          <w:noProof/>
        </w:rPr>
        <w:t xml:space="preserve">Ḥākim, Muḥammad ibn ʿAbd Allāh Ibn al-Bayyiʿ Abū ʿAbd Allāh. </w:t>
      </w:r>
      <w:r w:rsidRPr="003A1A78">
        <w:rPr>
          <w:i/>
          <w:iCs/>
          <w:noProof/>
        </w:rPr>
        <w:t>Maʿrifat ʿUlūm al-Ḥadīth Wa Kammiyat Ajnāsihi</w:t>
      </w:r>
      <w:r w:rsidRPr="00C16FBE">
        <w:rPr>
          <w:noProof/>
        </w:rPr>
        <w:t>. Beirut: Dār Ibn Ḥazm, 2003.</w:t>
      </w:r>
    </w:p>
    <w:p w14:paraId="55C122DA" w14:textId="77777777" w:rsidR="003A1A78" w:rsidRPr="00C16FBE" w:rsidRDefault="003A1A78" w:rsidP="003A1A78">
      <w:pPr>
        <w:widowControl w:val="0"/>
        <w:autoSpaceDE w:val="0"/>
        <w:autoSpaceDN w:val="0"/>
        <w:adjustRightInd w:val="0"/>
        <w:spacing w:line="360" w:lineRule="auto"/>
        <w:jc w:val="both"/>
        <w:rPr>
          <w:noProof/>
        </w:rPr>
      </w:pPr>
      <w:r w:rsidRPr="00C16FBE">
        <w:rPr>
          <w:noProof/>
        </w:rPr>
        <w:t xml:space="preserve">al-Khaṭib al-Baghdādī, Aḥmad ibn ʿAli ibn Thābit. </w:t>
      </w:r>
      <w:r w:rsidRPr="003A1A78">
        <w:rPr>
          <w:i/>
          <w:iCs/>
          <w:noProof/>
        </w:rPr>
        <w:t>al-Kifāyah Fī Uṣul ʿIlm al-Riwāyah</w:t>
      </w:r>
      <w:r w:rsidRPr="00C16FBE">
        <w:rPr>
          <w:noProof/>
        </w:rPr>
        <w:t>. Riyadh: Dār Ibn al-Jawzī, 2011.</w:t>
      </w:r>
    </w:p>
    <w:p w14:paraId="7BB8709B" w14:textId="77777777" w:rsidR="003A1A78" w:rsidRDefault="003A1A78" w:rsidP="003A1A78">
      <w:pPr>
        <w:widowControl w:val="0"/>
        <w:autoSpaceDE w:val="0"/>
        <w:autoSpaceDN w:val="0"/>
        <w:adjustRightInd w:val="0"/>
        <w:spacing w:line="360" w:lineRule="auto"/>
        <w:jc w:val="both"/>
        <w:rPr>
          <w:noProof/>
        </w:rPr>
      </w:pPr>
      <w:r w:rsidRPr="00C16FBE">
        <w:rPr>
          <w:noProof/>
        </w:rPr>
        <w:t xml:space="preserve">———. </w:t>
      </w:r>
      <w:r w:rsidRPr="003A1A78">
        <w:rPr>
          <w:i/>
          <w:iCs/>
          <w:noProof/>
        </w:rPr>
        <w:t>Tārīkh Madīnat al-Salām Wa Akhbār Muḥaddithīhā Wa Dhikr Quṭṭānihā al-ʿUlamā Min Ghayr Ahlihā Wa Wāridīhā</w:t>
      </w:r>
      <w:r w:rsidRPr="00C16FBE">
        <w:rPr>
          <w:noProof/>
        </w:rPr>
        <w:t>. Beirut: Dār al-Gharb al-Islāmī, 2001.</w:t>
      </w:r>
    </w:p>
    <w:p w14:paraId="0FF91EB4" w14:textId="77777777" w:rsidR="003A1A78" w:rsidRDefault="003A1A78" w:rsidP="003A1A78">
      <w:pPr>
        <w:widowControl w:val="0"/>
        <w:autoSpaceDE w:val="0"/>
        <w:autoSpaceDN w:val="0"/>
        <w:adjustRightInd w:val="0"/>
        <w:spacing w:line="360" w:lineRule="auto"/>
        <w:jc w:val="both"/>
        <w:rPr>
          <w:noProof/>
        </w:rPr>
      </w:pPr>
      <w:r>
        <w:rPr>
          <w:noProof/>
        </w:rPr>
        <w:t>al-</w:t>
      </w:r>
      <w:r w:rsidRPr="00C16FBE">
        <w:rPr>
          <w:noProof/>
        </w:rPr>
        <w:t xml:space="preserve">Quḍāʿī, Muḥammad ibn Salāmah ibn ʿAlī Abū ʿAbd Allāh. </w:t>
      </w:r>
      <w:r w:rsidRPr="003A1A78">
        <w:rPr>
          <w:i/>
          <w:iCs/>
          <w:noProof/>
        </w:rPr>
        <w:t>Musnad al-Shihāb</w:t>
      </w:r>
      <w:r w:rsidRPr="00C16FBE">
        <w:rPr>
          <w:noProof/>
        </w:rPr>
        <w:t xml:space="preserve">. Edited by Ḥamdī ʿAbd al-Majīd </w:t>
      </w:r>
      <w:r>
        <w:rPr>
          <w:noProof/>
        </w:rPr>
        <w:t>al-</w:t>
      </w:r>
      <w:r w:rsidRPr="00C16FBE">
        <w:rPr>
          <w:noProof/>
        </w:rPr>
        <w:t>Salafī. 1st ed. Beirut: Muʾassasah al-Risālah, n.d.</w:t>
      </w:r>
    </w:p>
    <w:p w14:paraId="7F1C2E47" w14:textId="60AE0B6C" w:rsidR="003A1A78" w:rsidRPr="00C16FBE" w:rsidRDefault="003A1A78" w:rsidP="003A1A78">
      <w:pPr>
        <w:widowControl w:val="0"/>
        <w:autoSpaceDE w:val="0"/>
        <w:autoSpaceDN w:val="0"/>
        <w:adjustRightInd w:val="0"/>
        <w:spacing w:line="360" w:lineRule="auto"/>
        <w:jc w:val="both"/>
        <w:rPr>
          <w:noProof/>
        </w:rPr>
      </w:pPr>
      <w:r w:rsidRPr="003A1A78">
        <w:rPr>
          <w:i/>
          <w:iCs/>
          <w:noProof/>
        </w:rPr>
        <w:lastRenderedPageBreak/>
        <w:t>Musnad al-Shihāb</w:t>
      </w:r>
      <w:r w:rsidRPr="00C16FBE">
        <w:rPr>
          <w:noProof/>
        </w:rPr>
        <w:t xml:space="preserve">. Edited by Ḥamid ʿAbd Allāh </w:t>
      </w:r>
      <w:r>
        <w:rPr>
          <w:noProof/>
        </w:rPr>
        <w:t>al-</w:t>
      </w:r>
      <w:r w:rsidRPr="00C16FBE">
        <w:rPr>
          <w:noProof/>
        </w:rPr>
        <w:t>Miḥlāwī. 1st ed. Beirut: Dār al-Kutub al-ʿIlmiyyah, 2011.</w:t>
      </w:r>
    </w:p>
    <w:p w14:paraId="772846BC" w14:textId="77777777" w:rsidR="003A1A78" w:rsidRPr="00C16FBE" w:rsidRDefault="003A1A78" w:rsidP="003A1A78">
      <w:pPr>
        <w:widowControl w:val="0"/>
        <w:autoSpaceDE w:val="0"/>
        <w:autoSpaceDN w:val="0"/>
        <w:adjustRightInd w:val="0"/>
        <w:spacing w:line="360" w:lineRule="auto"/>
        <w:jc w:val="both"/>
        <w:rPr>
          <w:noProof/>
        </w:rPr>
      </w:pPr>
      <w:r>
        <w:rPr>
          <w:noProof/>
        </w:rPr>
        <w:t>al-</w:t>
      </w:r>
      <w:r w:rsidRPr="00C16FBE">
        <w:rPr>
          <w:noProof/>
        </w:rPr>
        <w:t xml:space="preserve">Qurashī, Fāʾiz Ḥāmid Muḥammad. ‘Taḥqīq Wa Dirāsah Musnad </w:t>
      </w:r>
      <w:r>
        <w:rPr>
          <w:noProof/>
        </w:rPr>
        <w:t>al-</w:t>
      </w:r>
      <w:r w:rsidRPr="00C16FBE">
        <w:rPr>
          <w:noProof/>
        </w:rPr>
        <w:t xml:space="preserve">Shihāb Li </w:t>
      </w:r>
      <w:r>
        <w:rPr>
          <w:noProof/>
        </w:rPr>
        <w:t>al-</w:t>
      </w:r>
      <w:r w:rsidRPr="00C16FBE">
        <w:rPr>
          <w:noProof/>
        </w:rPr>
        <w:t xml:space="preserve">Quḍāʿī Min Awwalihi Ilā Nihāyat </w:t>
      </w:r>
      <w:r>
        <w:rPr>
          <w:noProof/>
        </w:rPr>
        <w:t>al-</w:t>
      </w:r>
      <w:r w:rsidRPr="00C16FBE">
        <w:rPr>
          <w:noProof/>
        </w:rPr>
        <w:t xml:space="preserve">Juzʾ </w:t>
      </w:r>
      <w:r>
        <w:rPr>
          <w:noProof/>
        </w:rPr>
        <w:t>al-</w:t>
      </w:r>
      <w:r w:rsidRPr="00C16FBE">
        <w:rPr>
          <w:noProof/>
        </w:rPr>
        <w:t>Khāmis’. Umm al-Qura University, 1988.</w:t>
      </w:r>
    </w:p>
    <w:p w14:paraId="5F2E9EB2" w14:textId="77777777" w:rsidR="003A1A78" w:rsidRPr="00C16FBE" w:rsidRDefault="003A1A78" w:rsidP="003A1A78">
      <w:pPr>
        <w:widowControl w:val="0"/>
        <w:autoSpaceDE w:val="0"/>
        <w:autoSpaceDN w:val="0"/>
        <w:adjustRightInd w:val="0"/>
        <w:spacing w:line="360" w:lineRule="auto"/>
        <w:jc w:val="both"/>
        <w:rPr>
          <w:noProof/>
        </w:rPr>
      </w:pPr>
      <w:r>
        <w:rPr>
          <w:noProof/>
        </w:rPr>
        <w:t>al-</w:t>
      </w:r>
      <w:r w:rsidRPr="00C16FBE">
        <w:rPr>
          <w:noProof/>
        </w:rPr>
        <w:t xml:space="preserve">Qurayẓī, Muḥammad ibn Saʿīd ibn Maʿan. </w:t>
      </w:r>
      <w:r w:rsidRPr="003A1A78">
        <w:rPr>
          <w:i/>
          <w:iCs/>
          <w:noProof/>
        </w:rPr>
        <w:t>al-Mustaṣfā Fī Sunan al-Muṣṭafā</w:t>
      </w:r>
      <w:r w:rsidRPr="00C16FBE">
        <w:rPr>
          <w:noProof/>
        </w:rPr>
        <w:t xml:space="preserve">. Edited by Muḥammad ʿAbd al-Raḥmān </w:t>
      </w:r>
      <w:r>
        <w:rPr>
          <w:noProof/>
        </w:rPr>
        <w:t>al-</w:t>
      </w:r>
      <w:r w:rsidRPr="00C16FBE">
        <w:rPr>
          <w:noProof/>
        </w:rPr>
        <w:t>Ahdal. 1st ed. Beirut: Dār al-Minhāj, n.d.</w:t>
      </w:r>
    </w:p>
    <w:p w14:paraId="1A8AEB02" w14:textId="77777777" w:rsidR="003A1A78" w:rsidRPr="00C16FBE" w:rsidRDefault="003A1A78" w:rsidP="003A1A78">
      <w:pPr>
        <w:widowControl w:val="0"/>
        <w:autoSpaceDE w:val="0"/>
        <w:autoSpaceDN w:val="0"/>
        <w:adjustRightInd w:val="0"/>
        <w:spacing w:line="360" w:lineRule="auto"/>
        <w:jc w:val="both"/>
        <w:rPr>
          <w:noProof/>
        </w:rPr>
      </w:pPr>
      <w:r>
        <w:rPr>
          <w:noProof/>
        </w:rPr>
        <w:t>al-</w:t>
      </w:r>
      <w:r w:rsidRPr="00C16FBE">
        <w:rPr>
          <w:noProof/>
        </w:rPr>
        <w:t xml:space="preserve">Rāmhurmuzī, al-Ḥasan ibn ʿAbd al-Raḥmān Ibn Khallād. </w:t>
      </w:r>
      <w:r w:rsidRPr="003A1A78">
        <w:rPr>
          <w:i/>
          <w:iCs/>
          <w:noProof/>
        </w:rPr>
        <w:t>al-Muḥaddith al-Fāṣil Bayna al-Rāwī Wa al-Wāʿī</w:t>
      </w:r>
      <w:r w:rsidRPr="00C16FBE">
        <w:rPr>
          <w:noProof/>
        </w:rPr>
        <w:t xml:space="preserve">. Edited by ʿAjāj </w:t>
      </w:r>
      <w:r>
        <w:rPr>
          <w:noProof/>
        </w:rPr>
        <w:t>al-</w:t>
      </w:r>
      <w:r w:rsidRPr="00C16FBE">
        <w:rPr>
          <w:noProof/>
        </w:rPr>
        <w:t>Khaṭīb. Beirut: Dār al-Fikr, 1994.</w:t>
      </w:r>
    </w:p>
    <w:p w14:paraId="5E66651F" w14:textId="77777777" w:rsidR="003A1A78" w:rsidRPr="00C16FBE" w:rsidRDefault="003A1A78" w:rsidP="003A1A78">
      <w:pPr>
        <w:widowControl w:val="0"/>
        <w:autoSpaceDE w:val="0"/>
        <w:autoSpaceDN w:val="0"/>
        <w:adjustRightInd w:val="0"/>
        <w:spacing w:line="360" w:lineRule="auto"/>
        <w:jc w:val="both"/>
        <w:rPr>
          <w:noProof/>
        </w:rPr>
      </w:pPr>
      <w:r>
        <w:rPr>
          <w:noProof/>
        </w:rPr>
        <w:t>al-</w:t>
      </w:r>
      <w:r w:rsidRPr="00C16FBE">
        <w:rPr>
          <w:noProof/>
        </w:rPr>
        <w:t xml:space="preserve">Suyūṭī, ʿAbd al-Raḥmān ibn Abī Bakr Jalāl al-Dīn. </w:t>
      </w:r>
      <w:r w:rsidRPr="003A1A78">
        <w:rPr>
          <w:i/>
          <w:iCs/>
          <w:noProof/>
        </w:rPr>
        <w:t>Tadrīb al-Rāwī Fī Sharḥ Taqrīb al-Nawawī</w:t>
      </w:r>
      <w:r w:rsidRPr="00C16FBE">
        <w:rPr>
          <w:noProof/>
        </w:rPr>
        <w:t xml:space="preserve">. Edited by Abū Qutaybah Naẓar Muḥammad </w:t>
      </w:r>
      <w:r>
        <w:rPr>
          <w:noProof/>
        </w:rPr>
        <w:t>al-</w:t>
      </w:r>
      <w:r w:rsidRPr="00C16FBE">
        <w:rPr>
          <w:noProof/>
        </w:rPr>
        <w:t>Fāriyābī. Riyadh: Dār Ṭaybah, 2006.</w:t>
      </w:r>
    </w:p>
    <w:p w14:paraId="19423559" w14:textId="77777777" w:rsidR="003A1A78" w:rsidRPr="00C16FBE" w:rsidRDefault="003A1A78" w:rsidP="003A1A78">
      <w:pPr>
        <w:widowControl w:val="0"/>
        <w:autoSpaceDE w:val="0"/>
        <w:autoSpaceDN w:val="0"/>
        <w:adjustRightInd w:val="0"/>
        <w:spacing w:line="360" w:lineRule="auto"/>
        <w:jc w:val="both"/>
        <w:rPr>
          <w:noProof/>
        </w:rPr>
      </w:pPr>
      <w:r>
        <w:rPr>
          <w:noProof/>
        </w:rPr>
        <w:t>al-</w:t>
      </w:r>
      <w:r w:rsidRPr="00C16FBE">
        <w:rPr>
          <w:noProof/>
        </w:rPr>
        <w:t xml:space="preserve">Suyūṭī, ʿAbd al-Raḥmān ibn Abū Bakr Jalāl al-Dīn. </w:t>
      </w:r>
      <w:r w:rsidRPr="003A1A78">
        <w:rPr>
          <w:i/>
          <w:iCs/>
          <w:noProof/>
        </w:rPr>
        <w:t>Alfiyyat al-Suyūṭī Fī ʿIlm al-Ḥadīth</w:t>
      </w:r>
      <w:r w:rsidRPr="00C16FBE">
        <w:rPr>
          <w:noProof/>
        </w:rPr>
        <w:t>. Edited by Aḥmad ibn Muḥammad Shākir Abū al-Ashbāl. al-Maktabah al-ʿIlmiyyah, n.d.</w:t>
      </w:r>
    </w:p>
    <w:p w14:paraId="1C055E11" w14:textId="77777777" w:rsidR="003A1A78" w:rsidRPr="00C16FBE" w:rsidRDefault="003A1A78" w:rsidP="003A1A78">
      <w:pPr>
        <w:widowControl w:val="0"/>
        <w:autoSpaceDE w:val="0"/>
        <w:autoSpaceDN w:val="0"/>
        <w:adjustRightInd w:val="0"/>
        <w:spacing w:line="360" w:lineRule="auto"/>
        <w:jc w:val="both"/>
        <w:rPr>
          <w:noProof/>
        </w:rPr>
      </w:pPr>
      <w:r>
        <w:rPr>
          <w:noProof/>
        </w:rPr>
        <w:t>al-</w:t>
      </w:r>
      <w:r w:rsidRPr="00C16FBE">
        <w:rPr>
          <w:noProof/>
        </w:rPr>
        <w:t xml:space="preserve">Talīdi, Muḥammad ibn ʿAbd Allāh. </w:t>
      </w:r>
      <w:r w:rsidRPr="003A1A78">
        <w:rPr>
          <w:i/>
          <w:iCs/>
          <w:noProof/>
        </w:rPr>
        <w:t>Turāth al-Maghāribah Fī al-Ḥadīth al-Nabawī Wa ʿUlūmihi</w:t>
      </w:r>
      <w:r w:rsidRPr="00C16FBE">
        <w:rPr>
          <w:noProof/>
        </w:rPr>
        <w:t>. Beirut: Dār al-Bashāʾir al-Islāmiyyah, 1995.</w:t>
      </w:r>
    </w:p>
    <w:p w14:paraId="14F677A3" w14:textId="70296F5F" w:rsidR="003A1A78" w:rsidRPr="00C16FBE" w:rsidRDefault="003A1A78" w:rsidP="003A1A78">
      <w:pPr>
        <w:widowControl w:val="0"/>
        <w:autoSpaceDE w:val="0"/>
        <w:autoSpaceDN w:val="0"/>
        <w:adjustRightInd w:val="0"/>
        <w:spacing w:line="360" w:lineRule="auto"/>
        <w:jc w:val="both"/>
        <w:rPr>
          <w:noProof/>
        </w:rPr>
      </w:pPr>
      <w:r>
        <w:rPr>
          <w:noProof/>
        </w:rPr>
        <w:t>al</w:t>
      </w:r>
      <w:r>
        <w:rPr>
          <w:noProof/>
        </w:rPr>
        <w:t>-</w:t>
      </w:r>
      <w:r w:rsidRPr="00C16FBE">
        <w:rPr>
          <w:noProof/>
        </w:rPr>
        <w:t xml:space="preserve">Tilmisānī, Aḥmad ibn Muḥammad. </w:t>
      </w:r>
      <w:r w:rsidRPr="003A1A78">
        <w:rPr>
          <w:i/>
          <w:iCs/>
          <w:noProof/>
        </w:rPr>
        <w:t>Nafḥ al-Ṭīb Min Ghuṣn al-Andalus al-Raṭīb</w:t>
      </w:r>
      <w:r w:rsidRPr="00C16FBE">
        <w:rPr>
          <w:noProof/>
        </w:rPr>
        <w:t>. Beirut: Dār Ṣādir, 1968.</w:t>
      </w:r>
    </w:p>
    <w:p w14:paraId="4E586A4D" w14:textId="77777777" w:rsidR="003A1A78" w:rsidRPr="00C16FBE" w:rsidRDefault="003A1A78" w:rsidP="003A1A78">
      <w:pPr>
        <w:widowControl w:val="0"/>
        <w:autoSpaceDE w:val="0"/>
        <w:autoSpaceDN w:val="0"/>
        <w:adjustRightInd w:val="0"/>
        <w:spacing w:line="360" w:lineRule="auto"/>
        <w:jc w:val="both"/>
        <w:rPr>
          <w:noProof/>
        </w:rPr>
      </w:pPr>
      <w:r>
        <w:rPr>
          <w:noProof/>
        </w:rPr>
        <w:t>al-</w:t>
      </w:r>
      <w:r w:rsidRPr="00C16FBE">
        <w:rPr>
          <w:noProof/>
        </w:rPr>
        <w:t xml:space="preserve">Uqlīshī, Aḥmad ibn Maʿad al-Tujībī. </w:t>
      </w:r>
      <w:r w:rsidRPr="003A1A78">
        <w:rPr>
          <w:i/>
          <w:iCs/>
          <w:noProof/>
        </w:rPr>
        <w:t>al-Kawkab al-Durrī al-Mustakhraj Min Kalām al-Nabī al-ʿArabī</w:t>
      </w:r>
      <w:r w:rsidRPr="00C16FBE">
        <w:rPr>
          <w:noProof/>
        </w:rPr>
        <w:t>. Morocco, 2014.</w:t>
      </w:r>
    </w:p>
    <w:p w14:paraId="7297E086" w14:textId="67004D99" w:rsidR="003A1A78" w:rsidRPr="00C16FBE" w:rsidRDefault="003A1A78" w:rsidP="003A1A78">
      <w:pPr>
        <w:widowControl w:val="0"/>
        <w:autoSpaceDE w:val="0"/>
        <w:autoSpaceDN w:val="0"/>
        <w:adjustRightInd w:val="0"/>
        <w:spacing w:line="360" w:lineRule="auto"/>
        <w:jc w:val="both"/>
        <w:rPr>
          <w:noProof/>
        </w:rPr>
      </w:pPr>
      <w:r w:rsidRPr="00C16FBE">
        <w:rPr>
          <w:noProof/>
        </w:rPr>
        <w:t xml:space="preserve">———. </w:t>
      </w:r>
      <w:r w:rsidRPr="003A1A78">
        <w:rPr>
          <w:i/>
          <w:iCs/>
          <w:noProof/>
        </w:rPr>
        <w:t>al-Najm Min Kalām Sayyid al-ʿArab Wa al-ʿAjam</w:t>
      </w:r>
      <w:r w:rsidRPr="00C16FBE">
        <w:rPr>
          <w:noProof/>
        </w:rPr>
        <w:t xml:space="preserve">. 1st ed. Cairo: al-Maṭbaʿah al-Iʿlāmiyyah, 1885.al-Wādī Āshī, Muḥammad ibn Jābir. </w:t>
      </w:r>
      <w:r w:rsidRPr="003A1A78">
        <w:rPr>
          <w:i/>
          <w:iCs/>
          <w:noProof/>
        </w:rPr>
        <w:t>Barnāmij Muḥammad Ibn Jābir al-Wādī Āshī</w:t>
      </w:r>
      <w:r w:rsidRPr="00C16FBE">
        <w:rPr>
          <w:noProof/>
        </w:rPr>
        <w:t>. 3rd ed. Tunisia: Dār al-Gharb al-Islāmī, 1982.</w:t>
      </w:r>
    </w:p>
    <w:p w14:paraId="478D6599" w14:textId="77777777" w:rsidR="003A1A78" w:rsidRPr="00C16FBE" w:rsidRDefault="003A1A78" w:rsidP="003A1A78">
      <w:pPr>
        <w:widowControl w:val="0"/>
        <w:autoSpaceDE w:val="0"/>
        <w:autoSpaceDN w:val="0"/>
        <w:adjustRightInd w:val="0"/>
        <w:spacing w:line="360" w:lineRule="auto"/>
        <w:jc w:val="both"/>
        <w:rPr>
          <w:noProof/>
        </w:rPr>
      </w:pPr>
      <w:r w:rsidRPr="00C16FBE">
        <w:rPr>
          <w:noProof/>
        </w:rPr>
        <w:t xml:space="preserve">BāDhayb, Muḥammad ibn Abū Bakr. </w:t>
      </w:r>
      <w:r w:rsidRPr="003A1A78">
        <w:rPr>
          <w:i/>
          <w:iCs/>
          <w:noProof/>
        </w:rPr>
        <w:t>Juhūd Fuqahāʾ Ḥaḍramawt Fī Khidmat al-Madhhab al-Shāfiʿī</w:t>
      </w:r>
      <w:r w:rsidRPr="00C16FBE">
        <w:rPr>
          <w:noProof/>
        </w:rPr>
        <w:t>. Jordan: Dār al-Fatḥ li’l-Dirāsāt wa’l-Nashr, 2009.</w:t>
      </w:r>
    </w:p>
    <w:p w14:paraId="167F6E3C" w14:textId="77777777" w:rsidR="003A1A78" w:rsidRPr="00C16FBE" w:rsidRDefault="003A1A78" w:rsidP="003A1A78">
      <w:pPr>
        <w:widowControl w:val="0"/>
        <w:autoSpaceDE w:val="0"/>
        <w:autoSpaceDN w:val="0"/>
        <w:adjustRightInd w:val="0"/>
        <w:spacing w:line="360" w:lineRule="auto"/>
        <w:jc w:val="both"/>
        <w:rPr>
          <w:noProof/>
        </w:rPr>
      </w:pPr>
      <w:r w:rsidRPr="00C16FBE">
        <w:rPr>
          <w:noProof/>
        </w:rPr>
        <w:t xml:space="preserve">Berg, Herbert. ‘Competing Paradigms in Islamic Origins: Qurʾān 15:89–91 and the Value of Isnāds’. </w:t>
      </w:r>
      <w:r w:rsidRPr="003A1A78">
        <w:rPr>
          <w:i/>
          <w:iCs/>
          <w:noProof/>
        </w:rPr>
        <w:t>Method and Theory in the Study of Islamic Origins</w:t>
      </w:r>
      <w:r w:rsidRPr="00C16FBE">
        <w:rPr>
          <w:noProof/>
        </w:rPr>
        <w:t>, 2021, 259–90. https://doi.org/10.1163/9789047401575_014.</w:t>
      </w:r>
    </w:p>
    <w:p w14:paraId="31B4AA7F" w14:textId="77777777" w:rsidR="003A1A78" w:rsidRPr="00C16FBE" w:rsidRDefault="003A1A78" w:rsidP="003A1A78">
      <w:pPr>
        <w:widowControl w:val="0"/>
        <w:autoSpaceDE w:val="0"/>
        <w:autoSpaceDN w:val="0"/>
        <w:adjustRightInd w:val="0"/>
        <w:spacing w:line="360" w:lineRule="auto"/>
        <w:jc w:val="both"/>
        <w:rPr>
          <w:noProof/>
        </w:rPr>
      </w:pPr>
      <w:r w:rsidRPr="00C16FBE">
        <w:rPr>
          <w:noProof/>
        </w:rPr>
        <w:t xml:space="preserve">———. </w:t>
      </w:r>
      <w:r w:rsidRPr="003A1A78">
        <w:rPr>
          <w:i/>
          <w:iCs/>
          <w:noProof/>
        </w:rPr>
        <w:t>The Development of Exegesis in Early Islam: The Authenticity of Muslim Literature from the Formative Period</w:t>
      </w:r>
      <w:r w:rsidRPr="00C16FBE">
        <w:rPr>
          <w:noProof/>
        </w:rPr>
        <w:t>. London: Curzon Press, 2000.</w:t>
      </w:r>
    </w:p>
    <w:p w14:paraId="7AFD948A" w14:textId="77777777" w:rsidR="003A1A78" w:rsidRPr="00C16FBE" w:rsidRDefault="003A1A78" w:rsidP="003A1A78">
      <w:pPr>
        <w:widowControl w:val="0"/>
        <w:autoSpaceDE w:val="0"/>
        <w:autoSpaceDN w:val="0"/>
        <w:adjustRightInd w:val="0"/>
        <w:spacing w:line="360" w:lineRule="auto"/>
        <w:jc w:val="both"/>
        <w:rPr>
          <w:noProof/>
        </w:rPr>
      </w:pPr>
      <w:r w:rsidRPr="00C16FBE">
        <w:rPr>
          <w:noProof/>
        </w:rPr>
        <w:t xml:space="preserve">Brown, Jonathan. </w:t>
      </w:r>
      <w:r w:rsidRPr="003A1A78">
        <w:rPr>
          <w:i/>
          <w:iCs/>
          <w:noProof/>
        </w:rPr>
        <w:t>Hadith: Muhammad’s Legacy in the Medieval and Modern World</w:t>
      </w:r>
      <w:r w:rsidRPr="00C16FBE">
        <w:rPr>
          <w:noProof/>
        </w:rPr>
        <w:t xml:space="preserve">. 2nd ed. </w:t>
      </w:r>
      <w:r w:rsidRPr="00C16FBE">
        <w:rPr>
          <w:noProof/>
        </w:rPr>
        <w:lastRenderedPageBreak/>
        <w:t>Oxford: Oneworld Publication, 2009.</w:t>
      </w:r>
    </w:p>
    <w:p w14:paraId="6D385A21" w14:textId="77777777" w:rsidR="003A1A78" w:rsidRPr="00C16FBE" w:rsidRDefault="003A1A78" w:rsidP="003A1A78">
      <w:pPr>
        <w:widowControl w:val="0"/>
        <w:autoSpaceDE w:val="0"/>
        <w:autoSpaceDN w:val="0"/>
        <w:adjustRightInd w:val="0"/>
        <w:spacing w:line="360" w:lineRule="auto"/>
        <w:jc w:val="both"/>
        <w:rPr>
          <w:noProof/>
        </w:rPr>
      </w:pPr>
      <w:r w:rsidRPr="00C16FBE">
        <w:rPr>
          <w:noProof/>
        </w:rPr>
        <w:t xml:space="preserve">Ibn al-Abbār, Muḥammad ibn ʿAbd Allāh Abū ʿAbd Allāh. </w:t>
      </w:r>
      <w:r w:rsidRPr="003A1A78">
        <w:rPr>
          <w:i/>
          <w:iCs/>
          <w:noProof/>
        </w:rPr>
        <w:t>al-Takmilah Li-Kitāb al-Ṣilah</w:t>
      </w:r>
      <w:r w:rsidRPr="00C16FBE">
        <w:rPr>
          <w:noProof/>
        </w:rPr>
        <w:t>. Beirut: Dār al-Fikr, 1995.</w:t>
      </w:r>
    </w:p>
    <w:p w14:paraId="31A296A6" w14:textId="23105CDB" w:rsidR="003A1A78" w:rsidRPr="003A1A78" w:rsidRDefault="003A1A78" w:rsidP="003A1A78">
      <w:pPr>
        <w:ind w:left="360"/>
        <w:rPr>
          <w:rFonts w:asciiTheme="majorBidi" w:eastAsia="Garamond" w:hAnsiTheme="majorBidi" w:cstheme="majorBidi"/>
        </w:rPr>
      </w:pPr>
      <w:r>
        <w:fldChar w:fldCharType="end"/>
      </w:r>
    </w:p>
    <w:p w14:paraId="3BF5BDDE" w14:textId="77777777" w:rsidR="003A1A78" w:rsidRDefault="003A1A78"/>
    <w:sectPr w:rsidR="003A1A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DC585" w14:textId="77777777" w:rsidR="00B2640F" w:rsidRDefault="00B2640F" w:rsidP="003A1A78">
      <w:r>
        <w:separator/>
      </w:r>
    </w:p>
  </w:endnote>
  <w:endnote w:type="continuationSeparator" w:id="0">
    <w:p w14:paraId="5EDBC808" w14:textId="77777777" w:rsidR="00B2640F" w:rsidRDefault="00B2640F" w:rsidP="003A1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D52A7" w14:textId="77777777" w:rsidR="00B2640F" w:rsidRDefault="00B2640F" w:rsidP="003A1A78">
      <w:r>
        <w:separator/>
      </w:r>
    </w:p>
  </w:footnote>
  <w:footnote w:type="continuationSeparator" w:id="0">
    <w:p w14:paraId="6DB2F71A" w14:textId="77777777" w:rsidR="00B2640F" w:rsidRDefault="00B2640F" w:rsidP="003A1A78">
      <w:r>
        <w:continuationSeparator/>
      </w:r>
    </w:p>
  </w:footnote>
  <w:footnote w:id="1">
    <w:p w14:paraId="7C1A5AFC" w14:textId="77777777" w:rsidR="003A1A78" w:rsidRPr="00AE4029" w:rsidRDefault="003A1A78" w:rsidP="003A1A78">
      <w:pPr>
        <w:pStyle w:val="FootnoteText"/>
        <w:jc w:val="both"/>
        <w:rPr>
          <w:rFonts w:asciiTheme="majorBidi" w:hAnsiTheme="majorBidi" w:cstheme="majorBidi"/>
          <w:lang w:val="en-US"/>
        </w:rPr>
      </w:pPr>
      <w:r w:rsidRPr="00AE4029">
        <w:rPr>
          <w:rStyle w:val="FootnoteReference"/>
          <w:rFonts w:asciiTheme="majorBidi" w:hAnsiTheme="majorBidi" w:cstheme="majorBidi"/>
        </w:rPr>
        <w:footnoteRef/>
      </w:r>
      <w:r w:rsidRPr="00AE4029">
        <w:rPr>
          <w:rFonts w:asciiTheme="majorBidi" w:hAnsiTheme="majorBidi" w:cstheme="majorBidi"/>
        </w:rPr>
        <w:t xml:space="preserve"> </w:t>
      </w:r>
      <w:r w:rsidRPr="00AE4029">
        <w:rPr>
          <w:rFonts w:asciiTheme="majorBidi" w:hAnsiTheme="majorBidi" w:cstheme="majorBidi"/>
        </w:rPr>
        <w:fldChar w:fldCharType="begin" w:fldLock="1"/>
      </w:r>
      <w:r>
        <w:rPr>
          <w:rFonts w:asciiTheme="majorBidi" w:hAnsiTheme="majorBidi" w:cstheme="majorBidi"/>
        </w:rPr>
        <w:instrText>ADDIN CSL_CITATION {"citationItems":[{"id":"ITEM-1","itemData":{"author":[{"dropping-particle":"","family":"Shah","given":"Mustafa","non-dropping-particle":"","parse-names":false,"suffix":""}],"container-title":"The Hadith","id":"ITEM-1","issued":{"date-parts":[["2010"]]},"publisher":"Routledge","publisher-place":"Oxon","title":"Introductions","type":"chapter"},"prefix":"For further explanation on sanad and matn, see:","uris":["http://www.mendeley.com/documents/?uuid=6439c4a4-b121-4ed4-befd-d15b1ae5cef5"]}],"mendeley":{"formattedCitation":"For further explanation on sanad and matn, see: Mustafa Shah, ‘Introductions’, in &lt;i&gt;The Hadith&lt;/i&gt; (Oxon: Routledge, 2010).","plainTextFormattedCitation":"For further explanation on sanad and matn, see: Mustafa Shah, ‘Introductions’, in The Hadith (Oxon: Routledge, 2010).","previouslyFormattedCitation":"For further explanation on sanad and matn, see: Mustafa Shah, ‘Introductions’, in &lt;i&gt;The Hadith&lt;/i&gt; (Oxon: Routledge, 2010)."},"properties":{"noteIndex":1},"schema":"https://github.com/citation-style-language/schema/raw/master/csl-citation.json"}</w:instrText>
      </w:r>
      <w:r w:rsidRPr="00AE4029">
        <w:rPr>
          <w:rFonts w:asciiTheme="majorBidi" w:hAnsiTheme="majorBidi" w:cstheme="majorBidi"/>
        </w:rPr>
        <w:fldChar w:fldCharType="separate"/>
      </w:r>
      <w:r w:rsidRPr="00AE4029">
        <w:rPr>
          <w:rFonts w:asciiTheme="majorBidi" w:hAnsiTheme="majorBidi" w:cstheme="majorBidi"/>
          <w:noProof/>
        </w:rPr>
        <w:t xml:space="preserve">For further explanation on </w:t>
      </w:r>
      <w:r w:rsidRPr="00AE4029">
        <w:rPr>
          <w:rFonts w:asciiTheme="majorBidi" w:hAnsiTheme="majorBidi" w:cstheme="majorBidi"/>
          <w:i/>
          <w:iCs/>
          <w:noProof/>
        </w:rPr>
        <w:t>sanad</w:t>
      </w:r>
      <w:r w:rsidRPr="00AE4029">
        <w:rPr>
          <w:rFonts w:asciiTheme="majorBidi" w:hAnsiTheme="majorBidi" w:cstheme="majorBidi"/>
          <w:noProof/>
        </w:rPr>
        <w:t xml:space="preserve"> and </w:t>
      </w:r>
      <w:r w:rsidRPr="00AE4029">
        <w:rPr>
          <w:rFonts w:asciiTheme="majorBidi" w:hAnsiTheme="majorBidi" w:cstheme="majorBidi"/>
          <w:i/>
          <w:iCs/>
          <w:noProof/>
        </w:rPr>
        <w:t>matn</w:t>
      </w:r>
      <w:r w:rsidRPr="00AE4029">
        <w:rPr>
          <w:rFonts w:asciiTheme="majorBidi" w:hAnsiTheme="majorBidi" w:cstheme="majorBidi"/>
          <w:noProof/>
        </w:rPr>
        <w:t xml:space="preserve">, see: Mustafa Shah, ‘Introductions’, in </w:t>
      </w:r>
      <w:r w:rsidRPr="00AE4029">
        <w:rPr>
          <w:rFonts w:asciiTheme="majorBidi" w:hAnsiTheme="majorBidi" w:cstheme="majorBidi"/>
          <w:i/>
          <w:noProof/>
        </w:rPr>
        <w:t>The Hadith</w:t>
      </w:r>
      <w:r w:rsidRPr="00AE4029">
        <w:rPr>
          <w:rFonts w:asciiTheme="majorBidi" w:hAnsiTheme="majorBidi" w:cstheme="majorBidi"/>
          <w:noProof/>
        </w:rPr>
        <w:t xml:space="preserve"> (Oxon: Routledge, 2010).</w:t>
      </w:r>
      <w:r w:rsidRPr="00AE4029">
        <w:rPr>
          <w:rFonts w:asciiTheme="majorBidi" w:hAnsiTheme="majorBidi" w:cstheme="majorBidi"/>
        </w:rPr>
        <w:fldChar w:fldCharType="end"/>
      </w:r>
    </w:p>
  </w:footnote>
  <w:footnote w:id="2">
    <w:p w14:paraId="1A216172" w14:textId="77777777" w:rsidR="003A1A78" w:rsidRPr="007A354A" w:rsidRDefault="003A1A78" w:rsidP="003A1A78">
      <w:pPr>
        <w:pStyle w:val="FootnoteText"/>
        <w:jc w:val="both"/>
        <w:rPr>
          <w:rFonts w:asciiTheme="majorBidi" w:hAnsiTheme="majorBidi" w:cstheme="majorBidi"/>
        </w:rPr>
      </w:pPr>
      <w:r w:rsidRPr="00AE4029">
        <w:rPr>
          <w:rStyle w:val="FootnoteReference"/>
          <w:rFonts w:asciiTheme="majorBidi" w:hAnsiTheme="majorBidi" w:cstheme="majorBidi"/>
        </w:rPr>
        <w:footnoteRef/>
      </w:r>
      <w:r w:rsidRPr="00AE4029">
        <w:rPr>
          <w:rFonts w:asciiTheme="majorBidi" w:hAnsiTheme="majorBidi" w:cstheme="majorBidi"/>
        </w:rPr>
        <w:t xml:space="preserve"> </w:t>
      </w:r>
      <w:r w:rsidRPr="00AE4029">
        <w:rPr>
          <w:rFonts w:asciiTheme="majorBidi" w:hAnsiTheme="majorBidi" w:cstheme="majorBidi"/>
        </w:rPr>
        <w:fldChar w:fldCharType="begin" w:fldLock="1"/>
      </w:r>
      <w:r w:rsidRPr="00AE4029">
        <w:rPr>
          <w:rFonts w:asciiTheme="majorBidi" w:hAnsiTheme="majorBidi" w:cstheme="majorBidi"/>
        </w:rPr>
        <w:instrText>ADDIN CSL_CITATION {"citationItems":[{"id":"ITEM-1","itemData":{"author":[{"dropping-particle":"","family":"Al-Rāmhurmuzī","given":"al-Ḥasan ibn ʿAbd al-Raḥmān Ibn Khallād","non-dropping-particle":"","parse-names":false,"suffix":""}],"editor":[{"dropping-particle":"","family":"Al-Khaṭīb","given":"ʿAjāj","non-dropping-particle":"","parse-names":false,"suffix":""}],"id":"ITEM-1","issued":{"date-parts":[["1994"]]},"publisher":"Dār al-Fikr","publisher-place":"Beirut","title":"al-Muḥaddith al-Fāṣil bayna al-Rāwī wa al-Wāʿī","type":"book"},"prefix":"See:","uris":["http://www.mendeley.com/documents/?uuid=ca0cbd69-26ac-4428-a1f9-889ab3c186bf"]},{"id":"ITEM-2","itemData":{"author":[{"dropping-particle":"","family":"Al-Ḥākim","given":"Muḥammad ibn ʿAbd Allāh Ibn al-Bayyiʿ Abū ʿAbd Allāh","non-dropping-particle":"","parse-names":false,"suffix":""}],"id":"ITEM-2","issued":{"date-parts":[["2003"]]},"publisher":"Dār Ibn Ḥazm","publisher-place":"Beirut","title":"Maʿrifat ʿUlūm al-Ḥadīth wa Kammiyat Ajnāsihi","type":"book"},"uris":["http://www.mendeley.com/documents/?uuid=d44f45ee-fb3f-4a36-8c01-1470f4b4066c"]},{"id":"ITEM-3","itemData":{"author":[{"dropping-particle":"","family":"al-Khaṭib al-Baghdādī","given":"Aḥmad ibn ʿAli ibn Thābit","non-dropping-particle":"","parse-names":false,"suffix":""}],"id":"ITEM-3","issued":{"date-parts":[["2011"]]},"publisher":"Dār Ibn al-Jawzī","publisher-place":"Riyadh","title":"al-Kifāyah fī Uṣul ʿIlm al-Riwāyah","type":"book"},"uris":["http://www.mendeley.com/documents/?uuid=511f783a-86ab-4e53-b05a-a30a1f1c4c3b"]}],"mendeley":{"formattedCitation":"See: al-Ḥasan ibn ʿAbd al-Raḥmān Ibn Khallād Al-Rāmhurmuzī, &lt;i&gt;Al-Muḥaddith Al-Fāṣil Bayna Al-Rāwī Wa Al-Wāʿī&lt;/i&gt;, ed. ʿAjāj Al-Khaṭīb (Beirut: Dār al-Fikr, 1994); Muḥammad ibn ʿAbd Allāh Ibn al-Bayyiʿ Abū ʿAbd Allāh Al-Ḥākim, &lt;i&gt;Maʿrifat ʿUlūm Al-Ḥadīth Wa Kammiyat Ajnāsihi&lt;/i&gt; (Beirut: Dār Ibn Ḥazm, 2003); Aḥmad ibn ʿAli ibn Thābit al-Khaṭib al-Baghdādī, &lt;i&gt;Al-Kifāyah Fī Uṣul ʿIlm Al-Riwāyah&lt;/i&gt; (Riyadh: Dār Ibn al-Jawzī, 2011).","plainTextFormattedCitation":"See: al-Ḥasan ibn ʿAbd al-Raḥmān Ibn Khallād Al-Rāmhurmuzī, Al-Muḥaddith Al-Fāṣil Bayna Al-Rāwī Wa Al-Wāʿī, ed. ʿAjāj Al-Khaṭīb (Beirut: Dār al-Fikr, 1994); Muḥammad ibn ʿAbd Allāh Ibn al-Bayyiʿ Abū ʿAbd Allāh Al-Ḥākim, Maʿrifat ʿUlūm Al-Ḥadīth Wa Kammiyat Ajnāsihi (Beirut: Dār Ibn Ḥazm, 2003); Aḥmad ibn ʿAli ibn Thābit al-Khaṭib al-Baghdādī, Al-Kifāyah Fī Uṣul ʿIlm Al-Riwāyah (Riyadh: Dār Ibn al-Jawzī, 2011).","previouslyFormattedCitation":"See: al-Ḥasan ibn ʿAbd al-Raḥmān Ibn Khallād Al-Rāmhurmuzī, &lt;i&gt;Al-Muḥaddith Al-Fāṣil Bayna Al-Rāwī Wa Al-Wāʿī&lt;/i&gt;, ed. ʿAjāj Al-Khaṭīb (Beirut: Dār al-Fikr, 1994); Muḥammad ibn ʿAbd Allāh Ibn al-Bayyiʿ Abū ʿAbd Allāh Al-Ḥākim, &lt;i&gt;Maʿrifat ʿUlūm Al-Ḥadīth Wa Kammiyat Ajnāsihi&lt;/i&gt; (Beirut: Dār Ibn Ḥazm, 2003); Aḥmad ibn ʿAli ibn Thābit al-Khaṭib al-Baghdādī, &lt;i&gt;Al-Kifāyah Fī Uṣul ʿIlm Al-Riwāyah&lt;/i&gt; (Riyadh: Dār Ibn al-Jawzī, 2011)."},"properties":{"noteIndex":2},"schema":"https://github.com/citation-style-language/schema/raw/master/csl-citation.json"}</w:instrText>
      </w:r>
      <w:r w:rsidRPr="00AE4029">
        <w:rPr>
          <w:rFonts w:asciiTheme="majorBidi" w:hAnsiTheme="majorBidi" w:cstheme="majorBidi"/>
        </w:rPr>
        <w:fldChar w:fldCharType="separate"/>
      </w:r>
      <w:r w:rsidRPr="00AE4029">
        <w:rPr>
          <w:rFonts w:asciiTheme="majorBidi" w:hAnsiTheme="majorBidi" w:cstheme="majorBidi"/>
          <w:noProof/>
        </w:rPr>
        <w:t xml:space="preserve">See: al-Ḥasan ibn ʿAbd al-Raḥmān Ibn Khallād </w:t>
      </w:r>
      <w:r>
        <w:rPr>
          <w:rFonts w:asciiTheme="majorBidi" w:hAnsiTheme="majorBidi" w:cstheme="majorBidi"/>
          <w:noProof/>
        </w:rPr>
        <w:t>al-</w:t>
      </w:r>
      <w:r w:rsidRPr="00AE4029">
        <w:rPr>
          <w:rFonts w:asciiTheme="majorBidi" w:hAnsiTheme="majorBidi" w:cstheme="majorBidi"/>
          <w:noProof/>
        </w:rPr>
        <w:t xml:space="preserve">Rāmhurmuzī, </w:t>
      </w:r>
      <w:r>
        <w:rPr>
          <w:rFonts w:asciiTheme="majorBidi" w:hAnsiTheme="majorBidi" w:cstheme="majorBidi"/>
          <w:i/>
          <w:noProof/>
        </w:rPr>
        <w:t>al-</w:t>
      </w:r>
      <w:r w:rsidRPr="00AE4029">
        <w:rPr>
          <w:rFonts w:asciiTheme="majorBidi" w:hAnsiTheme="majorBidi" w:cstheme="majorBidi"/>
          <w:i/>
          <w:noProof/>
        </w:rPr>
        <w:t xml:space="preserve">Muḥaddith </w:t>
      </w:r>
      <w:r>
        <w:rPr>
          <w:rFonts w:asciiTheme="majorBidi" w:hAnsiTheme="majorBidi" w:cstheme="majorBidi"/>
          <w:i/>
          <w:noProof/>
        </w:rPr>
        <w:t>al-</w:t>
      </w:r>
      <w:r w:rsidRPr="00AE4029">
        <w:rPr>
          <w:rFonts w:asciiTheme="majorBidi" w:hAnsiTheme="majorBidi" w:cstheme="majorBidi"/>
          <w:i/>
          <w:noProof/>
        </w:rPr>
        <w:t xml:space="preserve">Fāṣil Bayna </w:t>
      </w:r>
      <w:r>
        <w:rPr>
          <w:rFonts w:asciiTheme="majorBidi" w:hAnsiTheme="majorBidi" w:cstheme="majorBidi"/>
          <w:i/>
          <w:noProof/>
        </w:rPr>
        <w:t>al-</w:t>
      </w:r>
      <w:r w:rsidRPr="00AE4029">
        <w:rPr>
          <w:rFonts w:asciiTheme="majorBidi" w:hAnsiTheme="majorBidi" w:cstheme="majorBidi"/>
          <w:i/>
          <w:noProof/>
        </w:rPr>
        <w:t xml:space="preserve">Rāwī Wa </w:t>
      </w:r>
      <w:r>
        <w:rPr>
          <w:rFonts w:asciiTheme="majorBidi" w:hAnsiTheme="majorBidi" w:cstheme="majorBidi"/>
          <w:i/>
          <w:noProof/>
        </w:rPr>
        <w:t>al-</w:t>
      </w:r>
      <w:r w:rsidRPr="00AE4029">
        <w:rPr>
          <w:rFonts w:asciiTheme="majorBidi" w:hAnsiTheme="majorBidi" w:cstheme="majorBidi"/>
          <w:i/>
          <w:noProof/>
        </w:rPr>
        <w:t>Wāʿī</w:t>
      </w:r>
      <w:r w:rsidRPr="00AE4029">
        <w:rPr>
          <w:rFonts w:asciiTheme="majorBidi" w:hAnsiTheme="majorBidi" w:cstheme="majorBidi"/>
          <w:noProof/>
        </w:rPr>
        <w:t xml:space="preserve">, ed. ʿAjāj </w:t>
      </w:r>
      <w:r>
        <w:rPr>
          <w:rFonts w:asciiTheme="majorBidi" w:hAnsiTheme="majorBidi" w:cstheme="majorBidi"/>
          <w:noProof/>
        </w:rPr>
        <w:t>al-</w:t>
      </w:r>
      <w:r w:rsidRPr="00AE4029">
        <w:rPr>
          <w:rFonts w:asciiTheme="majorBidi" w:hAnsiTheme="majorBidi" w:cstheme="majorBidi"/>
          <w:noProof/>
        </w:rPr>
        <w:t xml:space="preserve">Khaṭīb (Beirut: Dār al-Fikr, 1994); Muḥammad ibn ʿAbd Allāh Ibn al-Bayyiʿ Abū ʿAbd Allāh </w:t>
      </w:r>
      <w:r>
        <w:rPr>
          <w:rFonts w:asciiTheme="majorBidi" w:hAnsiTheme="majorBidi" w:cstheme="majorBidi"/>
          <w:noProof/>
        </w:rPr>
        <w:t>al-</w:t>
      </w:r>
      <w:r w:rsidRPr="00AE4029">
        <w:rPr>
          <w:rFonts w:asciiTheme="majorBidi" w:hAnsiTheme="majorBidi" w:cstheme="majorBidi"/>
          <w:noProof/>
        </w:rPr>
        <w:t xml:space="preserve">Ḥākim, </w:t>
      </w:r>
      <w:r w:rsidRPr="00AE4029">
        <w:rPr>
          <w:rFonts w:asciiTheme="majorBidi" w:hAnsiTheme="majorBidi" w:cstheme="majorBidi"/>
          <w:i/>
          <w:noProof/>
        </w:rPr>
        <w:t xml:space="preserve">Maʿrifat ʿUlūm </w:t>
      </w:r>
      <w:r>
        <w:rPr>
          <w:rFonts w:asciiTheme="majorBidi" w:hAnsiTheme="majorBidi" w:cstheme="majorBidi"/>
          <w:i/>
          <w:noProof/>
        </w:rPr>
        <w:t>al-</w:t>
      </w:r>
      <w:r w:rsidRPr="00AE4029">
        <w:rPr>
          <w:rFonts w:asciiTheme="majorBidi" w:hAnsiTheme="majorBidi" w:cstheme="majorBidi"/>
          <w:i/>
          <w:noProof/>
        </w:rPr>
        <w:t>Ḥadīth Wa Kammiyat Ajnāsihi</w:t>
      </w:r>
      <w:r w:rsidRPr="00AE4029">
        <w:rPr>
          <w:rFonts w:asciiTheme="majorBidi" w:hAnsiTheme="majorBidi" w:cstheme="majorBidi"/>
          <w:noProof/>
        </w:rPr>
        <w:t xml:space="preserve"> (Beirut: Dār Ibn Ḥazm, 2003); Aḥmad ibn ʿAli ibn Thābit al-Khaṭib al-Baghdādī, </w:t>
      </w:r>
      <w:r>
        <w:rPr>
          <w:rFonts w:asciiTheme="majorBidi" w:hAnsiTheme="majorBidi" w:cstheme="majorBidi"/>
          <w:i/>
          <w:noProof/>
        </w:rPr>
        <w:t>al-</w:t>
      </w:r>
      <w:r w:rsidRPr="00AE4029">
        <w:rPr>
          <w:rFonts w:asciiTheme="majorBidi" w:hAnsiTheme="majorBidi" w:cstheme="majorBidi"/>
          <w:i/>
          <w:noProof/>
        </w:rPr>
        <w:t xml:space="preserve">Kifāyah Fī Uṣul ʿIlm </w:t>
      </w:r>
      <w:r>
        <w:rPr>
          <w:rFonts w:asciiTheme="majorBidi" w:hAnsiTheme="majorBidi" w:cstheme="majorBidi"/>
          <w:i/>
          <w:noProof/>
        </w:rPr>
        <w:t>al-</w:t>
      </w:r>
      <w:r w:rsidRPr="00AE4029">
        <w:rPr>
          <w:rFonts w:asciiTheme="majorBidi" w:hAnsiTheme="majorBidi" w:cstheme="majorBidi"/>
          <w:i/>
          <w:noProof/>
        </w:rPr>
        <w:t>Riwāyah</w:t>
      </w:r>
      <w:r w:rsidRPr="00AE4029">
        <w:rPr>
          <w:rFonts w:asciiTheme="majorBidi" w:hAnsiTheme="majorBidi" w:cstheme="majorBidi"/>
          <w:noProof/>
        </w:rPr>
        <w:t xml:space="preserve"> (Riyadh: Dār Ibn al-Jawzī, 2011).</w:t>
      </w:r>
      <w:r w:rsidRPr="00AE4029">
        <w:rPr>
          <w:rFonts w:asciiTheme="majorBidi" w:hAnsiTheme="majorBidi" w:cstheme="majorBidi"/>
        </w:rPr>
        <w:fldChar w:fldCharType="end"/>
      </w:r>
    </w:p>
  </w:footnote>
  <w:footnote w:id="3">
    <w:p w14:paraId="48991AF5" w14:textId="77777777" w:rsidR="003A1A78" w:rsidRPr="00AE4029" w:rsidRDefault="003A1A78" w:rsidP="003A1A78">
      <w:pPr>
        <w:pStyle w:val="FootnoteText"/>
        <w:jc w:val="both"/>
        <w:rPr>
          <w:rFonts w:asciiTheme="majorBidi" w:hAnsiTheme="majorBidi" w:cstheme="majorBidi"/>
          <w:lang w:val="en-US"/>
        </w:rPr>
      </w:pPr>
      <w:r w:rsidRPr="00AE4029">
        <w:rPr>
          <w:rStyle w:val="FootnoteReference"/>
          <w:rFonts w:asciiTheme="majorBidi" w:hAnsiTheme="majorBidi" w:cstheme="majorBidi"/>
        </w:rPr>
        <w:footnoteRef/>
      </w:r>
      <w:r w:rsidRPr="00AE4029">
        <w:rPr>
          <w:rFonts w:asciiTheme="majorBidi" w:hAnsiTheme="majorBidi" w:cstheme="majorBidi"/>
        </w:rPr>
        <w:t xml:space="preserve"> </w:t>
      </w:r>
      <w:r w:rsidRPr="00AE4029">
        <w:rPr>
          <w:rFonts w:asciiTheme="majorBidi" w:hAnsiTheme="majorBidi" w:cstheme="majorBidi"/>
        </w:rPr>
        <w:fldChar w:fldCharType="begin" w:fldLock="1"/>
      </w:r>
      <w:r w:rsidRPr="00AE4029">
        <w:rPr>
          <w:rFonts w:asciiTheme="majorBidi" w:hAnsiTheme="majorBidi" w:cstheme="majorBidi"/>
        </w:rPr>
        <w:instrText>ADDIN CSL_CITATION {"citationItems":[{"id":"ITEM-1","itemData":{"author":[{"dropping-particle":"","family":"al-Khaṭib al-Baghdādī","given":"Aḥmad ibn ʿAli ibn Thābit","non-dropping-particle":"","parse-names":false,"suffix":""}],"id":"ITEM-1","issued":{"date-parts":[["2001"]]},"publisher":"Dār al-Gharb al-Islāmī","publisher-place":"Beirut","title":"Tārīkh Madīnat al-Salām wa Akhbār Muḥaddithīhā wa Dhikr Quṭṭānihā al-ʿUlamā min Ghayr Ahlihā wa Wāridīhā","type":"book"},"locator":"11:512","uris":["http://www.mendeley.com/documents/?uuid=b856a70e-df07-44cd-97a3-0bdae7e8124b"]}],"mendeley":{"formattedCitation":"Aḥmad ibn ʿAli ibn Thābit al-Khaṭib al-Baghdādī, &lt;i&gt;Tārīkh Madīnat Al-Salām Wa Akhbār Muḥaddithīhā Wa Dhikr Quṭṭānihā Al-ʿUlamā Min Ghayr Ahlihā Wa Wāridīhā&lt;/i&gt; (Beirut: Dār al-Gharb al-Islāmī, 2001), 11:512.","plainTextFormattedCitation":"Aḥmad ibn ʿAli ibn Thābit al-Khaṭib al-Baghdādī, Tārīkh Madīnat Al-Salām Wa Akhbār Muḥaddithīhā Wa Dhikr Quṭṭānihā Al-ʿUlamā Min Ghayr Ahlihā Wa Wāridīhā (Beirut: Dār al-Gharb al-Islāmī, 2001), 11:512.","previouslyFormattedCitation":"Aḥmad ibn ʿAli ibn Thābit al-Khaṭib al-Baghdādī, &lt;i&gt;Tārīkh Madīnat Al-Salām Wa Akhbār Muḥaddithīhā Wa Dhikr Quṭṭānihā Al-ʿUlamā Min Ghayr Ahlihā Wa Wāridīhā&lt;/i&gt; (Beirut: Dār al-Gharb al-Islāmī, 2001), 11:512."},"properties":{"noteIndex":33},"schema":"https://github.com/citation-style-language/schema/raw/master/csl-citation.json"}</w:instrText>
      </w:r>
      <w:r w:rsidRPr="00AE4029">
        <w:rPr>
          <w:rFonts w:asciiTheme="majorBidi" w:hAnsiTheme="majorBidi" w:cstheme="majorBidi"/>
        </w:rPr>
        <w:fldChar w:fldCharType="separate"/>
      </w:r>
      <w:r w:rsidRPr="00AE4029">
        <w:rPr>
          <w:rFonts w:asciiTheme="majorBidi" w:hAnsiTheme="majorBidi" w:cstheme="majorBidi"/>
          <w:noProof/>
        </w:rPr>
        <w:t xml:space="preserve">Aḥmad ibn ʿAli ibn Thābit al-Khaṭib al-Baghdādī, </w:t>
      </w:r>
      <w:r w:rsidRPr="00AE4029">
        <w:rPr>
          <w:rFonts w:asciiTheme="majorBidi" w:hAnsiTheme="majorBidi" w:cstheme="majorBidi"/>
          <w:i/>
          <w:noProof/>
        </w:rPr>
        <w:t xml:space="preserve">Tārīkh Madīnat </w:t>
      </w:r>
      <w:r>
        <w:rPr>
          <w:rFonts w:asciiTheme="majorBidi" w:hAnsiTheme="majorBidi" w:cstheme="majorBidi"/>
          <w:i/>
          <w:noProof/>
        </w:rPr>
        <w:t>al-</w:t>
      </w:r>
      <w:r w:rsidRPr="00AE4029">
        <w:rPr>
          <w:rFonts w:asciiTheme="majorBidi" w:hAnsiTheme="majorBidi" w:cstheme="majorBidi"/>
          <w:i/>
          <w:noProof/>
        </w:rPr>
        <w:t xml:space="preserve">Salām Wa Akhbār Muḥaddithīhā Wa Dhikr Quṭṭānihā </w:t>
      </w:r>
      <w:r>
        <w:rPr>
          <w:rFonts w:asciiTheme="majorBidi" w:hAnsiTheme="majorBidi" w:cstheme="majorBidi"/>
          <w:i/>
          <w:noProof/>
        </w:rPr>
        <w:t>al-</w:t>
      </w:r>
      <w:r w:rsidRPr="00AE4029">
        <w:rPr>
          <w:rFonts w:asciiTheme="majorBidi" w:hAnsiTheme="majorBidi" w:cstheme="majorBidi"/>
          <w:i/>
          <w:noProof/>
        </w:rPr>
        <w:t>ʿUlamā Min Ghayr Ahlihā Wa Wāridīhā</w:t>
      </w:r>
      <w:r w:rsidRPr="00AE4029">
        <w:rPr>
          <w:rFonts w:asciiTheme="majorBidi" w:hAnsiTheme="majorBidi" w:cstheme="majorBidi"/>
          <w:noProof/>
        </w:rPr>
        <w:t xml:space="preserve"> (Beirut: Dār al-Gharb al-Islāmī, 2001), 11:512.</w:t>
      </w:r>
      <w:r w:rsidRPr="00AE4029">
        <w:rPr>
          <w:rFonts w:asciiTheme="majorBidi" w:hAnsiTheme="majorBidi" w:cstheme="majorBidi"/>
        </w:rPr>
        <w:fldChar w:fldCharType="end"/>
      </w:r>
    </w:p>
  </w:footnote>
  <w:footnote w:id="4">
    <w:p w14:paraId="34AC0BD6" w14:textId="77777777" w:rsidR="003A1A78" w:rsidRPr="00AE4029" w:rsidRDefault="003A1A78" w:rsidP="003A1A78">
      <w:pPr>
        <w:pStyle w:val="FootnoteText"/>
        <w:jc w:val="both"/>
        <w:rPr>
          <w:rFonts w:asciiTheme="majorBidi" w:hAnsiTheme="majorBidi" w:cstheme="majorBidi"/>
          <w:lang w:val="en-US"/>
        </w:rPr>
      </w:pPr>
      <w:r w:rsidRPr="00AE4029">
        <w:rPr>
          <w:rStyle w:val="FootnoteReference"/>
          <w:rFonts w:asciiTheme="majorBidi" w:hAnsiTheme="majorBidi" w:cstheme="majorBidi"/>
        </w:rPr>
        <w:footnoteRef/>
      </w:r>
      <w:r w:rsidRPr="00AE4029">
        <w:rPr>
          <w:rFonts w:asciiTheme="majorBidi" w:hAnsiTheme="majorBidi" w:cstheme="majorBidi"/>
        </w:rPr>
        <w:t xml:space="preserve"> </w:t>
      </w:r>
      <w:r w:rsidRPr="00AE4029">
        <w:rPr>
          <w:rFonts w:asciiTheme="majorBidi" w:hAnsiTheme="majorBidi" w:cstheme="majorBidi"/>
        </w:rPr>
        <w:fldChar w:fldCharType="begin" w:fldLock="1"/>
      </w:r>
      <w:r w:rsidRPr="00AE4029">
        <w:rPr>
          <w:rFonts w:asciiTheme="majorBidi" w:hAnsiTheme="majorBidi" w:cstheme="majorBidi"/>
        </w:rPr>
        <w:instrText>ADDIN CSL_CITATION {"citationItems":[{"id":"ITEM-1","itemData":{"author":[{"dropping-particle":"","family":"Jamil","given":"Khairil Husaini","non-dropping-particle":"Bin","parse-names":false,"suffix":""}],"id":"ITEM-1","issued":{"date-parts":[["2017"]]},"publisher":"SOAS, University of London","title":"Traditional sunni epistemology in the scholarship of al-Hafiz al-Khatib al-Baghdadi (463AH/1071CE)","type":"thesis"},"locator":"71","uris":["http://www.mendeley.com/documents/?uuid=b54de04a-4a63-33fd-8a34-9d0200c5fe31"]}],"mendeley":{"formattedCitation":"Khairil Husaini Bin Jamil, ‘Traditional Sunni Epistemology in the Scholarship of Al-Hafiz Al-Khatib Al-Baghdadi (463AH/1071CE)’ (SOAS, University of London, 2017), 71.","plainTextFormattedCitation":"Khairil Husaini Bin Jamil, ‘Traditional Sunni Epistemology in the Scholarship of Al-Hafiz Al-Khatib Al-Baghdadi (463AH/1071CE)’ (SOAS, University of London, 2017), 71.","previouslyFormattedCitation":"Khairil Husaini Bin Jamil, ‘Traditional Sunni Epistemology in the Scholarship of Al-Hafiz Al-Khatib Al-Baghdadi (463AH/1071CE)’ (SOAS, University of London, 2017), 71."},"properties":{"noteIndex":34},"schema":"https://github.com/citation-style-language/schema/raw/master/csl-citation.json"}</w:instrText>
      </w:r>
      <w:r w:rsidRPr="00AE4029">
        <w:rPr>
          <w:rFonts w:asciiTheme="majorBidi" w:hAnsiTheme="majorBidi" w:cstheme="majorBidi"/>
        </w:rPr>
        <w:fldChar w:fldCharType="separate"/>
      </w:r>
      <w:r w:rsidRPr="00AE4029">
        <w:rPr>
          <w:rFonts w:asciiTheme="majorBidi" w:hAnsiTheme="majorBidi" w:cstheme="majorBidi"/>
          <w:noProof/>
        </w:rPr>
        <w:t xml:space="preserve">Khairil Husaini Bin Jamil, ‘Traditional Sunni Epistemology in the Scholarship of </w:t>
      </w:r>
      <w:r>
        <w:rPr>
          <w:rFonts w:asciiTheme="majorBidi" w:hAnsiTheme="majorBidi" w:cstheme="majorBidi"/>
          <w:noProof/>
        </w:rPr>
        <w:t>al-</w:t>
      </w:r>
      <w:r w:rsidRPr="00AE4029">
        <w:rPr>
          <w:rFonts w:asciiTheme="majorBidi" w:hAnsiTheme="majorBidi" w:cstheme="majorBidi"/>
          <w:noProof/>
        </w:rPr>
        <w:t xml:space="preserve">Hafiz </w:t>
      </w:r>
      <w:r>
        <w:rPr>
          <w:rFonts w:asciiTheme="majorBidi" w:hAnsiTheme="majorBidi" w:cstheme="majorBidi"/>
          <w:noProof/>
        </w:rPr>
        <w:t>al-</w:t>
      </w:r>
      <w:r w:rsidRPr="00AE4029">
        <w:rPr>
          <w:rFonts w:asciiTheme="majorBidi" w:hAnsiTheme="majorBidi" w:cstheme="majorBidi"/>
          <w:noProof/>
        </w:rPr>
        <w:t xml:space="preserve">Khatib </w:t>
      </w:r>
      <w:r>
        <w:rPr>
          <w:rFonts w:asciiTheme="majorBidi" w:hAnsiTheme="majorBidi" w:cstheme="majorBidi"/>
          <w:noProof/>
        </w:rPr>
        <w:t>al-</w:t>
      </w:r>
      <w:r w:rsidRPr="00AE4029">
        <w:rPr>
          <w:rFonts w:asciiTheme="majorBidi" w:hAnsiTheme="majorBidi" w:cstheme="majorBidi"/>
          <w:noProof/>
        </w:rPr>
        <w:t>Baghdadi (463AH/1071CE)’ (SOAS, University of London, 2017), 71.</w:t>
      </w:r>
      <w:r w:rsidRPr="00AE4029">
        <w:rPr>
          <w:rFonts w:asciiTheme="majorBidi" w:hAnsiTheme="majorBidi" w:cstheme="majorBidi"/>
        </w:rPr>
        <w:fldChar w:fldCharType="end"/>
      </w:r>
    </w:p>
  </w:footnote>
  <w:footnote w:id="5">
    <w:p w14:paraId="474EDA9F" w14:textId="77777777" w:rsidR="003A1A78" w:rsidRPr="007A354A" w:rsidRDefault="003A1A78" w:rsidP="003A1A78">
      <w:pPr>
        <w:pStyle w:val="FootnoteText"/>
        <w:jc w:val="both"/>
        <w:rPr>
          <w:rFonts w:asciiTheme="majorBidi" w:hAnsiTheme="majorBidi" w:cstheme="majorBidi"/>
        </w:rPr>
      </w:pPr>
      <w:r w:rsidRPr="00AE4029">
        <w:rPr>
          <w:rStyle w:val="FootnoteReference"/>
          <w:rFonts w:asciiTheme="majorBidi" w:hAnsiTheme="majorBidi" w:cstheme="majorBidi"/>
        </w:rPr>
        <w:footnoteRef/>
      </w:r>
      <w:r w:rsidRPr="00AE4029">
        <w:rPr>
          <w:rFonts w:asciiTheme="majorBidi" w:hAnsiTheme="majorBidi" w:cstheme="majorBidi"/>
        </w:rPr>
        <w:t xml:space="preserve"> </w:t>
      </w:r>
      <w:r w:rsidRPr="00AE4029">
        <w:rPr>
          <w:rFonts w:asciiTheme="majorBidi" w:hAnsiTheme="majorBidi" w:cstheme="majorBidi"/>
        </w:rPr>
        <w:fldChar w:fldCharType="begin" w:fldLock="1"/>
      </w:r>
      <w:r w:rsidRPr="00AE4029">
        <w:rPr>
          <w:rFonts w:asciiTheme="majorBidi" w:hAnsiTheme="majorBidi" w:cstheme="majorBidi"/>
        </w:rPr>
        <w:instrText>ADDIN CSL_CITATION {"citationItems":[{"id":"ITEM-1","itemData":{"author":[{"dropping-particle":"","family":"Ibn al-ʿAṭtār","given":"ʿAlāʾ al-Dīn","non-dropping-particle":"","parse-names":false,"suffix":""}],"edition":"6","id":"ITEM-1","issued":{"date-parts":[["1996"]]},"publisher":"Dār al-Bashāʾir al-Islāmiyyah","publisher-place":"Beirut","title":"Fatāwā al-Imām al-Nawaī al-Musammā bi al-Masāʾil al-Manthūrah","type":"book"},"locator":"266","uris":["http://www.mendeley.com/documents/?uuid=cce053c2-ec57-45a7-bf57-e94d1c9ba518"]}],"mendeley":{"formattedCitation":"ʿAlāʾ al-Dīn Ibn al-ʿAṭtār, &lt;i&gt;Fatāwā Al-Imām Al-Nawaī Al-Musammā Bi Al-Masāʾil Al-Manthūrah&lt;/i&gt;, 6th ed. (Beirut: Dār al-Bashāʾir al-Islāmiyyah, 1996), 266.","plainTextFormattedCitation":"ʿAlāʾ al-Dīn Ibn al-ʿAṭtār, Fatāwā Al-Imām Al-Nawaī Al-Musammā Bi Al-Masāʾil Al-Manthūrah, 6th ed. (Beirut: Dār al-Bashāʾir al-Islāmiyyah, 1996), 266.","previouslyFormattedCitation":"ʿAlāʾ al-Dīn Ibn al-ʿAṭtār, &lt;i&gt;Fatāwā Al-Imām Al-Nawaī Al-Musammā Bi Al-Masāʾil Al-Manthūrah&lt;/i&gt;, 6th ed. (Beirut: Dār al-Bashāʾir al-Islāmiyyah, 1996), 266."},"properties":{"noteIndex":35},"schema":"https://github.com/citation-style-language/schema/raw/master/csl-citation.json"}</w:instrText>
      </w:r>
      <w:r w:rsidRPr="00AE4029">
        <w:rPr>
          <w:rFonts w:asciiTheme="majorBidi" w:hAnsiTheme="majorBidi" w:cstheme="majorBidi"/>
        </w:rPr>
        <w:fldChar w:fldCharType="separate"/>
      </w:r>
      <w:r w:rsidRPr="00AE4029">
        <w:rPr>
          <w:rFonts w:asciiTheme="majorBidi" w:hAnsiTheme="majorBidi" w:cstheme="majorBidi"/>
          <w:noProof/>
        </w:rPr>
        <w:t xml:space="preserve">ʿAlāʾ al-Dīn Ibn al-ʿAṭtār, </w:t>
      </w:r>
      <w:r w:rsidRPr="00AE4029">
        <w:rPr>
          <w:rFonts w:asciiTheme="majorBidi" w:hAnsiTheme="majorBidi" w:cstheme="majorBidi"/>
          <w:i/>
          <w:noProof/>
        </w:rPr>
        <w:t xml:space="preserve">Fatāwā </w:t>
      </w:r>
      <w:r>
        <w:rPr>
          <w:rFonts w:asciiTheme="majorBidi" w:hAnsiTheme="majorBidi" w:cstheme="majorBidi"/>
          <w:i/>
          <w:noProof/>
        </w:rPr>
        <w:t>al-</w:t>
      </w:r>
      <w:r w:rsidRPr="00AE4029">
        <w:rPr>
          <w:rFonts w:asciiTheme="majorBidi" w:hAnsiTheme="majorBidi" w:cstheme="majorBidi"/>
          <w:i/>
          <w:noProof/>
        </w:rPr>
        <w:t xml:space="preserve">Imām </w:t>
      </w:r>
      <w:r>
        <w:rPr>
          <w:rFonts w:asciiTheme="majorBidi" w:hAnsiTheme="majorBidi" w:cstheme="majorBidi"/>
          <w:i/>
          <w:noProof/>
        </w:rPr>
        <w:t>al-</w:t>
      </w:r>
      <w:r w:rsidRPr="00AE4029">
        <w:rPr>
          <w:rFonts w:asciiTheme="majorBidi" w:hAnsiTheme="majorBidi" w:cstheme="majorBidi"/>
          <w:i/>
          <w:noProof/>
        </w:rPr>
        <w:t xml:space="preserve">Nawaī </w:t>
      </w:r>
      <w:r>
        <w:rPr>
          <w:rFonts w:asciiTheme="majorBidi" w:hAnsiTheme="majorBidi" w:cstheme="majorBidi"/>
          <w:i/>
          <w:noProof/>
        </w:rPr>
        <w:t>al-</w:t>
      </w:r>
      <w:r w:rsidRPr="00AE4029">
        <w:rPr>
          <w:rFonts w:asciiTheme="majorBidi" w:hAnsiTheme="majorBidi" w:cstheme="majorBidi"/>
          <w:i/>
          <w:noProof/>
        </w:rPr>
        <w:t xml:space="preserve">Musammā Bi </w:t>
      </w:r>
      <w:r>
        <w:rPr>
          <w:rFonts w:asciiTheme="majorBidi" w:hAnsiTheme="majorBidi" w:cstheme="majorBidi"/>
          <w:i/>
          <w:noProof/>
        </w:rPr>
        <w:t>al-</w:t>
      </w:r>
      <w:r w:rsidRPr="00AE4029">
        <w:rPr>
          <w:rFonts w:asciiTheme="majorBidi" w:hAnsiTheme="majorBidi" w:cstheme="majorBidi"/>
          <w:i/>
          <w:noProof/>
        </w:rPr>
        <w:t xml:space="preserve">Masāʾil </w:t>
      </w:r>
      <w:r>
        <w:rPr>
          <w:rFonts w:asciiTheme="majorBidi" w:hAnsiTheme="majorBidi" w:cstheme="majorBidi"/>
          <w:i/>
          <w:noProof/>
        </w:rPr>
        <w:t>al-</w:t>
      </w:r>
      <w:r w:rsidRPr="00AE4029">
        <w:rPr>
          <w:rFonts w:asciiTheme="majorBidi" w:hAnsiTheme="majorBidi" w:cstheme="majorBidi"/>
          <w:i/>
          <w:noProof/>
        </w:rPr>
        <w:t>Manthūrah</w:t>
      </w:r>
      <w:r w:rsidRPr="00AE4029">
        <w:rPr>
          <w:rFonts w:asciiTheme="majorBidi" w:hAnsiTheme="majorBidi" w:cstheme="majorBidi"/>
          <w:noProof/>
        </w:rPr>
        <w:t>, 6th ed. (Beirut: Dār al-Bashāʾir al-Islāmiyyah, 1996), 266.</w:t>
      </w:r>
      <w:r w:rsidRPr="00AE4029">
        <w:rPr>
          <w:rFonts w:asciiTheme="majorBidi" w:hAnsiTheme="majorBidi" w:cstheme="majorBidi"/>
        </w:rPr>
        <w:fldChar w:fldCharType="end"/>
      </w:r>
    </w:p>
  </w:footnote>
  <w:footnote w:id="6">
    <w:p w14:paraId="3725E359" w14:textId="77777777" w:rsidR="003A1A78" w:rsidRPr="007A354A" w:rsidRDefault="003A1A78" w:rsidP="003A1A78">
      <w:pPr>
        <w:pStyle w:val="FootnoteText"/>
        <w:jc w:val="both"/>
        <w:rPr>
          <w:rFonts w:asciiTheme="majorBidi" w:hAnsiTheme="majorBidi" w:cstheme="majorBidi"/>
        </w:rPr>
      </w:pPr>
      <w:r w:rsidRPr="00AE4029">
        <w:rPr>
          <w:rStyle w:val="FootnoteReference"/>
          <w:rFonts w:asciiTheme="majorBidi" w:hAnsiTheme="majorBidi" w:cstheme="majorBidi"/>
        </w:rPr>
        <w:footnoteRef/>
      </w:r>
      <w:r w:rsidRPr="00AE4029">
        <w:rPr>
          <w:rFonts w:asciiTheme="majorBidi" w:hAnsiTheme="majorBidi" w:cstheme="majorBidi"/>
        </w:rPr>
        <w:t xml:space="preserve"> </w:t>
      </w:r>
      <w:r w:rsidRPr="00AE4029">
        <w:rPr>
          <w:rFonts w:asciiTheme="majorBidi" w:hAnsiTheme="majorBidi" w:cstheme="majorBidi"/>
        </w:rPr>
        <w:fldChar w:fldCharType="begin" w:fldLock="1"/>
      </w:r>
      <w:r w:rsidRPr="00AE4029">
        <w:rPr>
          <w:rFonts w:asciiTheme="majorBidi" w:hAnsiTheme="majorBidi" w:cstheme="majorBidi"/>
        </w:rPr>
        <w:instrText>ADDIN CSL_CITATION {"citationItems":[{"id":"ITEM-1","itemData":{"author":[{"dropping-particle":"","family":"Ibn al-ʿArabī","given":"Muḥammad ibn ʿAbd Allāh al-Muʿāfirī al-Ishbīlī","non-dropping-particle":"","parse-names":false,"suffix":""}],"editor":[{"dropping-particle":"","family":"Bū Khubzah","given":"Muḥammad Abū Uways al-Ḥusaynī","non-dropping-particle":"","parse-names":false,"suffix":""}],"id":"ITEM-1","issued":{"date-parts":[["2009"]]},"publisher":"Dār Ibn Ḥazm","publisher-place":"Beirut","title":"Sirāj al-Muhtadīn fī Ādāb al-Ṣāliḥīn","type":"book"},"prefix":"See editorial remark in:","uris":["http://www.mendeley.com/documents/?uuid=a2318acb-87bd-4995-bbe8-763dedab870d"]}],"mendeley":{"formattedCitation":"See editorial remark in: Muḥammad ibn ʿAbd Allāh al-Muʿāfirī al-Ishbīlī Ibn al-ʿArabī, &lt;i&gt;Sirāj Al-Muhtadīn Fī Ādāb Al-Ṣāliḥīn&lt;/i&gt;, ed. Muḥammad Abū Uways al-Ḥusaynī Bū Khubzah (Beirut: Dār Ibn Ḥazm, 2009).","plainTextFormattedCitation":"See editorial remark in: Muḥammad ibn ʿAbd Allāh al-Muʿāfirī al-Ishbīlī Ibn al-ʿArabī, Sirāj Al-Muhtadīn Fī Ādāb Al-Ṣāliḥīn, ed. Muḥammad Abū Uways al-Ḥusaynī Bū Khubzah (Beirut: Dār Ibn Ḥazm, 2009).","previouslyFormattedCitation":"See editorial remark in: Muḥammad ibn ʿAbd Allāh al-Muʿāfirī al-Ishbīlī Ibn al-ʿArabī, &lt;i&gt;Sirāj Al-Muhtadīn Fī Ādāb Al-Ṣāliḥīn&lt;/i&gt;, ed. Muḥammad Abū Uways al-Ḥusaynī Bū Khubzah (Beirut: Dār Ibn Ḥazm, 2009)."},"properties":{"noteIndex":36},"schema":"https://github.com/citation-style-language/schema/raw/master/csl-citation.json"}</w:instrText>
      </w:r>
      <w:r w:rsidRPr="00AE4029">
        <w:rPr>
          <w:rFonts w:asciiTheme="majorBidi" w:hAnsiTheme="majorBidi" w:cstheme="majorBidi"/>
        </w:rPr>
        <w:fldChar w:fldCharType="separate"/>
      </w:r>
      <w:r w:rsidRPr="00AE4029">
        <w:rPr>
          <w:rFonts w:asciiTheme="majorBidi" w:hAnsiTheme="majorBidi" w:cstheme="majorBidi"/>
          <w:noProof/>
        </w:rPr>
        <w:t xml:space="preserve">See editorial remark in: Muḥammad ibn ʿAbd Allāh al-Muʿāfirī al-Ishbīlī Ibn al-ʿArabī, </w:t>
      </w:r>
      <w:r w:rsidRPr="00AE4029">
        <w:rPr>
          <w:rFonts w:asciiTheme="majorBidi" w:hAnsiTheme="majorBidi" w:cstheme="majorBidi"/>
          <w:i/>
          <w:noProof/>
        </w:rPr>
        <w:t xml:space="preserve">Sirāj </w:t>
      </w:r>
      <w:r>
        <w:rPr>
          <w:rFonts w:asciiTheme="majorBidi" w:hAnsiTheme="majorBidi" w:cstheme="majorBidi"/>
          <w:i/>
          <w:noProof/>
        </w:rPr>
        <w:t>al-</w:t>
      </w:r>
      <w:r w:rsidRPr="00AE4029">
        <w:rPr>
          <w:rFonts w:asciiTheme="majorBidi" w:hAnsiTheme="majorBidi" w:cstheme="majorBidi"/>
          <w:i/>
          <w:noProof/>
        </w:rPr>
        <w:t xml:space="preserve">Muhtadīn Fī Ādāb </w:t>
      </w:r>
      <w:r>
        <w:rPr>
          <w:rFonts w:asciiTheme="majorBidi" w:hAnsiTheme="majorBidi" w:cstheme="majorBidi"/>
          <w:i/>
          <w:noProof/>
        </w:rPr>
        <w:t>al-</w:t>
      </w:r>
      <w:r w:rsidRPr="00AE4029">
        <w:rPr>
          <w:rFonts w:asciiTheme="majorBidi" w:hAnsiTheme="majorBidi" w:cstheme="majorBidi"/>
          <w:i/>
          <w:noProof/>
        </w:rPr>
        <w:t>Ṣāliḥīn</w:t>
      </w:r>
      <w:r w:rsidRPr="00AE4029">
        <w:rPr>
          <w:rFonts w:asciiTheme="majorBidi" w:hAnsiTheme="majorBidi" w:cstheme="majorBidi"/>
          <w:noProof/>
        </w:rPr>
        <w:t>, ed. Muḥammad Abū Uways al-Ḥusaynī Bū Khubzah (Beirut: Dār Ibn Ḥazm, 2009).</w:t>
      </w:r>
      <w:r w:rsidRPr="00AE4029">
        <w:rPr>
          <w:rFonts w:asciiTheme="majorBidi" w:hAnsiTheme="majorBidi" w:cstheme="majorBidi"/>
        </w:rPr>
        <w:fldChar w:fldCharType="end"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E1F82"/>
    <w:multiLevelType w:val="hybridMultilevel"/>
    <w:tmpl w:val="BDCE0C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A78"/>
    <w:rsid w:val="003A1A78"/>
    <w:rsid w:val="00B2640F"/>
    <w:rsid w:val="00C8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9BC9BA"/>
  <w15:chartTrackingRefBased/>
  <w15:docId w15:val="{C56409DE-CEF6-0A4F-B3E0-BBCC98B60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1A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1A78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unhideWhenUsed/>
    <w:rsid w:val="003A1A78"/>
    <w:rPr>
      <w:rFonts w:ascii="Cambria" w:eastAsia="Malgun Gothic" w:hAnsi="Cambria" w:cs="Arial"/>
      <w:sz w:val="20"/>
      <w:szCs w:val="20"/>
      <w:lang w:val="id-ID"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A1A78"/>
    <w:rPr>
      <w:rFonts w:ascii="Cambria" w:eastAsia="Malgun Gothic" w:hAnsi="Cambria" w:cs="Arial"/>
      <w:sz w:val="20"/>
      <w:szCs w:val="20"/>
      <w:lang w:val="id-ID" w:eastAsia="ja-JP"/>
    </w:rPr>
  </w:style>
  <w:style w:type="character" w:styleId="FootnoteReference">
    <w:name w:val="footnote reference"/>
    <w:uiPriority w:val="99"/>
    <w:semiHidden/>
    <w:unhideWhenUsed/>
    <w:rsid w:val="003A1A78"/>
    <w:rPr>
      <w:vertAlign w:val="superscript"/>
    </w:rPr>
  </w:style>
  <w:style w:type="paragraph" w:styleId="ListParagraph">
    <w:name w:val="List Paragraph"/>
    <w:basedOn w:val="Normal"/>
    <w:uiPriority w:val="34"/>
    <w:qFormat/>
    <w:rsid w:val="003A1A78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A1A78"/>
    <w:pPr>
      <w:tabs>
        <w:tab w:val="center" w:pos="4680"/>
        <w:tab w:val="right" w:pos="9360"/>
      </w:tabs>
    </w:pPr>
    <w:rPr>
      <w:rFonts w:ascii="Times New Roman" w:eastAsia="Malgun Gothic" w:hAnsi="Times New Roman" w:cs="Times New Roman"/>
      <w:sz w:val="20"/>
      <w:szCs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3A1A78"/>
    <w:rPr>
      <w:rFonts w:ascii="Times New Roman" w:eastAsia="Malgun Gothic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usaini@iium.edu.m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1597</Words>
  <Characters>9104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Dewi Apriliya</dc:creator>
  <cp:keywords/>
  <dc:description/>
  <cp:lastModifiedBy>Dewi Apriliya</cp:lastModifiedBy>
  <cp:revision>1</cp:revision>
  <dcterms:created xsi:type="dcterms:W3CDTF">2022-07-19T05:52:00Z</dcterms:created>
  <dcterms:modified xsi:type="dcterms:W3CDTF">2022-07-19T06:00:00Z</dcterms:modified>
</cp:coreProperties>
</file>