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3E" w:rsidRPr="009F77A7" w:rsidRDefault="00CB1C0B" w:rsidP="00B645F6">
      <w:pPr>
        <w:spacing w:after="240" w:line="240" w:lineRule="auto"/>
        <w:jc w:val="center"/>
        <w:rPr>
          <w:rFonts w:asciiTheme="majorBidi" w:hAnsiTheme="majorBidi" w:cstheme="majorBidi"/>
          <w:b/>
          <w:bCs/>
          <w:sz w:val="24"/>
          <w:szCs w:val="24"/>
          <w:shd w:val="clear" w:color="auto" w:fill="FFFFFF"/>
        </w:rPr>
      </w:pPr>
      <w:r w:rsidRPr="009F77A7">
        <w:rPr>
          <w:rFonts w:asciiTheme="majorBidi" w:hAnsiTheme="majorBidi" w:cstheme="majorBidi"/>
          <w:b/>
          <w:bCs/>
          <w:sz w:val="24"/>
          <w:szCs w:val="24"/>
          <w:shd w:val="clear" w:color="auto" w:fill="FFFFFF"/>
        </w:rPr>
        <w:t>Takwil</w:t>
      </w:r>
      <w:r w:rsidR="007B5F48" w:rsidRPr="009F77A7">
        <w:rPr>
          <w:rFonts w:asciiTheme="majorBidi" w:hAnsiTheme="majorBidi" w:cstheme="majorBidi"/>
          <w:b/>
          <w:bCs/>
          <w:i/>
          <w:iCs/>
          <w:sz w:val="24"/>
          <w:szCs w:val="24"/>
          <w:shd w:val="clear" w:color="auto" w:fill="FFFFFF"/>
        </w:rPr>
        <w:t xml:space="preserve"> </w:t>
      </w:r>
      <w:r w:rsidR="007B5F48" w:rsidRPr="009F77A7">
        <w:rPr>
          <w:rFonts w:asciiTheme="majorBidi" w:hAnsiTheme="majorBidi" w:cstheme="majorBidi"/>
          <w:b/>
          <w:bCs/>
          <w:i/>
          <w:iCs/>
          <w:sz w:val="24"/>
          <w:szCs w:val="24"/>
        </w:rPr>
        <w:t>As-Sirāṭ Al-Mustaqīm</w:t>
      </w:r>
      <w:r w:rsidR="00433B12" w:rsidRPr="009F77A7">
        <w:rPr>
          <w:rFonts w:asciiTheme="majorBidi" w:hAnsiTheme="majorBidi" w:cstheme="majorBidi"/>
          <w:b/>
          <w:bCs/>
          <w:i/>
          <w:iCs/>
          <w:sz w:val="24"/>
          <w:szCs w:val="24"/>
        </w:rPr>
        <w:t xml:space="preserve"> </w:t>
      </w:r>
      <w:r w:rsidR="00433B12" w:rsidRPr="009F77A7">
        <w:rPr>
          <w:rFonts w:asciiTheme="majorBidi" w:hAnsiTheme="majorBidi" w:cstheme="majorBidi"/>
          <w:b/>
          <w:bCs/>
          <w:sz w:val="24"/>
          <w:szCs w:val="24"/>
        </w:rPr>
        <w:t xml:space="preserve">dalam </w:t>
      </w:r>
      <w:r w:rsidRPr="009F77A7">
        <w:rPr>
          <w:rFonts w:asciiTheme="majorBidi" w:hAnsiTheme="majorBidi" w:cstheme="majorBidi"/>
          <w:b/>
          <w:bCs/>
          <w:sz w:val="24"/>
          <w:szCs w:val="24"/>
        </w:rPr>
        <w:t>Pembacaan Tafsir</w:t>
      </w:r>
      <w:r w:rsidR="00F41E02" w:rsidRPr="009F77A7">
        <w:rPr>
          <w:rFonts w:asciiTheme="majorBidi" w:hAnsiTheme="majorBidi" w:cstheme="majorBidi"/>
          <w:b/>
          <w:bCs/>
          <w:sz w:val="24"/>
          <w:szCs w:val="24"/>
        </w:rPr>
        <w:t xml:space="preserve"> </w:t>
      </w:r>
      <w:r w:rsidR="00433B12" w:rsidRPr="009F77A7">
        <w:rPr>
          <w:rFonts w:asciiTheme="majorBidi" w:hAnsiTheme="majorBidi" w:cstheme="majorBidi"/>
          <w:b/>
          <w:bCs/>
          <w:sz w:val="24"/>
          <w:szCs w:val="24"/>
        </w:rPr>
        <w:t>Mulla Sadra</w:t>
      </w:r>
    </w:p>
    <w:p w:rsidR="00D5775E" w:rsidRPr="009F77A7" w:rsidRDefault="00D5775E" w:rsidP="00D5775E">
      <w:pPr>
        <w:spacing w:after="0" w:line="240" w:lineRule="auto"/>
        <w:jc w:val="center"/>
        <w:rPr>
          <w:rFonts w:asciiTheme="majorBidi" w:hAnsiTheme="majorBidi" w:cstheme="majorBidi"/>
          <w:b/>
          <w:bCs/>
          <w:sz w:val="24"/>
          <w:szCs w:val="24"/>
        </w:rPr>
      </w:pPr>
      <w:r w:rsidRPr="009F77A7">
        <w:rPr>
          <w:rFonts w:asciiTheme="majorBidi" w:hAnsiTheme="majorBidi" w:cstheme="majorBidi"/>
          <w:b/>
          <w:bCs/>
          <w:sz w:val="24"/>
          <w:szCs w:val="24"/>
        </w:rPr>
        <w:t>Nurul Khair</w:t>
      </w:r>
    </w:p>
    <w:p w:rsidR="00D5775E" w:rsidRPr="009F77A7" w:rsidRDefault="00FF5453" w:rsidP="00D5775E">
      <w:pPr>
        <w:spacing w:after="0" w:line="240" w:lineRule="auto"/>
        <w:jc w:val="center"/>
        <w:rPr>
          <w:rFonts w:asciiTheme="majorBidi" w:hAnsiTheme="majorBidi" w:cstheme="majorBidi"/>
          <w:b/>
          <w:bCs/>
          <w:sz w:val="24"/>
          <w:szCs w:val="24"/>
        </w:rPr>
      </w:pPr>
      <w:hyperlink r:id="rId9" w:history="1">
        <w:r w:rsidR="00D5775E" w:rsidRPr="009F77A7">
          <w:rPr>
            <w:rStyle w:val="Hyperlink"/>
            <w:rFonts w:asciiTheme="majorBidi" w:hAnsiTheme="majorBidi" w:cstheme="majorBidi"/>
            <w:b/>
            <w:bCs/>
            <w:sz w:val="24"/>
            <w:szCs w:val="24"/>
          </w:rPr>
          <w:t>nurulkhair97@gmail.com</w:t>
        </w:r>
      </w:hyperlink>
      <w:r w:rsidR="00D5775E" w:rsidRPr="009F77A7">
        <w:rPr>
          <w:rFonts w:asciiTheme="majorBidi" w:hAnsiTheme="majorBidi" w:cstheme="majorBidi"/>
          <w:b/>
          <w:bCs/>
          <w:sz w:val="24"/>
          <w:szCs w:val="24"/>
        </w:rPr>
        <w:t xml:space="preserve"> </w:t>
      </w:r>
    </w:p>
    <w:p w:rsidR="00BD30A0" w:rsidRPr="00FA7816" w:rsidRDefault="00FA7816" w:rsidP="00D5775E">
      <w:pPr>
        <w:spacing w:after="120" w:line="240" w:lineRule="auto"/>
        <w:jc w:val="center"/>
        <w:rPr>
          <w:rFonts w:asciiTheme="majorBidi" w:hAnsiTheme="majorBidi" w:cstheme="majorBidi"/>
          <w:b/>
          <w:bCs/>
          <w:sz w:val="24"/>
          <w:szCs w:val="24"/>
          <w:shd w:val="clear" w:color="auto" w:fill="FFFFFF"/>
          <w:lang w:val="en-US"/>
        </w:rPr>
      </w:pPr>
      <w:r>
        <w:rPr>
          <w:rFonts w:asciiTheme="majorBidi" w:hAnsiTheme="majorBidi" w:cstheme="majorBidi"/>
          <w:b/>
          <w:bCs/>
          <w:sz w:val="24"/>
          <w:szCs w:val="24"/>
          <w:shd w:val="clear" w:color="auto" w:fill="FFFFFF"/>
          <w:lang w:val="en-US"/>
        </w:rPr>
        <w:t xml:space="preserve">Ahlul Bait International University, Tehran, Iran </w:t>
      </w:r>
    </w:p>
    <w:p w:rsidR="00BD30A0" w:rsidRPr="009F77A7" w:rsidRDefault="00BD30A0" w:rsidP="00BD30A0">
      <w:pPr>
        <w:spacing w:after="0" w:line="240" w:lineRule="auto"/>
        <w:jc w:val="center"/>
        <w:rPr>
          <w:rFonts w:asciiTheme="majorBidi" w:hAnsiTheme="majorBidi" w:cstheme="majorBidi"/>
          <w:b/>
          <w:bCs/>
          <w:sz w:val="24"/>
          <w:szCs w:val="24"/>
          <w:shd w:val="clear" w:color="auto" w:fill="FFFFFF"/>
        </w:rPr>
      </w:pPr>
      <w:r w:rsidRPr="009F77A7">
        <w:rPr>
          <w:rFonts w:asciiTheme="majorBidi" w:hAnsiTheme="majorBidi" w:cstheme="majorBidi"/>
          <w:b/>
          <w:bCs/>
          <w:sz w:val="24"/>
          <w:szCs w:val="24"/>
          <w:shd w:val="clear" w:color="auto" w:fill="FFFFFF"/>
        </w:rPr>
        <w:t>Ahmed Zaranggi Ar Ridho</w:t>
      </w:r>
    </w:p>
    <w:p w:rsidR="00BD30A0" w:rsidRPr="009F77A7" w:rsidRDefault="00FF5453" w:rsidP="00BD30A0">
      <w:pPr>
        <w:spacing w:after="0" w:line="240" w:lineRule="auto"/>
        <w:jc w:val="center"/>
        <w:rPr>
          <w:rFonts w:asciiTheme="majorBidi" w:hAnsiTheme="majorBidi" w:cstheme="majorBidi"/>
          <w:b/>
          <w:bCs/>
          <w:sz w:val="24"/>
          <w:szCs w:val="24"/>
          <w:shd w:val="clear" w:color="auto" w:fill="FFFFFF"/>
        </w:rPr>
      </w:pPr>
      <w:hyperlink r:id="rId10" w:history="1">
        <w:r w:rsidR="00BD30A0" w:rsidRPr="009F77A7">
          <w:rPr>
            <w:rStyle w:val="Hyperlink"/>
            <w:rFonts w:asciiTheme="majorBidi" w:hAnsiTheme="majorBidi" w:cstheme="majorBidi"/>
            <w:sz w:val="24"/>
            <w:szCs w:val="24"/>
          </w:rPr>
          <w:t>zeranggi.reza@gmail.com</w:t>
        </w:r>
      </w:hyperlink>
      <w:r w:rsidR="00BD30A0" w:rsidRPr="009F77A7">
        <w:rPr>
          <w:rFonts w:asciiTheme="majorBidi" w:hAnsiTheme="majorBidi" w:cstheme="majorBidi"/>
          <w:sz w:val="24"/>
          <w:szCs w:val="24"/>
        </w:rPr>
        <w:t xml:space="preserve"> </w:t>
      </w:r>
      <w:hyperlink r:id="rId11" w:history="1"/>
      <w:r w:rsidR="00BD30A0" w:rsidRPr="009F77A7">
        <w:rPr>
          <w:rFonts w:asciiTheme="majorBidi" w:hAnsiTheme="majorBidi" w:cstheme="majorBidi"/>
          <w:b/>
          <w:bCs/>
          <w:sz w:val="24"/>
          <w:szCs w:val="24"/>
          <w:shd w:val="clear" w:color="auto" w:fill="FFFFFF"/>
        </w:rPr>
        <w:t xml:space="preserve">  </w:t>
      </w:r>
    </w:p>
    <w:p w:rsidR="00502364" w:rsidRPr="009F77A7" w:rsidRDefault="00BD30A0" w:rsidP="00BD30A0">
      <w:pPr>
        <w:spacing w:after="240" w:line="240" w:lineRule="auto"/>
        <w:jc w:val="center"/>
        <w:rPr>
          <w:rFonts w:asciiTheme="majorBidi" w:hAnsiTheme="majorBidi" w:cstheme="majorBidi"/>
          <w:b/>
          <w:bCs/>
          <w:sz w:val="24"/>
          <w:szCs w:val="24"/>
          <w:shd w:val="clear" w:color="auto" w:fill="FFFFFF"/>
        </w:rPr>
      </w:pPr>
      <w:r w:rsidRPr="009F77A7">
        <w:rPr>
          <w:rFonts w:asciiTheme="majorBidi" w:hAnsiTheme="majorBidi" w:cstheme="majorBidi"/>
          <w:b/>
          <w:bCs/>
          <w:sz w:val="24"/>
          <w:szCs w:val="24"/>
          <w:shd w:val="clear" w:color="auto" w:fill="FFFFFF"/>
        </w:rPr>
        <w:t xml:space="preserve">Sekolah Tinggi Filsafat Islam Sadra Jakarta, Indonesia </w:t>
      </w:r>
    </w:p>
    <w:p w:rsidR="00502364" w:rsidRPr="009F77A7" w:rsidRDefault="00502364" w:rsidP="00502364">
      <w:pPr>
        <w:spacing w:after="0" w:line="240" w:lineRule="auto"/>
        <w:jc w:val="center"/>
        <w:rPr>
          <w:rFonts w:asciiTheme="majorBidi" w:hAnsiTheme="majorBidi" w:cstheme="majorBidi"/>
          <w:b/>
          <w:bCs/>
          <w:sz w:val="24"/>
          <w:szCs w:val="24"/>
          <w:shd w:val="clear" w:color="auto" w:fill="FFFFFF"/>
        </w:rPr>
      </w:pPr>
      <w:r w:rsidRPr="009F77A7">
        <w:rPr>
          <w:rFonts w:asciiTheme="majorBidi" w:hAnsiTheme="majorBidi" w:cstheme="majorBidi"/>
          <w:b/>
          <w:bCs/>
          <w:sz w:val="24"/>
          <w:szCs w:val="24"/>
          <w:shd w:val="clear" w:color="auto" w:fill="FFFFFF"/>
        </w:rPr>
        <w:t>Siti Hadaynayah Salsabila</w:t>
      </w:r>
    </w:p>
    <w:p w:rsidR="00D5775E" w:rsidRPr="009F77A7" w:rsidRDefault="00D5775E" w:rsidP="00502364">
      <w:pPr>
        <w:spacing w:after="0" w:line="240" w:lineRule="auto"/>
        <w:jc w:val="center"/>
        <w:rPr>
          <w:rFonts w:asciiTheme="majorBidi" w:hAnsiTheme="majorBidi" w:cstheme="majorBidi"/>
          <w:b/>
          <w:bCs/>
          <w:sz w:val="24"/>
          <w:szCs w:val="24"/>
          <w:shd w:val="clear" w:color="auto" w:fill="FFFFFF"/>
        </w:rPr>
      </w:pPr>
      <w:r w:rsidRPr="009F77A7">
        <w:rPr>
          <w:rFonts w:asciiTheme="majorBidi" w:hAnsiTheme="majorBidi" w:cstheme="majorBidi"/>
          <w:b/>
          <w:bCs/>
          <w:sz w:val="24"/>
          <w:szCs w:val="24"/>
          <w:shd w:val="clear" w:color="auto" w:fill="FFFFFF"/>
        </w:rPr>
        <w:t xml:space="preserve"> </w:t>
      </w:r>
      <w:r w:rsidR="00502364" w:rsidRPr="009F77A7">
        <w:rPr>
          <w:rFonts w:asciiTheme="majorBidi" w:hAnsiTheme="majorBidi" w:cstheme="majorBidi"/>
          <w:b/>
          <w:bCs/>
          <w:sz w:val="24"/>
          <w:szCs w:val="24"/>
          <w:shd w:val="clear" w:color="auto" w:fill="FFFFFF"/>
        </w:rPr>
        <w:t>Sekolah Tinggi Filsafat Islam Sadra Jakarta, Indonesia</w:t>
      </w:r>
    </w:p>
    <w:p w:rsidR="005D0701" w:rsidRPr="009F77A7" w:rsidRDefault="005D0701" w:rsidP="005D0701">
      <w:pPr>
        <w:spacing w:after="240" w:line="240" w:lineRule="auto"/>
        <w:jc w:val="center"/>
        <w:rPr>
          <w:rFonts w:asciiTheme="majorBidi" w:hAnsiTheme="majorBidi" w:cstheme="majorBidi"/>
          <w:b/>
          <w:bCs/>
          <w:sz w:val="24"/>
          <w:szCs w:val="24"/>
          <w:shd w:val="clear" w:color="auto" w:fill="FFFFFF"/>
        </w:rPr>
      </w:pPr>
    </w:p>
    <w:p w:rsidR="00E62909" w:rsidRPr="009F77A7" w:rsidRDefault="00E62909" w:rsidP="005D0701">
      <w:pPr>
        <w:autoSpaceDE w:val="0"/>
        <w:autoSpaceDN w:val="0"/>
        <w:adjustRightInd w:val="0"/>
        <w:spacing w:line="240" w:lineRule="auto"/>
        <w:jc w:val="center"/>
        <w:rPr>
          <w:rFonts w:asciiTheme="majorBidi" w:hAnsiTheme="majorBidi" w:cstheme="majorBidi"/>
          <w:b/>
          <w:bCs/>
          <w:sz w:val="24"/>
          <w:szCs w:val="24"/>
        </w:rPr>
      </w:pPr>
      <w:r w:rsidRPr="009F77A7">
        <w:rPr>
          <w:rFonts w:asciiTheme="majorBidi" w:hAnsiTheme="majorBidi" w:cstheme="majorBidi"/>
          <w:b/>
          <w:bCs/>
          <w:sz w:val="24"/>
          <w:szCs w:val="24"/>
        </w:rPr>
        <w:t>Abstrak</w:t>
      </w:r>
    </w:p>
    <w:p w:rsidR="00051033" w:rsidRPr="009F77A7" w:rsidRDefault="00051033" w:rsidP="00B74429">
      <w:pPr>
        <w:spacing w:line="240" w:lineRule="auto"/>
        <w:ind w:left="720"/>
        <w:jc w:val="both"/>
        <w:rPr>
          <w:rFonts w:asciiTheme="majorBidi" w:hAnsiTheme="majorBidi" w:cstheme="majorBidi"/>
          <w:i/>
          <w:iCs/>
          <w:sz w:val="24"/>
          <w:szCs w:val="24"/>
        </w:rPr>
      </w:pPr>
      <w:r w:rsidRPr="007262F2">
        <w:rPr>
          <w:rFonts w:asciiTheme="majorBidi" w:hAnsiTheme="majorBidi" w:cstheme="majorBidi"/>
          <w:i/>
          <w:iCs/>
          <w:sz w:val="20"/>
          <w:szCs w:val="20"/>
        </w:rPr>
        <w:t xml:space="preserve">Tulisan ini merupakan telaah pustaka pemikiran Mulla Sadra mengenai </w:t>
      </w:r>
      <w:r w:rsidR="00BD3F64" w:rsidRPr="007262F2">
        <w:rPr>
          <w:rFonts w:asciiTheme="majorBidi" w:hAnsiTheme="majorBidi" w:cstheme="majorBidi"/>
          <w:i/>
          <w:iCs/>
          <w:sz w:val="20"/>
          <w:szCs w:val="20"/>
        </w:rPr>
        <w:t>takwil as-ṣirāṭ al-mustaqīm yang dikaji melalui karya utamanya</w:t>
      </w:r>
      <w:r w:rsidR="00C73924" w:rsidRPr="007262F2">
        <w:rPr>
          <w:rFonts w:asciiTheme="majorBidi" w:hAnsiTheme="majorBidi" w:cstheme="majorBidi"/>
          <w:i/>
          <w:iCs/>
          <w:sz w:val="20"/>
          <w:szCs w:val="20"/>
        </w:rPr>
        <w:t>,</w:t>
      </w:r>
      <w:r w:rsidR="00BD3F64" w:rsidRPr="007262F2">
        <w:rPr>
          <w:rFonts w:asciiTheme="majorBidi" w:hAnsiTheme="majorBidi" w:cstheme="majorBidi"/>
          <w:i/>
          <w:iCs/>
          <w:sz w:val="20"/>
          <w:szCs w:val="20"/>
        </w:rPr>
        <w:t xml:space="preserve"> berjudul Tafsir Al-Quran Al-Karim. Dengan menggunakan metode deskriptif-analitis</w:t>
      </w:r>
      <w:r w:rsidR="00C73924" w:rsidRPr="007262F2">
        <w:rPr>
          <w:rFonts w:asciiTheme="majorBidi" w:hAnsiTheme="majorBidi" w:cstheme="majorBidi"/>
          <w:i/>
          <w:iCs/>
          <w:sz w:val="20"/>
          <w:szCs w:val="20"/>
        </w:rPr>
        <w:t xml:space="preserve">, dihasilkan kesimpulan bahwa takwil </w:t>
      </w:r>
      <w:r w:rsidR="00BD3F64" w:rsidRPr="007262F2">
        <w:rPr>
          <w:rFonts w:asciiTheme="majorBidi" w:hAnsiTheme="majorBidi" w:cstheme="majorBidi"/>
          <w:i/>
          <w:iCs/>
          <w:sz w:val="20"/>
          <w:szCs w:val="20"/>
        </w:rPr>
        <w:t>as-ṣirāṭ al-mustaqīm</w:t>
      </w:r>
      <w:r w:rsidR="00C73924" w:rsidRPr="007262F2">
        <w:rPr>
          <w:rFonts w:asciiTheme="majorBidi" w:hAnsiTheme="majorBidi" w:cstheme="majorBidi"/>
          <w:i/>
          <w:iCs/>
          <w:sz w:val="20"/>
          <w:szCs w:val="20"/>
        </w:rPr>
        <w:t xml:space="preserve"> dalam pandangan Mulla Sadra</w:t>
      </w:r>
      <w:r w:rsidR="00BD3F64" w:rsidRPr="007262F2">
        <w:rPr>
          <w:rFonts w:asciiTheme="majorBidi" w:hAnsiTheme="majorBidi" w:cstheme="majorBidi"/>
          <w:i/>
          <w:iCs/>
          <w:sz w:val="20"/>
          <w:szCs w:val="20"/>
        </w:rPr>
        <w:t xml:space="preserve"> </w:t>
      </w:r>
      <w:r w:rsidR="00C73924" w:rsidRPr="007262F2">
        <w:rPr>
          <w:rFonts w:asciiTheme="majorBidi" w:hAnsiTheme="majorBidi" w:cstheme="majorBidi"/>
          <w:i/>
          <w:iCs/>
          <w:sz w:val="20"/>
          <w:szCs w:val="20"/>
        </w:rPr>
        <w:t xml:space="preserve">dikaji melalui dua pendekatan, yaitu </w:t>
      </w:r>
      <w:r w:rsidR="00BD3F64" w:rsidRPr="007262F2">
        <w:rPr>
          <w:rFonts w:asciiTheme="majorBidi" w:hAnsiTheme="majorBidi" w:cstheme="majorBidi"/>
          <w:i/>
          <w:iCs/>
          <w:sz w:val="20"/>
          <w:szCs w:val="20"/>
        </w:rPr>
        <w:t>metode analisis teks dan mukāshafah sebagai proes mengetahui</w:t>
      </w:r>
      <w:r w:rsidR="00C73924" w:rsidRPr="007262F2">
        <w:rPr>
          <w:rFonts w:asciiTheme="majorBidi" w:hAnsiTheme="majorBidi" w:cstheme="majorBidi"/>
          <w:i/>
          <w:iCs/>
          <w:sz w:val="20"/>
          <w:szCs w:val="20"/>
        </w:rPr>
        <w:t xml:space="preserve"> makna</w:t>
      </w:r>
      <w:r w:rsidR="00BD3F64" w:rsidRPr="007262F2">
        <w:rPr>
          <w:rFonts w:asciiTheme="majorBidi" w:hAnsiTheme="majorBidi" w:cstheme="majorBidi"/>
          <w:i/>
          <w:iCs/>
          <w:sz w:val="20"/>
          <w:szCs w:val="20"/>
        </w:rPr>
        <w:t xml:space="preserve"> hakikat term as-ṣirāṭ al-mustaqīm. Secara diskursus, diketahui para mufasir terbagi menjadi dua pandangan, yaitu pandangan riwayat yang mengkaji term as-ṣirāṭ al-mustaqīm</w:t>
      </w:r>
      <w:r w:rsidR="00C73924" w:rsidRPr="007262F2">
        <w:rPr>
          <w:rFonts w:asciiTheme="majorBidi" w:hAnsiTheme="majorBidi" w:cstheme="majorBidi"/>
          <w:i/>
          <w:iCs/>
          <w:sz w:val="20"/>
          <w:szCs w:val="20"/>
        </w:rPr>
        <w:t xml:space="preserve"> berdasarkan periwayatan</w:t>
      </w:r>
      <w:r w:rsidR="0098103E" w:rsidRPr="007262F2">
        <w:rPr>
          <w:rFonts w:asciiTheme="majorBidi" w:hAnsiTheme="majorBidi" w:cstheme="majorBidi"/>
          <w:i/>
          <w:iCs/>
          <w:sz w:val="20"/>
          <w:szCs w:val="20"/>
        </w:rPr>
        <w:t xml:space="preserve"> tekstual</w:t>
      </w:r>
      <w:r w:rsidR="00BD3F64" w:rsidRPr="007262F2">
        <w:rPr>
          <w:rFonts w:asciiTheme="majorBidi" w:hAnsiTheme="majorBidi" w:cstheme="majorBidi"/>
          <w:i/>
          <w:iCs/>
          <w:sz w:val="20"/>
          <w:szCs w:val="20"/>
        </w:rPr>
        <w:t xml:space="preserve"> dan pandangan ‘aql ijtihad </w:t>
      </w:r>
      <w:r w:rsidR="00C73924" w:rsidRPr="007262F2">
        <w:rPr>
          <w:rFonts w:asciiTheme="majorBidi" w:hAnsiTheme="majorBidi" w:cstheme="majorBidi"/>
          <w:i/>
          <w:iCs/>
          <w:sz w:val="20"/>
          <w:szCs w:val="20"/>
        </w:rPr>
        <w:t>berdasarkan</w:t>
      </w:r>
      <w:r w:rsidR="00BD3F64" w:rsidRPr="007262F2">
        <w:rPr>
          <w:rFonts w:asciiTheme="majorBidi" w:hAnsiTheme="majorBidi" w:cstheme="majorBidi"/>
          <w:i/>
          <w:iCs/>
          <w:sz w:val="20"/>
          <w:szCs w:val="20"/>
        </w:rPr>
        <w:t xml:space="preserve"> rasional</w:t>
      </w:r>
      <w:r w:rsidR="0098103E" w:rsidRPr="007262F2">
        <w:rPr>
          <w:rFonts w:asciiTheme="majorBidi" w:hAnsiTheme="majorBidi" w:cstheme="majorBidi"/>
          <w:i/>
          <w:iCs/>
          <w:sz w:val="20"/>
          <w:szCs w:val="20"/>
        </w:rPr>
        <w:t>itas</w:t>
      </w:r>
      <w:r w:rsidR="00BD3F64" w:rsidRPr="007262F2">
        <w:rPr>
          <w:rFonts w:asciiTheme="majorBidi" w:hAnsiTheme="majorBidi" w:cstheme="majorBidi"/>
          <w:i/>
          <w:iCs/>
          <w:sz w:val="20"/>
          <w:szCs w:val="20"/>
        </w:rPr>
        <w:t>. Implikasi dari kedua pandangan tersebut, ialah membatasi pemaknaan dan hakikat term as-ṣirāṭ al-mustaqīm berdasarkan referen-referen riwayat maupu</w:t>
      </w:r>
      <w:r w:rsidR="00C73924" w:rsidRPr="007262F2">
        <w:rPr>
          <w:rFonts w:asciiTheme="majorBidi" w:hAnsiTheme="majorBidi" w:cstheme="majorBidi"/>
          <w:i/>
          <w:iCs/>
          <w:sz w:val="20"/>
          <w:szCs w:val="20"/>
        </w:rPr>
        <w:t>n</w:t>
      </w:r>
      <w:r w:rsidR="00BD3F64" w:rsidRPr="007262F2">
        <w:rPr>
          <w:rFonts w:asciiTheme="majorBidi" w:hAnsiTheme="majorBidi" w:cstheme="majorBidi"/>
          <w:i/>
          <w:iCs/>
          <w:sz w:val="20"/>
          <w:szCs w:val="20"/>
        </w:rPr>
        <w:t xml:space="preserve"> akal. Demi mengatasi permasalahan tersebut,</w:t>
      </w:r>
      <w:r w:rsidR="00C73924" w:rsidRPr="007262F2">
        <w:rPr>
          <w:rFonts w:asciiTheme="majorBidi" w:hAnsiTheme="majorBidi" w:cstheme="majorBidi"/>
          <w:i/>
          <w:iCs/>
          <w:sz w:val="20"/>
          <w:szCs w:val="20"/>
        </w:rPr>
        <w:t xml:space="preserve"> tulisan ini bertujuan untuk menjelaskan hakikat dan makna as-ṣirāṭ al-mustaqīm berdasarkan takwil Mulla Sadra dengan menengahi pandangan riwayat dan rasional. Hasil dari tulisan ini ialah menawarkan </w:t>
      </w:r>
      <w:r w:rsidR="00BD3F64" w:rsidRPr="007262F2">
        <w:rPr>
          <w:rFonts w:asciiTheme="majorBidi" w:hAnsiTheme="majorBidi" w:cstheme="majorBidi"/>
          <w:i/>
          <w:iCs/>
          <w:sz w:val="20"/>
          <w:szCs w:val="20"/>
        </w:rPr>
        <w:t>cara pandang baru memahami term-term Alquran secara transendental</w:t>
      </w:r>
      <w:r w:rsidR="00C73924" w:rsidRPr="007262F2">
        <w:rPr>
          <w:rFonts w:asciiTheme="majorBidi" w:hAnsiTheme="majorBidi" w:cstheme="majorBidi"/>
          <w:i/>
          <w:iCs/>
          <w:sz w:val="20"/>
          <w:szCs w:val="20"/>
        </w:rPr>
        <w:t>, sehingga setiap individu dapat memahami makna makna dan hakikat as-ṣirāṭ al-mustaqīm secara jelas</w:t>
      </w:r>
      <w:r w:rsidR="00BD3F64" w:rsidRPr="007262F2">
        <w:rPr>
          <w:rFonts w:asciiTheme="majorBidi" w:hAnsiTheme="majorBidi" w:cstheme="majorBidi"/>
          <w:i/>
          <w:iCs/>
          <w:sz w:val="20"/>
          <w:szCs w:val="20"/>
        </w:rPr>
        <w:t xml:space="preserve">.    </w:t>
      </w:r>
    </w:p>
    <w:p w:rsidR="00051033" w:rsidRPr="009F77A7" w:rsidRDefault="00051033" w:rsidP="00B74429">
      <w:pPr>
        <w:autoSpaceDE w:val="0"/>
        <w:autoSpaceDN w:val="0"/>
        <w:adjustRightInd w:val="0"/>
        <w:spacing w:after="0" w:line="240" w:lineRule="auto"/>
        <w:jc w:val="both"/>
        <w:rPr>
          <w:rFonts w:asciiTheme="majorBidi" w:hAnsiTheme="majorBidi" w:cstheme="majorBidi"/>
          <w:sz w:val="24"/>
          <w:szCs w:val="24"/>
        </w:rPr>
      </w:pPr>
    </w:p>
    <w:p w:rsidR="00051033" w:rsidRPr="009F77A7" w:rsidRDefault="00051033" w:rsidP="00C73924">
      <w:pPr>
        <w:autoSpaceDE w:val="0"/>
        <w:autoSpaceDN w:val="0"/>
        <w:adjustRightInd w:val="0"/>
        <w:spacing w:after="0" w:line="240" w:lineRule="auto"/>
        <w:ind w:firstLine="720"/>
        <w:rPr>
          <w:rFonts w:asciiTheme="majorBidi" w:hAnsiTheme="majorBidi" w:cstheme="majorBidi"/>
          <w:i/>
          <w:iCs/>
          <w:sz w:val="24"/>
          <w:szCs w:val="24"/>
        </w:rPr>
      </w:pPr>
      <w:r w:rsidRPr="009F77A7">
        <w:rPr>
          <w:rFonts w:asciiTheme="majorBidi" w:hAnsiTheme="majorBidi" w:cstheme="majorBidi"/>
          <w:b/>
          <w:bCs/>
          <w:sz w:val="24"/>
          <w:szCs w:val="24"/>
        </w:rPr>
        <w:t>Kata Kunci:</w:t>
      </w:r>
      <w:r w:rsidRPr="009F77A7">
        <w:rPr>
          <w:rFonts w:asciiTheme="majorBidi" w:hAnsiTheme="majorBidi" w:cstheme="majorBidi"/>
          <w:sz w:val="24"/>
          <w:szCs w:val="24"/>
        </w:rPr>
        <w:t xml:space="preserve">  </w:t>
      </w:r>
      <w:r w:rsidR="00C73924" w:rsidRPr="009F77A7">
        <w:rPr>
          <w:rFonts w:asciiTheme="majorBidi" w:hAnsiTheme="majorBidi" w:cstheme="majorBidi"/>
          <w:b/>
          <w:bCs/>
          <w:sz w:val="24"/>
          <w:szCs w:val="24"/>
        </w:rPr>
        <w:t xml:space="preserve">As-ṣirāṭ Al-mustaqīm, Makna, Hakikat, </w:t>
      </w:r>
      <w:r w:rsidR="0098103E" w:rsidRPr="009F77A7">
        <w:rPr>
          <w:rFonts w:asciiTheme="majorBidi" w:hAnsiTheme="majorBidi" w:cstheme="majorBidi"/>
          <w:b/>
          <w:bCs/>
          <w:sz w:val="24"/>
          <w:szCs w:val="24"/>
        </w:rPr>
        <w:t>Tekstual</w:t>
      </w:r>
    </w:p>
    <w:p w:rsidR="00462D7D" w:rsidRPr="009F77A7" w:rsidRDefault="00462D7D">
      <w:pPr>
        <w:rPr>
          <w:rFonts w:asciiTheme="majorBidi" w:hAnsiTheme="majorBidi" w:cstheme="majorBidi"/>
          <w:sz w:val="24"/>
          <w:szCs w:val="24"/>
        </w:rPr>
      </w:pPr>
    </w:p>
    <w:p w:rsidR="00B71330" w:rsidRPr="009F77A7" w:rsidRDefault="00B71330">
      <w:pPr>
        <w:rPr>
          <w:rFonts w:asciiTheme="majorBidi" w:hAnsiTheme="majorBidi" w:cstheme="majorBidi"/>
          <w:sz w:val="24"/>
          <w:szCs w:val="24"/>
        </w:rPr>
      </w:pPr>
    </w:p>
    <w:p w:rsidR="00AA22CA" w:rsidRPr="009F77A7" w:rsidRDefault="00AA22CA">
      <w:pPr>
        <w:rPr>
          <w:rFonts w:asciiTheme="majorBidi" w:hAnsiTheme="majorBidi" w:cstheme="majorBidi"/>
          <w:sz w:val="24"/>
          <w:szCs w:val="24"/>
        </w:rPr>
      </w:pPr>
    </w:p>
    <w:p w:rsidR="00AA22CA" w:rsidRPr="009F77A7" w:rsidRDefault="00AA22CA">
      <w:pPr>
        <w:rPr>
          <w:rFonts w:asciiTheme="majorBidi" w:hAnsiTheme="majorBidi" w:cstheme="majorBidi"/>
          <w:sz w:val="24"/>
          <w:szCs w:val="24"/>
        </w:rPr>
      </w:pPr>
    </w:p>
    <w:p w:rsidR="00AA22CA" w:rsidRPr="009F77A7" w:rsidRDefault="00AA22CA">
      <w:pPr>
        <w:rPr>
          <w:rFonts w:asciiTheme="majorBidi" w:hAnsiTheme="majorBidi" w:cstheme="majorBidi"/>
          <w:sz w:val="24"/>
          <w:szCs w:val="24"/>
        </w:rPr>
      </w:pPr>
    </w:p>
    <w:p w:rsidR="00D338E5" w:rsidRDefault="00D338E5">
      <w:pPr>
        <w:rPr>
          <w:rFonts w:asciiTheme="majorBidi" w:hAnsiTheme="majorBidi" w:cstheme="majorBidi"/>
          <w:sz w:val="24"/>
          <w:szCs w:val="24"/>
        </w:rPr>
      </w:pPr>
    </w:p>
    <w:p w:rsidR="007262F2" w:rsidRDefault="007262F2">
      <w:pPr>
        <w:rPr>
          <w:rFonts w:asciiTheme="majorBidi" w:hAnsiTheme="majorBidi" w:cstheme="majorBidi"/>
          <w:sz w:val="24"/>
          <w:szCs w:val="24"/>
        </w:rPr>
      </w:pPr>
    </w:p>
    <w:p w:rsidR="007262F2" w:rsidRDefault="007262F2">
      <w:pPr>
        <w:rPr>
          <w:rFonts w:asciiTheme="majorBidi" w:hAnsiTheme="majorBidi" w:cstheme="majorBidi"/>
          <w:sz w:val="24"/>
          <w:szCs w:val="24"/>
        </w:rPr>
      </w:pPr>
    </w:p>
    <w:p w:rsidR="007262F2" w:rsidRPr="009F77A7" w:rsidRDefault="007262F2">
      <w:pPr>
        <w:rPr>
          <w:rFonts w:asciiTheme="majorBidi" w:hAnsiTheme="majorBidi" w:cstheme="majorBidi"/>
          <w:sz w:val="24"/>
          <w:szCs w:val="24"/>
        </w:rPr>
      </w:pPr>
    </w:p>
    <w:p w:rsidR="00D338E5" w:rsidRPr="009F77A7" w:rsidRDefault="00D338E5">
      <w:pPr>
        <w:rPr>
          <w:rFonts w:asciiTheme="majorBidi" w:hAnsiTheme="majorBidi" w:cstheme="majorBidi"/>
          <w:sz w:val="24"/>
          <w:szCs w:val="24"/>
        </w:rPr>
      </w:pPr>
    </w:p>
    <w:p w:rsidR="00D338E5" w:rsidRPr="009F77A7" w:rsidRDefault="00D338E5">
      <w:pPr>
        <w:rPr>
          <w:rFonts w:asciiTheme="majorBidi" w:hAnsiTheme="majorBidi" w:cstheme="majorBidi"/>
          <w:sz w:val="24"/>
          <w:szCs w:val="24"/>
        </w:rPr>
      </w:pPr>
    </w:p>
    <w:p w:rsidR="0098103E" w:rsidRDefault="0098103E" w:rsidP="00514E87">
      <w:pPr>
        <w:rPr>
          <w:rFonts w:asciiTheme="majorBidi" w:hAnsiTheme="majorBidi" w:cstheme="majorBidi"/>
          <w:sz w:val="24"/>
          <w:szCs w:val="24"/>
        </w:rPr>
      </w:pPr>
    </w:p>
    <w:p w:rsidR="00514E87" w:rsidRPr="009F77A7" w:rsidRDefault="00514E87" w:rsidP="00514E87">
      <w:pPr>
        <w:rPr>
          <w:rFonts w:asciiTheme="majorBidi" w:hAnsiTheme="majorBidi" w:cstheme="majorBidi"/>
          <w:sz w:val="24"/>
          <w:szCs w:val="24"/>
        </w:rPr>
      </w:pPr>
    </w:p>
    <w:p w:rsidR="00D338E5" w:rsidRPr="00514E87" w:rsidRDefault="00D338E5" w:rsidP="00514E87">
      <w:pPr>
        <w:spacing w:after="120"/>
        <w:ind w:firstLine="360"/>
        <w:rPr>
          <w:rFonts w:asciiTheme="majorBidi" w:hAnsiTheme="majorBidi" w:cstheme="majorBidi"/>
          <w:b/>
          <w:bCs/>
          <w:sz w:val="24"/>
          <w:szCs w:val="24"/>
        </w:rPr>
      </w:pPr>
      <w:r w:rsidRPr="00514E87">
        <w:rPr>
          <w:rFonts w:asciiTheme="majorBidi" w:hAnsiTheme="majorBidi" w:cstheme="majorBidi"/>
          <w:b/>
          <w:bCs/>
          <w:sz w:val="24"/>
          <w:szCs w:val="24"/>
        </w:rPr>
        <w:lastRenderedPageBreak/>
        <w:t>Pendahuluan</w:t>
      </w:r>
    </w:p>
    <w:p w:rsidR="00C36A43" w:rsidRPr="009F77A7" w:rsidRDefault="009C6A61" w:rsidP="00B74429">
      <w:pPr>
        <w:autoSpaceDE w:val="0"/>
        <w:autoSpaceDN w:val="0"/>
        <w:adjustRightInd w:val="0"/>
        <w:spacing w:after="120" w:line="360" w:lineRule="auto"/>
        <w:ind w:left="360" w:firstLine="360"/>
        <w:jc w:val="both"/>
        <w:rPr>
          <w:rFonts w:asciiTheme="majorBidi" w:hAnsiTheme="majorBidi" w:cstheme="majorBidi"/>
          <w:sz w:val="24"/>
          <w:szCs w:val="24"/>
        </w:rPr>
      </w:pPr>
      <w:r w:rsidRPr="009F77A7">
        <w:rPr>
          <w:rFonts w:asciiTheme="majorBidi" w:hAnsiTheme="majorBidi" w:cstheme="majorBidi"/>
          <w:sz w:val="24"/>
          <w:szCs w:val="24"/>
        </w:rPr>
        <w:t>Alquran merupakan kitab yang sepenuhnya ditujukan untuk manusia (</w:t>
      </w:r>
      <w:r w:rsidRPr="009F77A7">
        <w:rPr>
          <w:rFonts w:asciiTheme="majorBidi" w:hAnsiTheme="majorBidi" w:cstheme="majorBidi"/>
          <w:i/>
          <w:iCs/>
          <w:sz w:val="24"/>
          <w:szCs w:val="24"/>
        </w:rPr>
        <w:t>hudan linnās).</w:t>
      </w:r>
      <w:r w:rsidR="005F20C9" w:rsidRPr="009F77A7">
        <w:rPr>
          <w:rStyle w:val="FootnoteReference"/>
          <w:rFonts w:asciiTheme="majorBidi" w:hAnsiTheme="majorBidi" w:cstheme="majorBidi"/>
          <w:i/>
          <w:iCs/>
          <w:sz w:val="24"/>
          <w:szCs w:val="24"/>
        </w:rPr>
        <w:footnoteReference w:id="1"/>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Manusia sebagai penerima petunjuk, perlu untuk berusaha, berpikir</w:t>
      </w:r>
      <w:r w:rsidR="00DB23D5" w:rsidRPr="009F77A7">
        <w:rPr>
          <w:rFonts w:asciiTheme="majorBidi" w:hAnsiTheme="majorBidi" w:cstheme="majorBidi"/>
          <w:sz w:val="24"/>
          <w:szCs w:val="24"/>
        </w:rPr>
        <w:t>,</w:t>
      </w:r>
      <w:r w:rsidRPr="009F77A7">
        <w:rPr>
          <w:rFonts w:asciiTheme="majorBidi" w:hAnsiTheme="majorBidi" w:cstheme="majorBidi"/>
          <w:sz w:val="24"/>
          <w:szCs w:val="24"/>
        </w:rPr>
        <w:t xml:space="preserve"> dan melakukan aktivitas tadabur mendapatkan petunjuk. Oleh karenanya, di ayat lain Alquran juga menyebut dirinya sebagai petunjuk untuk </w:t>
      </w:r>
      <w:r w:rsidR="00DB23D5" w:rsidRPr="009F77A7">
        <w:rPr>
          <w:rFonts w:asciiTheme="majorBidi" w:hAnsiTheme="majorBidi" w:cstheme="majorBidi"/>
          <w:sz w:val="24"/>
          <w:szCs w:val="24"/>
        </w:rPr>
        <w:t>manusia</w:t>
      </w:r>
      <w:r w:rsidRPr="009F77A7">
        <w:rPr>
          <w:rFonts w:asciiTheme="majorBidi" w:hAnsiTheme="majorBidi" w:cstheme="majorBidi"/>
          <w:sz w:val="24"/>
          <w:szCs w:val="24"/>
        </w:rPr>
        <w:t xml:space="preserve"> yang bertakwa (</w:t>
      </w:r>
      <w:r w:rsidRPr="009F77A7">
        <w:rPr>
          <w:rFonts w:asciiTheme="majorBidi" w:hAnsiTheme="majorBidi" w:cstheme="majorBidi"/>
          <w:i/>
          <w:iCs/>
          <w:sz w:val="24"/>
          <w:szCs w:val="24"/>
        </w:rPr>
        <w:t>hudan lilmuttaqīn</w:t>
      </w:r>
      <w:r w:rsidRPr="009F77A7">
        <w:rPr>
          <w:rFonts w:asciiTheme="majorBidi" w:hAnsiTheme="majorBidi" w:cstheme="majorBidi"/>
          <w:sz w:val="24"/>
          <w:szCs w:val="24"/>
        </w:rPr>
        <w:t>).</w:t>
      </w:r>
      <w:r w:rsidR="005F20C9" w:rsidRPr="009F77A7">
        <w:rPr>
          <w:rStyle w:val="FootnoteReference"/>
          <w:rFonts w:asciiTheme="majorBidi" w:hAnsiTheme="majorBidi" w:cstheme="majorBidi"/>
          <w:sz w:val="24"/>
          <w:szCs w:val="24"/>
        </w:rPr>
        <w:footnoteReference w:id="2"/>
      </w:r>
      <w:r w:rsidRPr="009F77A7">
        <w:rPr>
          <w:rFonts w:asciiTheme="majorBidi" w:hAnsiTheme="majorBidi" w:cstheme="majorBidi"/>
          <w:sz w:val="24"/>
          <w:szCs w:val="24"/>
        </w:rPr>
        <w:t xml:space="preserve"> Artinya, Alquran ditujukan untuk seluruh manusia, akan tetapi hanya orang yang mempersiapkan dirinya</w:t>
      </w:r>
      <w:r w:rsidR="00DB23D5" w:rsidRPr="009F77A7">
        <w:rPr>
          <w:rFonts w:asciiTheme="majorBidi" w:hAnsiTheme="majorBidi" w:cstheme="majorBidi"/>
          <w:sz w:val="24"/>
          <w:szCs w:val="24"/>
        </w:rPr>
        <w:t xml:space="preserve"> menerima</w:t>
      </w:r>
      <w:r w:rsidRPr="009F77A7">
        <w:rPr>
          <w:rFonts w:asciiTheme="majorBidi" w:hAnsiTheme="majorBidi" w:cstheme="majorBidi"/>
          <w:sz w:val="24"/>
          <w:szCs w:val="24"/>
        </w:rPr>
        <w:t xml:space="preserve"> petunjuk Alquran, kesesuaian antara pemberi petunjuk dan penerimanya adalah syarat tersampaikannya sebuah petunjuk.</w:t>
      </w:r>
      <w:r w:rsidR="005F20C9" w:rsidRPr="009F77A7">
        <w:rPr>
          <w:rStyle w:val="FootnoteReference"/>
          <w:rFonts w:asciiTheme="majorBidi" w:hAnsiTheme="majorBidi" w:cstheme="majorBidi"/>
          <w:sz w:val="24"/>
          <w:szCs w:val="24"/>
        </w:rPr>
        <w:footnoteReference w:id="3"/>
      </w:r>
      <w:r w:rsidRPr="009F77A7">
        <w:rPr>
          <w:rFonts w:asciiTheme="majorBidi" w:hAnsiTheme="majorBidi" w:cstheme="majorBidi"/>
          <w:sz w:val="24"/>
          <w:szCs w:val="24"/>
        </w:rPr>
        <w:t xml:space="preserve"> </w:t>
      </w:r>
      <w:r w:rsidR="00C36A43" w:rsidRPr="009F77A7">
        <w:rPr>
          <w:rFonts w:asciiTheme="majorBidi" w:hAnsiTheme="majorBidi" w:cstheme="majorBidi"/>
          <w:sz w:val="24"/>
          <w:szCs w:val="24"/>
        </w:rPr>
        <w:t>I</w:t>
      </w:r>
      <w:r w:rsidR="00DB23D5" w:rsidRPr="009F77A7">
        <w:rPr>
          <w:rFonts w:asciiTheme="majorBidi" w:hAnsiTheme="majorBidi" w:cstheme="majorBidi"/>
          <w:sz w:val="24"/>
          <w:szCs w:val="24"/>
        </w:rPr>
        <w:t>ndividu</w:t>
      </w:r>
      <w:r w:rsidRPr="009F77A7">
        <w:rPr>
          <w:rFonts w:asciiTheme="majorBidi" w:hAnsiTheme="majorBidi" w:cstheme="majorBidi"/>
          <w:sz w:val="24"/>
          <w:szCs w:val="24"/>
        </w:rPr>
        <w:t xml:space="preserve"> yang mampu meraih petunjuk Alquran disebut dengan orang yang bertakwa</w:t>
      </w:r>
      <w:r w:rsidR="00A80877" w:rsidRPr="009F77A7">
        <w:rPr>
          <w:rFonts w:asciiTheme="majorBidi" w:hAnsiTheme="majorBidi" w:cstheme="majorBidi"/>
          <w:sz w:val="24"/>
          <w:szCs w:val="24"/>
        </w:rPr>
        <w:t xml:space="preserve"> yang mendeskripsikan kedekatan dan kesempurnaan eksistensinya di sisi Allah swt</w:t>
      </w:r>
      <w:r w:rsidRPr="009F77A7">
        <w:rPr>
          <w:rFonts w:asciiTheme="majorBidi" w:hAnsiTheme="majorBidi" w:cstheme="majorBidi"/>
          <w:sz w:val="24"/>
          <w:szCs w:val="24"/>
        </w:rPr>
        <w:t xml:space="preserve">. </w:t>
      </w:r>
      <w:r w:rsidR="005F20C9" w:rsidRPr="009F77A7">
        <w:rPr>
          <w:rFonts w:asciiTheme="majorBidi" w:hAnsiTheme="majorBidi" w:cstheme="majorBidi"/>
          <w:sz w:val="24"/>
          <w:szCs w:val="24"/>
        </w:rPr>
        <w:t xml:space="preserve">Salah satu petunjuk utama dalam meniti kehidupan manusia menuju </w:t>
      </w:r>
      <w:r w:rsidR="00A80877" w:rsidRPr="009F77A7">
        <w:rPr>
          <w:rFonts w:asciiTheme="majorBidi" w:hAnsiTheme="majorBidi" w:cstheme="majorBidi"/>
          <w:sz w:val="24"/>
          <w:szCs w:val="24"/>
        </w:rPr>
        <w:t>kesempurnaan</w:t>
      </w:r>
      <w:r w:rsidR="005F20C9" w:rsidRPr="009F77A7">
        <w:rPr>
          <w:rFonts w:asciiTheme="majorBidi" w:hAnsiTheme="majorBidi" w:cstheme="majorBidi"/>
          <w:sz w:val="24"/>
          <w:szCs w:val="24"/>
        </w:rPr>
        <w:t xml:space="preserve"> adalah </w:t>
      </w:r>
      <w:r w:rsidR="005F20C9" w:rsidRPr="009F77A7">
        <w:rPr>
          <w:rFonts w:asciiTheme="majorBidi" w:hAnsiTheme="majorBidi" w:cstheme="majorBidi"/>
          <w:i/>
          <w:iCs/>
          <w:sz w:val="24"/>
          <w:szCs w:val="24"/>
        </w:rPr>
        <w:t xml:space="preserve">as-ṣirāṭ al-mustaqīm </w:t>
      </w:r>
      <w:r w:rsidR="005F20C9" w:rsidRPr="009F77A7">
        <w:rPr>
          <w:rFonts w:asciiTheme="majorBidi" w:hAnsiTheme="majorBidi" w:cstheme="majorBidi"/>
          <w:sz w:val="24"/>
          <w:szCs w:val="24"/>
        </w:rPr>
        <w:t>(jalan yang lurus)</w:t>
      </w:r>
      <w:r w:rsidR="00C36A43" w:rsidRPr="009F77A7">
        <w:rPr>
          <w:rFonts w:asciiTheme="majorBidi" w:hAnsiTheme="majorBidi" w:cstheme="majorBidi"/>
          <w:sz w:val="24"/>
          <w:szCs w:val="24"/>
        </w:rPr>
        <w:t xml:space="preserve"> yang dapat ditinjau melalui tiga indikator</w:t>
      </w:r>
      <w:r w:rsidR="005F20C9" w:rsidRPr="009F77A7">
        <w:rPr>
          <w:rFonts w:asciiTheme="majorBidi" w:hAnsiTheme="majorBidi" w:cstheme="majorBidi"/>
          <w:sz w:val="24"/>
          <w:szCs w:val="24"/>
        </w:rPr>
        <w:t xml:space="preserve">. </w:t>
      </w:r>
      <w:r w:rsidR="005F20C9" w:rsidRPr="009F77A7">
        <w:rPr>
          <w:rFonts w:asciiTheme="majorBidi" w:hAnsiTheme="majorBidi" w:cstheme="majorBidi"/>
          <w:i/>
          <w:iCs/>
          <w:sz w:val="24"/>
          <w:szCs w:val="24"/>
        </w:rPr>
        <w:t>Pertama</w:t>
      </w:r>
      <w:r w:rsidR="005F20C9" w:rsidRPr="009F77A7">
        <w:rPr>
          <w:rFonts w:asciiTheme="majorBidi" w:hAnsiTheme="majorBidi" w:cstheme="majorBidi"/>
          <w:sz w:val="24"/>
          <w:szCs w:val="24"/>
        </w:rPr>
        <w:t>, penyebutan term jalan yang lurus disebut sebanyak 32 kali di dalam Alquran</w:t>
      </w:r>
      <w:r w:rsidR="00C36A43" w:rsidRPr="009F77A7">
        <w:rPr>
          <w:rFonts w:asciiTheme="majorBidi" w:hAnsiTheme="majorBidi" w:cstheme="majorBidi"/>
          <w:sz w:val="24"/>
          <w:szCs w:val="24"/>
        </w:rPr>
        <w:t xml:space="preserve"> yang mendeskripsikan perhatian khusus terhadap istilah ini</w:t>
      </w:r>
      <w:r w:rsidR="005F20C9" w:rsidRPr="009F77A7">
        <w:rPr>
          <w:rFonts w:asciiTheme="majorBidi" w:hAnsiTheme="majorBidi" w:cstheme="majorBidi"/>
          <w:sz w:val="24"/>
          <w:szCs w:val="24"/>
        </w:rPr>
        <w:t>.</w:t>
      </w:r>
      <w:r w:rsidR="005F20C9" w:rsidRPr="009F77A7">
        <w:rPr>
          <w:rStyle w:val="FootnoteReference"/>
          <w:rFonts w:asciiTheme="majorBidi" w:hAnsiTheme="majorBidi" w:cstheme="majorBidi"/>
          <w:sz w:val="24"/>
          <w:szCs w:val="24"/>
        </w:rPr>
        <w:footnoteReference w:id="4"/>
      </w:r>
      <w:r w:rsidR="005F20C9" w:rsidRPr="009F77A7">
        <w:rPr>
          <w:rFonts w:asciiTheme="majorBidi" w:hAnsiTheme="majorBidi" w:cstheme="majorBidi"/>
          <w:sz w:val="24"/>
          <w:szCs w:val="24"/>
        </w:rPr>
        <w:t xml:space="preserve"> </w:t>
      </w:r>
    </w:p>
    <w:p w:rsidR="0041222A" w:rsidRPr="009F77A7" w:rsidRDefault="005F20C9" w:rsidP="00B74429">
      <w:pPr>
        <w:autoSpaceDE w:val="0"/>
        <w:autoSpaceDN w:val="0"/>
        <w:adjustRightInd w:val="0"/>
        <w:spacing w:after="240" w:line="360" w:lineRule="auto"/>
        <w:ind w:left="360" w:firstLine="360"/>
        <w:jc w:val="both"/>
        <w:rPr>
          <w:rFonts w:asciiTheme="majorBidi" w:hAnsiTheme="majorBidi" w:cstheme="majorBidi"/>
          <w:sz w:val="24"/>
          <w:szCs w:val="24"/>
        </w:rPr>
      </w:pP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Kedua, </w:t>
      </w:r>
      <w:r w:rsidRPr="009F77A7">
        <w:rPr>
          <w:rFonts w:asciiTheme="majorBidi" w:hAnsiTheme="majorBidi" w:cstheme="majorBidi"/>
          <w:sz w:val="24"/>
          <w:szCs w:val="24"/>
        </w:rPr>
        <w:t xml:space="preserve">terdapat ayat khusus di dalam </w:t>
      </w:r>
      <w:r w:rsidR="00107005" w:rsidRPr="009F77A7">
        <w:rPr>
          <w:rFonts w:asciiTheme="majorBidi" w:hAnsiTheme="majorBidi" w:cstheme="majorBidi"/>
          <w:sz w:val="24"/>
          <w:szCs w:val="24"/>
        </w:rPr>
        <w:t>surah</w:t>
      </w:r>
      <w:r w:rsidRPr="009F77A7">
        <w:rPr>
          <w:rFonts w:asciiTheme="majorBidi" w:hAnsiTheme="majorBidi" w:cstheme="majorBidi"/>
          <w:sz w:val="24"/>
          <w:szCs w:val="24"/>
        </w:rPr>
        <w:t xml:space="preserve"> al-Fatihah yang berbentuk doa untuk memohon hidayah berupa jalan yang lurus</w:t>
      </w:r>
      <w:r w:rsidRPr="009F77A7">
        <w:rPr>
          <w:rFonts w:asciiTheme="majorBidi" w:hAnsiTheme="majorBidi" w:cstheme="majorBidi"/>
          <w:i/>
          <w:iCs/>
          <w:sz w:val="24"/>
          <w:szCs w:val="24"/>
        </w:rPr>
        <w:t xml:space="preserve">. </w:t>
      </w:r>
      <w:r w:rsidR="00107005" w:rsidRPr="009F77A7">
        <w:rPr>
          <w:rFonts w:asciiTheme="majorBidi" w:hAnsiTheme="majorBidi" w:cstheme="majorBidi"/>
          <w:sz w:val="24"/>
          <w:szCs w:val="24"/>
        </w:rPr>
        <w:t>Surah</w:t>
      </w:r>
      <w:r w:rsidRPr="009F77A7">
        <w:rPr>
          <w:rFonts w:asciiTheme="majorBidi" w:hAnsiTheme="majorBidi" w:cstheme="majorBidi"/>
          <w:sz w:val="24"/>
          <w:szCs w:val="24"/>
        </w:rPr>
        <w:t xml:space="preserve"> al-Fatihah merupakan </w:t>
      </w:r>
      <w:r w:rsidR="00107005" w:rsidRPr="009F77A7">
        <w:rPr>
          <w:rFonts w:asciiTheme="majorBidi" w:hAnsiTheme="majorBidi" w:cstheme="majorBidi"/>
          <w:sz w:val="24"/>
          <w:szCs w:val="24"/>
        </w:rPr>
        <w:t>surah</w:t>
      </w:r>
      <w:r w:rsidRPr="009F77A7">
        <w:rPr>
          <w:rFonts w:asciiTheme="majorBidi" w:hAnsiTheme="majorBidi" w:cstheme="majorBidi"/>
          <w:sz w:val="24"/>
          <w:szCs w:val="24"/>
        </w:rPr>
        <w:t xml:space="preserve"> yang memiliki berbagai keutamaan, salah satu keutamaannya –yang berkaitan dalam hal ini- yaitu selalu dibaca</w:t>
      </w:r>
      <w:r w:rsidR="00F54E05" w:rsidRPr="009F77A7">
        <w:rPr>
          <w:rFonts w:asciiTheme="majorBidi" w:hAnsiTheme="majorBidi" w:cstheme="majorBidi"/>
          <w:sz w:val="24"/>
          <w:szCs w:val="24"/>
        </w:rPr>
        <w:t xml:space="preserve"> dalam ibadah salat (</w:t>
      </w:r>
      <w:r w:rsidR="00F54E05" w:rsidRPr="009F77A7">
        <w:rPr>
          <w:rFonts w:asciiTheme="majorBidi" w:hAnsiTheme="majorBidi" w:cstheme="majorBidi"/>
          <w:i/>
          <w:iCs/>
          <w:sz w:val="24"/>
          <w:szCs w:val="24"/>
        </w:rPr>
        <w:t>sab’al-mathānī</w:t>
      </w:r>
      <w:r w:rsidR="00F54E05" w:rsidRPr="009F77A7">
        <w:rPr>
          <w:rFonts w:asciiTheme="majorBidi" w:hAnsiTheme="majorBidi" w:cstheme="majorBidi"/>
          <w:sz w:val="24"/>
          <w:szCs w:val="24"/>
        </w:rPr>
        <w:t>), sehingga permintaan kepada jalan yang lurus senantiasa dibaca minimal 17 kali dalam sehari oleh seluruh kaum muslim di setiap salatnya.</w:t>
      </w:r>
      <w:r w:rsidR="00F54E05" w:rsidRPr="009F77A7">
        <w:rPr>
          <w:rStyle w:val="FootnoteReference"/>
          <w:rFonts w:asciiTheme="majorBidi" w:hAnsiTheme="majorBidi" w:cstheme="majorBidi"/>
          <w:sz w:val="24"/>
          <w:szCs w:val="24"/>
        </w:rPr>
        <w:footnoteReference w:id="5"/>
      </w:r>
      <w:r w:rsidR="00F54E05" w:rsidRPr="009F77A7">
        <w:rPr>
          <w:rFonts w:asciiTheme="majorBidi" w:hAnsiTheme="majorBidi" w:cstheme="majorBidi"/>
          <w:sz w:val="24"/>
          <w:szCs w:val="24"/>
        </w:rPr>
        <w:t xml:space="preserve"> Oleh karenanya, hidayah jalan yang lurus menjadi penting</w:t>
      </w:r>
      <w:r w:rsidR="00C36A43" w:rsidRPr="009F77A7">
        <w:rPr>
          <w:rFonts w:asciiTheme="majorBidi" w:hAnsiTheme="majorBidi" w:cstheme="majorBidi"/>
          <w:sz w:val="24"/>
          <w:szCs w:val="24"/>
        </w:rPr>
        <w:t xml:space="preserve"> bagi</w:t>
      </w:r>
      <w:r w:rsidR="00F54E05" w:rsidRPr="009F77A7">
        <w:rPr>
          <w:rFonts w:asciiTheme="majorBidi" w:hAnsiTheme="majorBidi" w:cstheme="majorBidi"/>
          <w:sz w:val="24"/>
          <w:szCs w:val="24"/>
        </w:rPr>
        <w:t xml:space="preserve"> seorang hamba dalam salat dan hidupnya. Adapun indikator </w:t>
      </w:r>
      <w:r w:rsidR="00F54E05" w:rsidRPr="009F77A7">
        <w:rPr>
          <w:rFonts w:asciiTheme="majorBidi" w:hAnsiTheme="majorBidi" w:cstheme="majorBidi"/>
          <w:i/>
          <w:iCs/>
          <w:sz w:val="24"/>
          <w:szCs w:val="24"/>
        </w:rPr>
        <w:t>ketiga</w:t>
      </w:r>
      <w:r w:rsidR="00C36A43" w:rsidRPr="009F77A7">
        <w:rPr>
          <w:rFonts w:asciiTheme="majorBidi" w:hAnsiTheme="majorBidi" w:cstheme="majorBidi"/>
          <w:i/>
          <w:iCs/>
          <w:sz w:val="24"/>
          <w:szCs w:val="24"/>
        </w:rPr>
        <w:t>,</w:t>
      </w:r>
      <w:r w:rsidR="00F54E05" w:rsidRPr="009F77A7">
        <w:rPr>
          <w:rFonts w:asciiTheme="majorBidi" w:hAnsiTheme="majorBidi" w:cstheme="majorBidi"/>
          <w:sz w:val="24"/>
          <w:szCs w:val="24"/>
        </w:rPr>
        <w:t xml:space="preserve"> adalah terdapat perintah khusus dari Allah untuk senantiasa mengikuti jalan yang lurus</w:t>
      </w:r>
      <w:r w:rsidR="00402845" w:rsidRPr="009F77A7">
        <w:rPr>
          <w:rFonts w:asciiTheme="majorBidi" w:hAnsiTheme="majorBidi" w:cstheme="majorBidi"/>
          <w:sz w:val="24"/>
          <w:szCs w:val="24"/>
        </w:rPr>
        <w:t xml:space="preserve"> dan menghindari jalan selainnya</w:t>
      </w:r>
      <w:r w:rsidR="00A80877" w:rsidRPr="009F77A7">
        <w:rPr>
          <w:rFonts w:asciiTheme="majorBidi" w:hAnsiTheme="majorBidi" w:cstheme="majorBidi"/>
          <w:sz w:val="24"/>
          <w:szCs w:val="24"/>
        </w:rPr>
        <w:t>,</w:t>
      </w:r>
      <w:r w:rsidR="00F54E05" w:rsidRPr="009F77A7">
        <w:rPr>
          <w:rFonts w:asciiTheme="majorBidi" w:hAnsiTheme="majorBidi" w:cstheme="majorBidi"/>
          <w:sz w:val="24"/>
          <w:szCs w:val="24"/>
        </w:rPr>
        <w:t xml:space="preserve"> </w:t>
      </w:r>
      <w:r w:rsidR="00A80877" w:rsidRPr="009F77A7">
        <w:rPr>
          <w:rFonts w:asciiTheme="majorBidi" w:hAnsiTheme="majorBidi" w:cstheme="majorBidi"/>
          <w:sz w:val="24"/>
          <w:szCs w:val="24"/>
        </w:rPr>
        <w:t>s</w:t>
      </w:r>
      <w:r w:rsidR="00F54E05" w:rsidRPr="009F77A7">
        <w:rPr>
          <w:rFonts w:asciiTheme="majorBidi" w:hAnsiTheme="majorBidi" w:cstheme="majorBidi"/>
          <w:sz w:val="24"/>
          <w:szCs w:val="24"/>
        </w:rPr>
        <w:t xml:space="preserve">ebagaimana firman Allah swt dalam </w:t>
      </w:r>
      <w:r w:rsidR="00107005" w:rsidRPr="009F77A7">
        <w:rPr>
          <w:rFonts w:asciiTheme="majorBidi" w:hAnsiTheme="majorBidi" w:cstheme="majorBidi"/>
          <w:sz w:val="24"/>
          <w:szCs w:val="24"/>
        </w:rPr>
        <w:t>surah</w:t>
      </w:r>
      <w:r w:rsidR="00F54E05" w:rsidRPr="009F77A7">
        <w:rPr>
          <w:rFonts w:asciiTheme="majorBidi" w:hAnsiTheme="majorBidi" w:cstheme="majorBidi"/>
          <w:sz w:val="24"/>
          <w:szCs w:val="24"/>
        </w:rPr>
        <w:t xml:space="preserve"> al-An’am ayat 153:</w:t>
      </w:r>
    </w:p>
    <w:p w:rsidR="0041222A" w:rsidRPr="009F77A7" w:rsidRDefault="0041222A" w:rsidP="009229FD">
      <w:pPr>
        <w:autoSpaceDE w:val="0"/>
        <w:autoSpaceDN w:val="0"/>
        <w:adjustRightInd w:val="0"/>
        <w:spacing w:after="120" w:line="276" w:lineRule="auto"/>
        <w:ind w:left="360" w:firstLine="360"/>
        <w:jc w:val="center"/>
        <w:rPr>
          <w:rFonts w:asciiTheme="majorBidi" w:hAnsiTheme="majorBidi" w:cstheme="majorBidi"/>
          <w:color w:val="000000"/>
          <w:sz w:val="24"/>
          <w:szCs w:val="24"/>
        </w:rPr>
      </w:pPr>
      <w:r w:rsidRPr="009F77A7">
        <w:rPr>
          <w:rFonts w:asciiTheme="majorBidi" w:hAnsiTheme="majorBidi" w:cstheme="majorBidi"/>
          <w:color w:val="000000"/>
          <w:sz w:val="24"/>
          <w:szCs w:val="24"/>
          <w:rtl/>
        </w:rPr>
        <w:t>وَأَنَّ هَذَا صِرَاطِي مُسْتَقِيمًا فَاتَّبِعُوهُ وَلا تَتَّبِعُوا السُّبُلَ فَتَفَرَّقَ بِكُمْ عَنْ سَبِيلِهِ ذَلِكُمْ وَصَّاكُمْ بِهِ لَعَلَّكُمْ تَتَّقُونَ</w:t>
      </w:r>
    </w:p>
    <w:p w:rsidR="0041222A" w:rsidRPr="009F77A7" w:rsidRDefault="0041222A" w:rsidP="009229FD">
      <w:pPr>
        <w:autoSpaceDE w:val="0"/>
        <w:autoSpaceDN w:val="0"/>
        <w:adjustRightInd w:val="0"/>
        <w:spacing w:after="120" w:line="276" w:lineRule="auto"/>
        <w:ind w:left="720"/>
        <w:jc w:val="both"/>
        <w:rPr>
          <w:rFonts w:asciiTheme="majorBidi" w:hAnsiTheme="majorBidi" w:cstheme="majorBidi"/>
          <w:sz w:val="24"/>
          <w:szCs w:val="24"/>
        </w:rPr>
      </w:pPr>
      <w:r w:rsidRPr="009F77A7">
        <w:rPr>
          <w:rFonts w:asciiTheme="majorBidi" w:hAnsiTheme="majorBidi" w:cstheme="majorBidi"/>
          <w:i/>
          <w:iCs/>
          <w:sz w:val="24"/>
          <w:szCs w:val="24"/>
        </w:rPr>
        <w:t>“Ini adalah jalan-Ku yang lurus, maka ikutilah jalan itu, dan janganlah kamu mengikuti jalan-jalan (yang lain), karena jalan-jalan itu dapat mencerai-beraikanmu dari jalan-Nya. Yang demikian itu diperintahkan Allah kepadamu agar kamu bertakwa</w:t>
      </w:r>
      <w:r w:rsidRPr="009F77A7">
        <w:rPr>
          <w:rFonts w:asciiTheme="majorBidi" w:hAnsiTheme="majorBidi" w:cstheme="majorBidi"/>
          <w:sz w:val="24"/>
          <w:szCs w:val="24"/>
        </w:rPr>
        <w:t>.”</w:t>
      </w:r>
    </w:p>
    <w:p w:rsidR="009229FD" w:rsidRPr="009F77A7" w:rsidRDefault="00C36A43" w:rsidP="00B74429">
      <w:pPr>
        <w:autoSpaceDE w:val="0"/>
        <w:autoSpaceDN w:val="0"/>
        <w:adjustRightInd w:val="0"/>
        <w:spacing w:after="120" w:line="360" w:lineRule="auto"/>
        <w:ind w:left="426" w:firstLine="425"/>
        <w:jc w:val="both"/>
        <w:rPr>
          <w:rFonts w:asciiTheme="majorBidi" w:hAnsiTheme="majorBidi" w:cstheme="majorBidi"/>
          <w:sz w:val="24"/>
          <w:szCs w:val="24"/>
        </w:rPr>
      </w:pPr>
      <w:r w:rsidRPr="009F77A7">
        <w:rPr>
          <w:rFonts w:asciiTheme="majorBidi" w:hAnsiTheme="majorBidi" w:cstheme="majorBidi"/>
          <w:sz w:val="24"/>
          <w:szCs w:val="24"/>
        </w:rPr>
        <w:lastRenderedPageBreak/>
        <w:t>Berdasarkan</w:t>
      </w:r>
      <w:r w:rsidR="0041222A" w:rsidRPr="009F77A7">
        <w:rPr>
          <w:rFonts w:asciiTheme="majorBidi" w:hAnsiTheme="majorBidi" w:cstheme="majorBidi"/>
          <w:sz w:val="24"/>
          <w:szCs w:val="24"/>
        </w:rPr>
        <w:t xml:space="preserve"> tiga indikator di atas,</w:t>
      </w:r>
      <w:r w:rsidRPr="009F77A7">
        <w:rPr>
          <w:rFonts w:asciiTheme="majorBidi" w:hAnsiTheme="majorBidi" w:cstheme="majorBidi"/>
          <w:sz w:val="24"/>
          <w:szCs w:val="24"/>
        </w:rPr>
        <w:t xml:space="preserve"> dapat diketahui</w:t>
      </w:r>
      <w:r w:rsidR="0041222A" w:rsidRPr="009F77A7">
        <w:rPr>
          <w:rFonts w:asciiTheme="majorBidi" w:hAnsiTheme="majorBidi" w:cstheme="majorBidi"/>
          <w:sz w:val="24"/>
          <w:szCs w:val="24"/>
        </w:rPr>
        <w:t xml:space="preserve"> jalan yang lurus merupakan petunjuk yang penting untuk diraih dalam meniti jalan kesempurnaan manusia. Syarat untuk meraih hidayah</w:t>
      </w:r>
      <w:r w:rsidR="009B3EC3" w:rsidRPr="009F77A7">
        <w:rPr>
          <w:rFonts w:asciiTheme="majorBidi" w:hAnsiTheme="majorBidi" w:cstheme="majorBidi"/>
          <w:sz w:val="24"/>
          <w:szCs w:val="24"/>
        </w:rPr>
        <w:t xml:space="preserve"> atau petunjuk</w:t>
      </w:r>
      <w:r w:rsidR="0041222A" w:rsidRPr="009F77A7">
        <w:rPr>
          <w:rFonts w:asciiTheme="majorBidi" w:hAnsiTheme="majorBidi" w:cstheme="majorBidi"/>
          <w:sz w:val="24"/>
          <w:szCs w:val="24"/>
        </w:rPr>
        <w:t xml:space="preserve"> adalah kesiapan seorang hamba, salah satu kesiapan tersebut adalah dengan berusaha memahami makna dari jalan yang lurus di dalam Alquran sebelum mengamalkannya</w:t>
      </w:r>
      <w:r w:rsidR="0041222A" w:rsidRPr="009F77A7">
        <w:rPr>
          <w:rFonts w:asciiTheme="majorBidi" w:hAnsiTheme="majorBidi" w:cstheme="majorBidi"/>
          <w:i/>
          <w:iCs/>
          <w:sz w:val="24"/>
          <w:szCs w:val="24"/>
        </w:rPr>
        <w:t xml:space="preserve">. </w:t>
      </w:r>
      <w:r w:rsidR="009B3EC3" w:rsidRPr="009F77A7">
        <w:rPr>
          <w:rFonts w:asciiTheme="majorBidi" w:hAnsiTheme="majorBidi" w:cstheme="majorBidi"/>
          <w:sz w:val="24"/>
          <w:szCs w:val="24"/>
        </w:rPr>
        <w:t xml:space="preserve">Demi memahami makna </w:t>
      </w:r>
      <w:r w:rsidR="009B3EC3" w:rsidRPr="009F77A7">
        <w:rPr>
          <w:rFonts w:asciiTheme="majorBidi" w:hAnsiTheme="majorBidi" w:cstheme="majorBidi"/>
          <w:i/>
          <w:iCs/>
          <w:sz w:val="24"/>
          <w:szCs w:val="24"/>
        </w:rPr>
        <w:t>as-ṣirāṭ al-mustaqīm</w:t>
      </w:r>
      <w:r w:rsidR="0041222A" w:rsidRPr="009F77A7">
        <w:rPr>
          <w:rFonts w:asciiTheme="majorBidi" w:hAnsiTheme="majorBidi" w:cstheme="majorBidi"/>
          <w:sz w:val="24"/>
          <w:szCs w:val="24"/>
        </w:rPr>
        <w:t xml:space="preserve">, </w:t>
      </w:r>
      <w:r w:rsidR="009B3EC3" w:rsidRPr="009F77A7">
        <w:rPr>
          <w:rFonts w:asciiTheme="majorBidi" w:hAnsiTheme="majorBidi" w:cstheme="majorBidi"/>
          <w:sz w:val="24"/>
          <w:szCs w:val="24"/>
        </w:rPr>
        <w:t>setiap manusia perlu</w:t>
      </w:r>
      <w:r w:rsidR="0041222A" w:rsidRPr="009F77A7">
        <w:rPr>
          <w:rFonts w:asciiTheme="majorBidi" w:hAnsiTheme="majorBidi" w:cstheme="majorBidi"/>
          <w:sz w:val="24"/>
          <w:szCs w:val="24"/>
        </w:rPr>
        <w:t xml:space="preserve"> merujuk </w:t>
      </w:r>
      <w:r w:rsidR="009B3EC3" w:rsidRPr="009F77A7">
        <w:rPr>
          <w:rFonts w:asciiTheme="majorBidi" w:hAnsiTheme="majorBidi" w:cstheme="majorBidi"/>
          <w:sz w:val="24"/>
          <w:szCs w:val="24"/>
        </w:rPr>
        <w:t>pada</w:t>
      </w:r>
      <w:r w:rsidR="0041222A" w:rsidRPr="009F77A7">
        <w:rPr>
          <w:rFonts w:asciiTheme="majorBidi" w:hAnsiTheme="majorBidi" w:cstheme="majorBidi"/>
          <w:sz w:val="24"/>
          <w:szCs w:val="24"/>
        </w:rPr>
        <w:t xml:space="preserve"> kitab-kitab tafsir. Dalam hal ini, para mufasir memiliki beragam pendapat dalam menafsirkan term </w:t>
      </w:r>
      <w:r w:rsidR="00004C05" w:rsidRPr="009F77A7">
        <w:rPr>
          <w:rFonts w:asciiTheme="majorBidi" w:hAnsiTheme="majorBidi" w:cstheme="majorBidi"/>
          <w:i/>
          <w:iCs/>
          <w:sz w:val="24"/>
          <w:szCs w:val="24"/>
        </w:rPr>
        <w:t>as-ṣirāṭ al-mustaqīm</w:t>
      </w:r>
      <w:r w:rsidR="0041222A" w:rsidRPr="009F77A7">
        <w:rPr>
          <w:rFonts w:asciiTheme="majorBidi" w:hAnsiTheme="majorBidi" w:cstheme="majorBidi"/>
          <w:sz w:val="24"/>
          <w:szCs w:val="24"/>
        </w:rPr>
        <w:t xml:space="preserve">. </w:t>
      </w:r>
      <w:r w:rsidR="00004C05" w:rsidRPr="009F77A7">
        <w:rPr>
          <w:rFonts w:asciiTheme="majorBidi" w:hAnsiTheme="majorBidi" w:cstheme="majorBidi"/>
          <w:sz w:val="24"/>
          <w:szCs w:val="24"/>
        </w:rPr>
        <w:t xml:space="preserve">Jika </w:t>
      </w:r>
      <w:r w:rsidR="0041222A" w:rsidRPr="009F77A7">
        <w:rPr>
          <w:rFonts w:asciiTheme="majorBidi" w:hAnsiTheme="majorBidi" w:cstheme="majorBidi"/>
          <w:sz w:val="24"/>
          <w:szCs w:val="24"/>
        </w:rPr>
        <w:t xml:space="preserve"> merujuk kepada kitab tafsir </w:t>
      </w:r>
      <w:r w:rsidR="0041222A" w:rsidRPr="009F77A7">
        <w:rPr>
          <w:rFonts w:asciiTheme="majorBidi" w:hAnsiTheme="majorBidi" w:cstheme="majorBidi"/>
          <w:i/>
          <w:iCs/>
          <w:sz w:val="24"/>
          <w:szCs w:val="24"/>
        </w:rPr>
        <w:t xml:space="preserve">al-Durr al-Manthūr </w:t>
      </w:r>
      <w:r w:rsidR="0041222A" w:rsidRPr="009F77A7">
        <w:rPr>
          <w:rFonts w:asciiTheme="majorBidi" w:hAnsiTheme="majorBidi" w:cstheme="majorBidi"/>
          <w:sz w:val="24"/>
          <w:szCs w:val="24"/>
        </w:rPr>
        <w:t>karya Suyūṭī, maka ditemukan bahwa jalan yang lurus memiliki banyak tafsiran. Ada yang mengatakan agama yang benar (</w:t>
      </w:r>
      <w:r w:rsidR="0041222A" w:rsidRPr="009F77A7">
        <w:rPr>
          <w:rFonts w:asciiTheme="majorBidi" w:hAnsiTheme="majorBidi" w:cstheme="majorBidi"/>
          <w:i/>
          <w:iCs/>
          <w:sz w:val="24"/>
          <w:szCs w:val="24"/>
        </w:rPr>
        <w:t>dīn al-haq</w:t>
      </w:r>
      <w:r w:rsidR="0041222A" w:rsidRPr="009F77A7">
        <w:rPr>
          <w:rFonts w:asciiTheme="majorBidi" w:hAnsiTheme="majorBidi" w:cstheme="majorBidi"/>
          <w:sz w:val="24"/>
          <w:szCs w:val="24"/>
        </w:rPr>
        <w:t>), Islam, Alquran, dan Rasulullah beserta sahabatnya.</w:t>
      </w:r>
      <w:r w:rsidR="0041222A" w:rsidRPr="009F77A7">
        <w:rPr>
          <w:rStyle w:val="FootnoteReference"/>
          <w:rFonts w:asciiTheme="majorBidi" w:hAnsiTheme="majorBidi" w:cstheme="majorBidi"/>
          <w:sz w:val="24"/>
          <w:szCs w:val="24"/>
        </w:rPr>
        <w:footnoteReference w:id="6"/>
      </w:r>
      <w:r w:rsidR="009229FD" w:rsidRPr="009F77A7">
        <w:rPr>
          <w:rFonts w:asciiTheme="majorBidi" w:hAnsiTheme="majorBidi" w:cstheme="majorBidi"/>
          <w:sz w:val="24"/>
          <w:szCs w:val="24"/>
        </w:rPr>
        <w:t xml:space="preserve"> </w:t>
      </w:r>
      <w:r w:rsidR="00F65202" w:rsidRPr="009F77A7">
        <w:rPr>
          <w:rFonts w:asciiTheme="majorBidi" w:hAnsiTheme="majorBidi" w:cstheme="majorBidi"/>
          <w:sz w:val="24"/>
          <w:szCs w:val="24"/>
        </w:rPr>
        <w:t>Adapun pandangan dari</w:t>
      </w:r>
      <w:r w:rsidR="009229FD" w:rsidRPr="009F77A7">
        <w:rPr>
          <w:rFonts w:asciiTheme="majorBidi" w:hAnsiTheme="majorBidi" w:cstheme="majorBidi"/>
          <w:sz w:val="24"/>
          <w:szCs w:val="24"/>
        </w:rPr>
        <w:t xml:space="preserve"> mufasir –dengan metode penafsiran yang sama- </w:t>
      </w:r>
      <w:r w:rsidR="00F65202" w:rsidRPr="009F77A7">
        <w:rPr>
          <w:rFonts w:asciiTheme="majorBidi" w:hAnsiTheme="majorBidi" w:cstheme="majorBidi"/>
          <w:sz w:val="24"/>
          <w:szCs w:val="24"/>
        </w:rPr>
        <w:t>berbeda</w:t>
      </w:r>
      <w:r w:rsidR="009229FD" w:rsidRPr="009F77A7">
        <w:rPr>
          <w:rFonts w:asciiTheme="majorBidi" w:hAnsiTheme="majorBidi" w:cstheme="majorBidi"/>
          <w:sz w:val="24"/>
          <w:szCs w:val="24"/>
        </w:rPr>
        <w:t xml:space="preserve">, seperti </w:t>
      </w:r>
      <w:r w:rsidR="00F65202" w:rsidRPr="009F77A7">
        <w:rPr>
          <w:rFonts w:asciiTheme="majorBidi" w:hAnsiTheme="majorBidi" w:cstheme="majorBidi"/>
          <w:sz w:val="24"/>
          <w:szCs w:val="24"/>
        </w:rPr>
        <w:t xml:space="preserve">‘Abdul Ali al-Huwaizī dalam karyanya berjudul, </w:t>
      </w:r>
      <w:r w:rsidR="009229FD" w:rsidRPr="009F77A7">
        <w:rPr>
          <w:rFonts w:asciiTheme="majorBidi" w:hAnsiTheme="majorBidi" w:cstheme="majorBidi"/>
          <w:i/>
          <w:iCs/>
          <w:sz w:val="24"/>
          <w:szCs w:val="24"/>
        </w:rPr>
        <w:t>Nūr al-Thaqalain</w:t>
      </w:r>
      <w:r w:rsidR="009229FD" w:rsidRPr="009F77A7">
        <w:rPr>
          <w:rFonts w:asciiTheme="majorBidi" w:hAnsiTheme="majorBidi" w:cstheme="majorBidi"/>
          <w:sz w:val="24"/>
          <w:szCs w:val="24"/>
        </w:rPr>
        <w:t xml:space="preserve"> menafsirkan melalui riwayat dari jalur </w:t>
      </w:r>
      <w:r w:rsidR="009B3EC3" w:rsidRPr="009F77A7">
        <w:rPr>
          <w:rFonts w:asciiTheme="majorBidi" w:hAnsiTheme="majorBidi" w:cstheme="majorBidi"/>
          <w:sz w:val="24"/>
          <w:szCs w:val="24"/>
        </w:rPr>
        <w:t>A</w:t>
      </w:r>
      <w:r w:rsidR="009229FD" w:rsidRPr="009F77A7">
        <w:rPr>
          <w:rFonts w:asciiTheme="majorBidi" w:hAnsiTheme="majorBidi" w:cstheme="majorBidi"/>
          <w:sz w:val="24"/>
          <w:szCs w:val="24"/>
        </w:rPr>
        <w:t>hlulbait, bahwa jalan yang lurus adalah Imam Ali</w:t>
      </w:r>
      <w:r w:rsidR="00F65202" w:rsidRPr="009F77A7">
        <w:rPr>
          <w:rFonts w:asciiTheme="majorBidi" w:hAnsiTheme="majorBidi" w:cstheme="majorBidi"/>
          <w:sz w:val="24"/>
          <w:szCs w:val="24"/>
        </w:rPr>
        <w:t xml:space="preserve"> as</w:t>
      </w:r>
      <w:r w:rsidR="009229FD" w:rsidRPr="009F77A7">
        <w:rPr>
          <w:rFonts w:asciiTheme="majorBidi" w:hAnsiTheme="majorBidi" w:cstheme="majorBidi"/>
          <w:sz w:val="24"/>
          <w:szCs w:val="24"/>
        </w:rPr>
        <w:t>, Ahlulbait Nabi</w:t>
      </w:r>
      <w:r w:rsidR="00F65202" w:rsidRPr="009F77A7">
        <w:rPr>
          <w:rFonts w:asciiTheme="majorBidi" w:hAnsiTheme="majorBidi" w:cstheme="majorBidi"/>
          <w:sz w:val="24"/>
          <w:szCs w:val="24"/>
        </w:rPr>
        <w:t>,</w:t>
      </w:r>
      <w:r w:rsidR="009229FD" w:rsidRPr="009F77A7">
        <w:rPr>
          <w:rFonts w:asciiTheme="majorBidi" w:hAnsiTheme="majorBidi" w:cstheme="majorBidi"/>
          <w:sz w:val="24"/>
          <w:szCs w:val="24"/>
        </w:rPr>
        <w:t xml:space="preserve"> dan dua jalan (</w:t>
      </w:r>
      <w:r w:rsidR="009229FD" w:rsidRPr="009F77A7">
        <w:rPr>
          <w:rFonts w:asciiTheme="majorBidi" w:hAnsiTheme="majorBidi" w:cstheme="majorBidi"/>
          <w:i/>
          <w:iCs/>
          <w:sz w:val="24"/>
          <w:szCs w:val="24"/>
        </w:rPr>
        <w:t>sirāṭ</w:t>
      </w:r>
      <w:r w:rsidR="009229FD" w:rsidRPr="009F77A7">
        <w:rPr>
          <w:rFonts w:asciiTheme="majorBidi" w:hAnsiTheme="majorBidi" w:cstheme="majorBidi"/>
          <w:sz w:val="24"/>
          <w:szCs w:val="24"/>
        </w:rPr>
        <w:t>); di dunia dan di akhirat</w:t>
      </w:r>
      <w:r w:rsidR="00F65202" w:rsidRPr="009F77A7">
        <w:rPr>
          <w:rFonts w:asciiTheme="majorBidi" w:hAnsiTheme="majorBidi" w:cstheme="majorBidi"/>
          <w:sz w:val="24"/>
          <w:szCs w:val="24"/>
        </w:rPr>
        <w:t>. Makna</w:t>
      </w:r>
      <w:r w:rsidR="009229FD" w:rsidRPr="009F77A7">
        <w:rPr>
          <w:rFonts w:asciiTheme="majorBidi" w:hAnsiTheme="majorBidi" w:cstheme="majorBidi"/>
          <w:sz w:val="24"/>
          <w:szCs w:val="24"/>
        </w:rPr>
        <w:t xml:space="preserve"> </w:t>
      </w:r>
      <w:r w:rsidR="00F65202" w:rsidRPr="009F77A7">
        <w:rPr>
          <w:rFonts w:asciiTheme="majorBidi" w:hAnsiTheme="majorBidi" w:cstheme="majorBidi"/>
          <w:sz w:val="24"/>
          <w:szCs w:val="24"/>
        </w:rPr>
        <w:t>j</w:t>
      </w:r>
      <w:r w:rsidR="009229FD" w:rsidRPr="009F77A7">
        <w:rPr>
          <w:rFonts w:asciiTheme="majorBidi" w:hAnsiTheme="majorBidi" w:cstheme="majorBidi"/>
          <w:sz w:val="24"/>
          <w:szCs w:val="24"/>
        </w:rPr>
        <w:t>alan di dunia adalah</w:t>
      </w:r>
      <w:r w:rsidR="00F65202" w:rsidRPr="009F77A7">
        <w:rPr>
          <w:rFonts w:asciiTheme="majorBidi" w:hAnsiTheme="majorBidi" w:cstheme="majorBidi"/>
          <w:sz w:val="24"/>
          <w:szCs w:val="24"/>
        </w:rPr>
        <w:t xml:space="preserve"> para</w:t>
      </w:r>
      <w:r w:rsidR="009229FD" w:rsidRPr="009F77A7">
        <w:rPr>
          <w:rFonts w:asciiTheme="majorBidi" w:hAnsiTheme="majorBidi" w:cstheme="majorBidi"/>
          <w:sz w:val="24"/>
          <w:szCs w:val="24"/>
        </w:rPr>
        <w:t xml:space="preserve"> </w:t>
      </w:r>
      <w:r w:rsidR="00F65202" w:rsidRPr="009F77A7">
        <w:rPr>
          <w:rFonts w:asciiTheme="majorBidi" w:hAnsiTheme="majorBidi" w:cstheme="majorBidi"/>
          <w:sz w:val="24"/>
          <w:szCs w:val="24"/>
        </w:rPr>
        <w:t>I</w:t>
      </w:r>
      <w:r w:rsidR="009229FD" w:rsidRPr="009F77A7">
        <w:rPr>
          <w:rFonts w:asciiTheme="majorBidi" w:hAnsiTheme="majorBidi" w:cstheme="majorBidi"/>
          <w:sz w:val="24"/>
          <w:szCs w:val="24"/>
        </w:rPr>
        <w:t>mam yang harus ditaati, barang siapa yang mengenalnya di dunia maka akan mendapat petunjuk ketika melewati jembatan yang terdapat di akhirat, adapun yang tidak mengenalnya maka akan tergelincir menuju neraka.</w:t>
      </w:r>
      <w:r w:rsidR="009229FD" w:rsidRPr="009F77A7">
        <w:rPr>
          <w:rStyle w:val="FootnoteReference"/>
          <w:rFonts w:asciiTheme="majorBidi" w:hAnsiTheme="majorBidi" w:cstheme="majorBidi"/>
          <w:sz w:val="24"/>
          <w:szCs w:val="24"/>
        </w:rPr>
        <w:footnoteReference w:id="7"/>
      </w:r>
    </w:p>
    <w:p w:rsidR="00D167C7" w:rsidRPr="009F77A7" w:rsidRDefault="000E73AB" w:rsidP="00B74429">
      <w:pPr>
        <w:autoSpaceDE w:val="0"/>
        <w:autoSpaceDN w:val="0"/>
        <w:adjustRightInd w:val="0"/>
        <w:spacing w:after="120" w:line="360" w:lineRule="auto"/>
        <w:ind w:left="426" w:firstLine="425"/>
        <w:jc w:val="both"/>
        <w:rPr>
          <w:rFonts w:asciiTheme="majorBidi" w:hAnsiTheme="majorBidi" w:cstheme="majorBidi"/>
          <w:sz w:val="24"/>
          <w:szCs w:val="24"/>
        </w:rPr>
      </w:pPr>
      <w:r w:rsidRPr="009F77A7">
        <w:rPr>
          <w:rFonts w:asciiTheme="majorBidi" w:hAnsiTheme="majorBidi" w:cstheme="majorBidi"/>
          <w:sz w:val="24"/>
          <w:szCs w:val="24"/>
        </w:rPr>
        <w:t xml:space="preserve">Penafsiran ‘Abdul Ali al-Huwaizī dan Suyūṭī terhadap </w:t>
      </w:r>
      <w:r w:rsidRPr="009F77A7">
        <w:rPr>
          <w:rFonts w:asciiTheme="majorBidi" w:hAnsiTheme="majorBidi" w:cstheme="majorBidi"/>
          <w:i/>
          <w:iCs/>
          <w:sz w:val="24"/>
          <w:szCs w:val="24"/>
        </w:rPr>
        <w:t xml:space="preserve">as-ṣirāṭ al-mustaqīm </w:t>
      </w:r>
      <w:r w:rsidRPr="009F77A7">
        <w:rPr>
          <w:rFonts w:asciiTheme="majorBidi" w:hAnsiTheme="majorBidi" w:cstheme="majorBidi"/>
          <w:sz w:val="24"/>
          <w:szCs w:val="24"/>
        </w:rPr>
        <w:t>yang men</w:t>
      </w:r>
      <w:r w:rsidR="000C3CDF" w:rsidRPr="009F77A7">
        <w:rPr>
          <w:rFonts w:asciiTheme="majorBidi" w:hAnsiTheme="majorBidi" w:cstheme="majorBidi"/>
          <w:sz w:val="24"/>
          <w:szCs w:val="24"/>
        </w:rPr>
        <w:t>e</w:t>
      </w:r>
      <w:r w:rsidRPr="009F77A7">
        <w:rPr>
          <w:rFonts w:asciiTheme="majorBidi" w:hAnsiTheme="majorBidi" w:cstheme="majorBidi"/>
          <w:sz w:val="24"/>
          <w:szCs w:val="24"/>
        </w:rPr>
        <w:t>mpatkan Islam dan Alquran sebagai referens (</w:t>
      </w:r>
      <w:r w:rsidRPr="009F77A7">
        <w:rPr>
          <w:rFonts w:asciiTheme="majorBidi" w:hAnsiTheme="majorBidi" w:cstheme="majorBidi"/>
          <w:i/>
          <w:iCs/>
          <w:sz w:val="24"/>
          <w:szCs w:val="24"/>
        </w:rPr>
        <w:t>maṣadiq)</w:t>
      </w:r>
      <w:r w:rsidRPr="009F77A7">
        <w:rPr>
          <w:rFonts w:asciiTheme="majorBidi" w:hAnsiTheme="majorBidi" w:cstheme="majorBidi"/>
          <w:sz w:val="24"/>
          <w:szCs w:val="24"/>
        </w:rPr>
        <w:t xml:space="preserve"> dikritik oleh Fakhr al-Rāzī</w:t>
      </w:r>
      <w:r w:rsidR="00663B76" w:rsidRPr="009F77A7">
        <w:rPr>
          <w:rFonts w:asciiTheme="majorBidi" w:hAnsiTheme="majorBidi" w:cstheme="majorBidi"/>
          <w:sz w:val="24"/>
          <w:szCs w:val="24"/>
        </w:rPr>
        <w:t xml:space="preserve"> dalam karyanya berjudul </w:t>
      </w:r>
      <w:r w:rsidR="00663B76" w:rsidRPr="009F77A7">
        <w:rPr>
          <w:rFonts w:asciiTheme="majorBidi" w:hAnsiTheme="majorBidi" w:cstheme="majorBidi"/>
          <w:i/>
          <w:iCs/>
          <w:sz w:val="24"/>
          <w:szCs w:val="24"/>
        </w:rPr>
        <w:t xml:space="preserve">Mafātīḥ al-Ghaib </w:t>
      </w:r>
      <w:r w:rsidR="00663B76" w:rsidRPr="009F77A7">
        <w:rPr>
          <w:rFonts w:asciiTheme="majorBidi" w:hAnsiTheme="majorBidi" w:cstheme="majorBidi"/>
          <w:sz w:val="24"/>
          <w:szCs w:val="24"/>
        </w:rPr>
        <w:t xml:space="preserve">menjelaskan makna </w:t>
      </w:r>
      <w:r w:rsidR="00663B76" w:rsidRPr="009F77A7">
        <w:rPr>
          <w:rFonts w:asciiTheme="majorBidi" w:hAnsiTheme="majorBidi" w:cstheme="majorBidi"/>
          <w:i/>
          <w:iCs/>
          <w:sz w:val="24"/>
          <w:szCs w:val="24"/>
        </w:rPr>
        <w:t xml:space="preserve">as-ṣirāṭ al-mustaqīm </w:t>
      </w:r>
      <w:r w:rsidR="000C3CDF" w:rsidRPr="009F77A7">
        <w:rPr>
          <w:rFonts w:asciiTheme="majorBidi" w:hAnsiTheme="majorBidi" w:cstheme="majorBidi"/>
          <w:sz w:val="24"/>
          <w:szCs w:val="24"/>
        </w:rPr>
        <w:t>melalui</w:t>
      </w:r>
      <w:r w:rsidR="00663B76" w:rsidRPr="009F77A7">
        <w:rPr>
          <w:rFonts w:asciiTheme="majorBidi" w:hAnsiTheme="majorBidi" w:cstheme="majorBidi"/>
          <w:sz w:val="24"/>
          <w:szCs w:val="24"/>
        </w:rPr>
        <w:t xml:space="preserve"> QS. al-An’am(6):153 adalah </w:t>
      </w:r>
      <w:r w:rsidR="009229FD" w:rsidRPr="009F77A7">
        <w:rPr>
          <w:rFonts w:asciiTheme="majorBidi" w:hAnsiTheme="majorBidi" w:cstheme="majorBidi"/>
          <w:sz w:val="24"/>
          <w:szCs w:val="24"/>
        </w:rPr>
        <w:t>mukmin</w:t>
      </w:r>
      <w:r w:rsidR="00663B76" w:rsidRPr="009F77A7">
        <w:rPr>
          <w:rFonts w:asciiTheme="majorBidi" w:hAnsiTheme="majorBidi" w:cstheme="majorBidi"/>
          <w:sz w:val="24"/>
          <w:szCs w:val="24"/>
        </w:rPr>
        <w:t xml:space="preserve"> yang</w:t>
      </w:r>
      <w:r w:rsidR="009229FD" w:rsidRPr="009F77A7">
        <w:rPr>
          <w:rFonts w:asciiTheme="majorBidi" w:hAnsiTheme="majorBidi" w:cstheme="majorBidi"/>
          <w:sz w:val="24"/>
          <w:szCs w:val="24"/>
        </w:rPr>
        <w:t xml:space="preserve"> meminta kepada</w:t>
      </w:r>
      <w:r w:rsidR="009229FD" w:rsidRPr="009F77A7">
        <w:rPr>
          <w:rFonts w:asciiTheme="majorBidi" w:hAnsiTheme="majorBidi" w:cstheme="majorBidi"/>
          <w:i/>
          <w:iCs/>
          <w:sz w:val="24"/>
          <w:szCs w:val="24"/>
        </w:rPr>
        <w:t xml:space="preserve"> </w:t>
      </w:r>
      <w:r w:rsidR="009229FD" w:rsidRPr="009F77A7">
        <w:rPr>
          <w:rFonts w:asciiTheme="majorBidi" w:hAnsiTheme="majorBidi" w:cstheme="majorBidi"/>
          <w:sz w:val="24"/>
          <w:szCs w:val="24"/>
        </w:rPr>
        <w:t>Alla</w:t>
      </w:r>
      <w:r w:rsidR="00663B76" w:rsidRPr="009F77A7">
        <w:rPr>
          <w:rFonts w:asciiTheme="majorBidi" w:hAnsiTheme="majorBidi" w:cstheme="majorBidi"/>
          <w:sz w:val="24"/>
          <w:szCs w:val="24"/>
        </w:rPr>
        <w:t>h untuk ditunjukkan jalan lurus, sehingga ia berada  dalam posisi</w:t>
      </w:r>
      <w:r w:rsidR="009229FD" w:rsidRPr="009F77A7">
        <w:rPr>
          <w:rFonts w:asciiTheme="majorBidi" w:hAnsiTheme="majorBidi" w:cstheme="majorBidi"/>
          <w:i/>
          <w:iCs/>
          <w:sz w:val="24"/>
          <w:szCs w:val="24"/>
        </w:rPr>
        <w:t xml:space="preserve"> </w:t>
      </w:r>
      <w:r w:rsidR="009229FD" w:rsidRPr="009F77A7">
        <w:rPr>
          <w:rFonts w:asciiTheme="majorBidi" w:hAnsiTheme="majorBidi" w:cstheme="majorBidi"/>
          <w:sz w:val="24"/>
          <w:szCs w:val="24"/>
        </w:rPr>
        <w:t>tengah (</w:t>
      </w:r>
      <w:r w:rsidR="009229FD" w:rsidRPr="009F77A7">
        <w:rPr>
          <w:rFonts w:asciiTheme="majorBidi" w:hAnsiTheme="majorBidi" w:cstheme="majorBidi"/>
          <w:i/>
          <w:iCs/>
          <w:sz w:val="24"/>
          <w:szCs w:val="24"/>
        </w:rPr>
        <w:t>al-wasṭ</w:t>
      </w:r>
      <w:r w:rsidR="009229FD" w:rsidRPr="009F77A7">
        <w:rPr>
          <w:rFonts w:asciiTheme="majorBidi" w:hAnsiTheme="majorBidi" w:cstheme="majorBidi"/>
          <w:sz w:val="24"/>
          <w:szCs w:val="24"/>
        </w:rPr>
        <w:t>) antara dua sisi ekstrim dalam seluruh akhlak dan</w:t>
      </w:r>
      <w:r w:rsidR="009229FD" w:rsidRPr="009F77A7">
        <w:rPr>
          <w:rFonts w:asciiTheme="majorBidi" w:hAnsiTheme="majorBidi" w:cstheme="majorBidi"/>
          <w:i/>
          <w:iCs/>
          <w:sz w:val="24"/>
          <w:szCs w:val="24"/>
        </w:rPr>
        <w:t xml:space="preserve"> </w:t>
      </w:r>
      <w:r w:rsidR="009229FD" w:rsidRPr="009F77A7">
        <w:rPr>
          <w:rFonts w:asciiTheme="majorBidi" w:hAnsiTheme="majorBidi" w:cstheme="majorBidi"/>
          <w:sz w:val="24"/>
          <w:szCs w:val="24"/>
        </w:rPr>
        <w:t>perbuatannya.</w:t>
      </w:r>
      <w:r w:rsidR="009229FD" w:rsidRPr="009F77A7">
        <w:rPr>
          <w:rStyle w:val="FootnoteReference"/>
          <w:rFonts w:asciiTheme="majorBidi" w:hAnsiTheme="majorBidi" w:cstheme="majorBidi"/>
          <w:sz w:val="24"/>
          <w:szCs w:val="24"/>
        </w:rPr>
        <w:footnoteReference w:id="8"/>
      </w:r>
      <w:r w:rsidR="00663B76" w:rsidRPr="009F77A7">
        <w:rPr>
          <w:rFonts w:asciiTheme="majorBidi" w:hAnsiTheme="majorBidi" w:cstheme="majorBidi"/>
          <w:sz w:val="24"/>
          <w:szCs w:val="24"/>
        </w:rPr>
        <w:t xml:space="preserve"> Sedangkan, </w:t>
      </w:r>
      <w:r w:rsidR="008F6FBC" w:rsidRPr="009F77A7">
        <w:rPr>
          <w:rFonts w:asciiTheme="majorBidi" w:hAnsiTheme="majorBidi" w:cstheme="majorBidi"/>
          <w:sz w:val="24"/>
          <w:szCs w:val="24"/>
        </w:rPr>
        <w:t>penafsiran Alquran dan Islam sebagai referen</w:t>
      </w:r>
      <w:r w:rsidR="00663B76" w:rsidRPr="009F77A7">
        <w:rPr>
          <w:rFonts w:asciiTheme="majorBidi" w:hAnsiTheme="majorBidi" w:cstheme="majorBidi"/>
          <w:sz w:val="24"/>
          <w:szCs w:val="24"/>
        </w:rPr>
        <w:t xml:space="preserve"> </w:t>
      </w:r>
      <w:r w:rsidR="00663B76" w:rsidRPr="009F77A7">
        <w:rPr>
          <w:rFonts w:asciiTheme="majorBidi" w:hAnsiTheme="majorBidi" w:cstheme="majorBidi"/>
          <w:i/>
          <w:iCs/>
          <w:sz w:val="24"/>
          <w:szCs w:val="24"/>
        </w:rPr>
        <w:t xml:space="preserve">as-ṣirāṭ al-mustaqīm </w:t>
      </w:r>
      <w:r w:rsidR="008F6FBC" w:rsidRPr="009F77A7">
        <w:rPr>
          <w:rFonts w:asciiTheme="majorBidi" w:hAnsiTheme="majorBidi" w:cstheme="majorBidi"/>
          <w:sz w:val="24"/>
          <w:szCs w:val="24"/>
        </w:rPr>
        <w:t xml:space="preserve">dalam pandangan </w:t>
      </w:r>
      <w:r w:rsidR="00663B76" w:rsidRPr="009F77A7">
        <w:rPr>
          <w:rFonts w:asciiTheme="majorBidi" w:hAnsiTheme="majorBidi" w:cstheme="majorBidi"/>
          <w:sz w:val="24"/>
          <w:szCs w:val="24"/>
        </w:rPr>
        <w:t xml:space="preserve">Fakhr al-Rāzī merupakan upaya pembatasan hidayah Allah swt yang hanya berlaku pada satu tempat dan waktu, yaitu kenabian Muhammad saw. </w:t>
      </w:r>
      <w:r w:rsidR="008F6FBC" w:rsidRPr="009F77A7">
        <w:rPr>
          <w:rFonts w:asciiTheme="majorBidi" w:hAnsiTheme="majorBidi" w:cstheme="majorBidi"/>
          <w:sz w:val="24"/>
          <w:szCs w:val="24"/>
        </w:rPr>
        <w:t>Adapun</w:t>
      </w:r>
      <w:r w:rsidR="000C3CDF" w:rsidRPr="009F77A7">
        <w:rPr>
          <w:rFonts w:asciiTheme="majorBidi" w:hAnsiTheme="majorBidi" w:cstheme="majorBidi"/>
          <w:sz w:val="24"/>
          <w:szCs w:val="24"/>
        </w:rPr>
        <w:t xml:space="preserve">, orang-orang terdahulu yang belum mengenal Alquran dan Islam </w:t>
      </w:r>
      <w:r w:rsidR="00663B76" w:rsidRPr="009F77A7">
        <w:rPr>
          <w:rFonts w:asciiTheme="majorBidi" w:hAnsiTheme="majorBidi" w:cstheme="majorBidi"/>
          <w:sz w:val="24"/>
          <w:szCs w:val="24"/>
        </w:rPr>
        <w:t>tidak memperoleh hidayah melewati jalan yang lurus sebagai proses kesempurnaan dirinya. Fakhr al-Rāzī menegaskan</w:t>
      </w:r>
      <w:r w:rsidR="000C3CDF" w:rsidRPr="009F77A7">
        <w:rPr>
          <w:rFonts w:asciiTheme="majorBidi" w:hAnsiTheme="majorBidi" w:cstheme="majorBidi"/>
          <w:sz w:val="24"/>
          <w:szCs w:val="24"/>
        </w:rPr>
        <w:t xml:space="preserve"> konsep </w:t>
      </w:r>
      <w:r w:rsidR="000C3CDF" w:rsidRPr="009F77A7">
        <w:rPr>
          <w:rFonts w:asciiTheme="majorBidi" w:hAnsiTheme="majorBidi" w:cstheme="majorBidi"/>
          <w:i/>
          <w:iCs/>
          <w:sz w:val="24"/>
          <w:szCs w:val="24"/>
        </w:rPr>
        <w:t>as-ṣirāṭ al-mustaqīm</w:t>
      </w:r>
      <w:r w:rsidR="00663B76" w:rsidRPr="009F77A7">
        <w:rPr>
          <w:rFonts w:asciiTheme="majorBidi" w:hAnsiTheme="majorBidi" w:cstheme="majorBidi"/>
          <w:sz w:val="24"/>
          <w:szCs w:val="24"/>
        </w:rPr>
        <w:t xml:space="preserve"> </w:t>
      </w:r>
      <w:r w:rsidR="008F6FBC" w:rsidRPr="009F77A7">
        <w:rPr>
          <w:rFonts w:asciiTheme="majorBidi" w:hAnsiTheme="majorBidi" w:cstheme="majorBidi"/>
          <w:sz w:val="24"/>
          <w:szCs w:val="24"/>
        </w:rPr>
        <w:t>berdasarkan</w:t>
      </w:r>
      <w:r w:rsidR="00663B76" w:rsidRPr="009F77A7">
        <w:rPr>
          <w:rFonts w:asciiTheme="majorBidi" w:hAnsiTheme="majorBidi" w:cstheme="majorBidi"/>
          <w:sz w:val="24"/>
          <w:szCs w:val="24"/>
        </w:rPr>
        <w:t xml:space="preserve"> </w:t>
      </w:r>
      <w:r w:rsidR="008F6FBC" w:rsidRPr="009F77A7">
        <w:rPr>
          <w:rFonts w:asciiTheme="majorBidi" w:hAnsiTheme="majorBidi" w:cstheme="majorBidi"/>
          <w:sz w:val="24"/>
          <w:szCs w:val="24"/>
        </w:rPr>
        <w:t xml:space="preserve">metode </w:t>
      </w:r>
      <w:r w:rsidR="008F6FBC" w:rsidRPr="009F77A7">
        <w:rPr>
          <w:rFonts w:asciiTheme="majorBidi" w:hAnsiTheme="majorBidi" w:cstheme="majorBidi"/>
          <w:i/>
          <w:iCs/>
          <w:sz w:val="24"/>
          <w:szCs w:val="24"/>
        </w:rPr>
        <w:t xml:space="preserve">‘aql ijtihad </w:t>
      </w:r>
      <w:r w:rsidR="008F6FBC" w:rsidRPr="009F77A7">
        <w:rPr>
          <w:rFonts w:asciiTheme="majorBidi" w:hAnsiTheme="majorBidi" w:cstheme="majorBidi"/>
          <w:sz w:val="24"/>
          <w:szCs w:val="24"/>
        </w:rPr>
        <w:t xml:space="preserve">dengan </w:t>
      </w:r>
      <w:r w:rsidR="00CA5833" w:rsidRPr="009F77A7">
        <w:rPr>
          <w:rFonts w:asciiTheme="majorBidi" w:hAnsiTheme="majorBidi" w:cstheme="majorBidi"/>
          <w:sz w:val="24"/>
          <w:szCs w:val="24"/>
        </w:rPr>
        <w:t>bersandar pada</w:t>
      </w:r>
      <w:r w:rsidR="008F6FBC" w:rsidRPr="009F77A7">
        <w:rPr>
          <w:rFonts w:asciiTheme="majorBidi" w:hAnsiTheme="majorBidi" w:cstheme="majorBidi"/>
          <w:sz w:val="24"/>
          <w:szCs w:val="24"/>
        </w:rPr>
        <w:t xml:space="preserve"> </w:t>
      </w:r>
      <w:r w:rsidR="00CA5833" w:rsidRPr="009F77A7">
        <w:rPr>
          <w:rFonts w:asciiTheme="majorBidi" w:hAnsiTheme="majorBidi" w:cstheme="majorBidi"/>
          <w:sz w:val="24"/>
          <w:szCs w:val="24"/>
        </w:rPr>
        <w:t xml:space="preserve"> </w:t>
      </w:r>
      <w:r w:rsidR="00663B76" w:rsidRPr="009F77A7">
        <w:rPr>
          <w:rFonts w:asciiTheme="majorBidi" w:hAnsiTheme="majorBidi" w:cstheme="majorBidi"/>
          <w:sz w:val="24"/>
          <w:szCs w:val="24"/>
        </w:rPr>
        <w:t xml:space="preserve">QS. al-Fatiha (1):7 merupakan </w:t>
      </w:r>
      <w:r w:rsidR="00663B76" w:rsidRPr="009F77A7">
        <w:rPr>
          <w:rFonts w:asciiTheme="majorBidi" w:hAnsiTheme="majorBidi" w:cstheme="majorBidi"/>
          <w:i/>
          <w:iCs/>
          <w:sz w:val="24"/>
          <w:szCs w:val="24"/>
        </w:rPr>
        <w:lastRenderedPageBreak/>
        <w:t>badal</w:t>
      </w:r>
      <w:r w:rsidR="00663B76" w:rsidRPr="009F77A7">
        <w:rPr>
          <w:rFonts w:asciiTheme="majorBidi" w:hAnsiTheme="majorBidi" w:cstheme="majorBidi"/>
          <w:sz w:val="24"/>
          <w:szCs w:val="24"/>
        </w:rPr>
        <w:t xml:space="preserve"> bagi siapa saja yang dianug</w:t>
      </w:r>
      <w:r w:rsidR="00265814" w:rsidRPr="009F77A7">
        <w:rPr>
          <w:rFonts w:asciiTheme="majorBidi" w:hAnsiTheme="majorBidi" w:cstheme="majorBidi"/>
          <w:sz w:val="24"/>
          <w:szCs w:val="24"/>
        </w:rPr>
        <w:t>e</w:t>
      </w:r>
      <w:r w:rsidR="00663B76" w:rsidRPr="009F77A7">
        <w:rPr>
          <w:rFonts w:asciiTheme="majorBidi" w:hAnsiTheme="majorBidi" w:cstheme="majorBidi"/>
          <w:sz w:val="24"/>
          <w:szCs w:val="24"/>
        </w:rPr>
        <w:t xml:space="preserve">rahkan oleh Allah swt sebuah </w:t>
      </w:r>
      <w:r w:rsidR="00AA6B5B" w:rsidRPr="009F77A7">
        <w:rPr>
          <w:rFonts w:asciiTheme="majorBidi" w:hAnsiTheme="majorBidi" w:cstheme="majorBidi"/>
          <w:sz w:val="24"/>
          <w:szCs w:val="24"/>
        </w:rPr>
        <w:t>nikmat</w:t>
      </w:r>
      <w:r w:rsidR="00663B76" w:rsidRPr="009F77A7">
        <w:rPr>
          <w:rFonts w:asciiTheme="majorBidi" w:hAnsiTheme="majorBidi" w:cstheme="majorBidi"/>
          <w:sz w:val="24"/>
          <w:szCs w:val="24"/>
        </w:rPr>
        <w:t xml:space="preserve"> tanpa memandang kualifikasi ruang dan waktu.</w:t>
      </w:r>
      <w:r w:rsidR="009229FD" w:rsidRPr="009F77A7">
        <w:rPr>
          <w:rStyle w:val="FootnoteReference"/>
          <w:rFonts w:asciiTheme="majorBidi" w:hAnsiTheme="majorBidi" w:cstheme="majorBidi"/>
          <w:sz w:val="24"/>
          <w:szCs w:val="24"/>
        </w:rPr>
        <w:footnoteReference w:id="9"/>
      </w:r>
      <w:r w:rsidR="00CD0C22" w:rsidRPr="009F77A7">
        <w:rPr>
          <w:rFonts w:asciiTheme="majorBidi" w:hAnsiTheme="majorBidi" w:cstheme="majorBidi"/>
          <w:sz w:val="24"/>
          <w:szCs w:val="24"/>
        </w:rPr>
        <w:t xml:space="preserve"> </w:t>
      </w:r>
    </w:p>
    <w:p w:rsidR="00D167C7" w:rsidRPr="009F77A7" w:rsidRDefault="00CD0C22" w:rsidP="00B74429">
      <w:pPr>
        <w:autoSpaceDE w:val="0"/>
        <w:autoSpaceDN w:val="0"/>
        <w:adjustRightInd w:val="0"/>
        <w:spacing w:after="120" w:line="360" w:lineRule="auto"/>
        <w:ind w:left="426" w:firstLine="425"/>
        <w:jc w:val="both"/>
        <w:rPr>
          <w:rFonts w:asciiTheme="majorBidi" w:hAnsiTheme="majorBidi" w:cstheme="majorBidi"/>
          <w:sz w:val="24"/>
          <w:szCs w:val="24"/>
        </w:rPr>
      </w:pPr>
      <w:r w:rsidRPr="009F77A7">
        <w:rPr>
          <w:rFonts w:asciiTheme="majorBidi" w:hAnsiTheme="majorBidi" w:cstheme="majorBidi"/>
          <w:sz w:val="24"/>
          <w:szCs w:val="24"/>
        </w:rPr>
        <w:t xml:space="preserve">Akan tetapi, perlu diketahui bahwa pandangan Fakhr al-Rāzī </w:t>
      </w:r>
      <w:r w:rsidR="001724A1" w:rsidRPr="009F77A7">
        <w:rPr>
          <w:rFonts w:asciiTheme="majorBidi" w:hAnsiTheme="majorBidi" w:cstheme="majorBidi"/>
          <w:sz w:val="24"/>
          <w:szCs w:val="24"/>
        </w:rPr>
        <w:t xml:space="preserve">terhadap </w:t>
      </w:r>
      <w:r w:rsidR="001724A1" w:rsidRPr="009F77A7">
        <w:rPr>
          <w:rFonts w:asciiTheme="majorBidi" w:hAnsiTheme="majorBidi" w:cstheme="majorBidi"/>
          <w:i/>
          <w:iCs/>
          <w:sz w:val="24"/>
          <w:szCs w:val="24"/>
        </w:rPr>
        <w:t xml:space="preserve">as-ṣirāṭ al-mustaqīm </w:t>
      </w:r>
      <w:r w:rsidR="000C3CDF" w:rsidRPr="009F77A7">
        <w:rPr>
          <w:rFonts w:asciiTheme="majorBidi" w:hAnsiTheme="majorBidi" w:cstheme="majorBidi"/>
          <w:sz w:val="24"/>
          <w:szCs w:val="24"/>
        </w:rPr>
        <w:t xml:space="preserve">akan membuka ragam penafsiran dari berbagai pemahaman agama yang meniscayakan paradigma Eksklusivisme yang memandang hanya ada satu pemaknaan yang benar dan tepat terhadap term </w:t>
      </w:r>
      <w:r w:rsidR="000C3CDF" w:rsidRPr="009F77A7">
        <w:rPr>
          <w:rFonts w:asciiTheme="majorBidi" w:hAnsiTheme="majorBidi" w:cstheme="majorBidi"/>
          <w:i/>
          <w:iCs/>
          <w:sz w:val="24"/>
          <w:szCs w:val="24"/>
        </w:rPr>
        <w:t xml:space="preserve">as-ṣirāṭ al-mustaqīm. </w:t>
      </w:r>
      <w:r w:rsidR="000C3CDF" w:rsidRPr="009F77A7">
        <w:rPr>
          <w:rFonts w:asciiTheme="majorBidi" w:hAnsiTheme="majorBidi" w:cstheme="majorBidi"/>
          <w:sz w:val="24"/>
          <w:szCs w:val="24"/>
        </w:rPr>
        <w:t>Akibatnya, setiap individu hanya memandang</w:t>
      </w:r>
      <w:r w:rsidR="000C3CDF" w:rsidRPr="009F77A7">
        <w:rPr>
          <w:rFonts w:asciiTheme="majorBidi" w:hAnsiTheme="majorBidi" w:cstheme="majorBidi"/>
          <w:i/>
          <w:iCs/>
          <w:sz w:val="24"/>
          <w:szCs w:val="24"/>
        </w:rPr>
        <w:t xml:space="preserve"> </w:t>
      </w:r>
      <w:r w:rsidR="00D167C7" w:rsidRPr="009F77A7">
        <w:rPr>
          <w:rFonts w:asciiTheme="majorBidi" w:hAnsiTheme="majorBidi" w:cstheme="majorBidi"/>
          <w:sz w:val="24"/>
          <w:szCs w:val="24"/>
        </w:rPr>
        <w:t xml:space="preserve">bahwa pemaknaan </w:t>
      </w:r>
      <w:r w:rsidR="00D167C7" w:rsidRPr="009F77A7">
        <w:rPr>
          <w:rFonts w:asciiTheme="majorBidi" w:hAnsiTheme="majorBidi" w:cstheme="majorBidi"/>
          <w:i/>
          <w:iCs/>
          <w:sz w:val="24"/>
          <w:szCs w:val="24"/>
        </w:rPr>
        <w:t xml:space="preserve">as-ṣirāṭ al-mustaqīm </w:t>
      </w:r>
      <w:r w:rsidR="00D167C7" w:rsidRPr="009F77A7">
        <w:rPr>
          <w:rFonts w:asciiTheme="majorBidi" w:hAnsiTheme="majorBidi" w:cstheme="majorBidi"/>
          <w:sz w:val="24"/>
          <w:szCs w:val="24"/>
        </w:rPr>
        <w:t>menurut keyakinannya sebagai sesuatu yang benar dan mengabaikan pemahaman di luar keyakinannya. Implikasinya, pandangan Fakhr al-Rāzī meniscayakan kegesekan dalam lingkup keyakinan.</w:t>
      </w:r>
      <w:r w:rsidR="00D167C7" w:rsidRPr="009F77A7">
        <w:rPr>
          <w:rStyle w:val="FootnoteReference"/>
          <w:rFonts w:asciiTheme="majorBidi" w:hAnsiTheme="majorBidi" w:cstheme="majorBidi"/>
          <w:sz w:val="24"/>
          <w:szCs w:val="24"/>
        </w:rPr>
        <w:footnoteReference w:id="10"/>
      </w:r>
      <w:r w:rsidR="00D167C7" w:rsidRPr="009F77A7">
        <w:rPr>
          <w:rFonts w:asciiTheme="majorBidi" w:hAnsiTheme="majorBidi" w:cstheme="majorBidi"/>
          <w:sz w:val="24"/>
          <w:szCs w:val="24"/>
        </w:rPr>
        <w:t xml:space="preserve"> Di satu sisi, perlu diketahui juga bahwa ragam penafsiran terhadap term </w:t>
      </w:r>
      <w:r w:rsidR="00D167C7" w:rsidRPr="009F77A7">
        <w:rPr>
          <w:rFonts w:asciiTheme="majorBidi" w:hAnsiTheme="majorBidi" w:cstheme="majorBidi"/>
          <w:i/>
          <w:iCs/>
          <w:sz w:val="24"/>
          <w:szCs w:val="24"/>
        </w:rPr>
        <w:t xml:space="preserve">as-ṣirāṭ al-mustaqīm </w:t>
      </w:r>
      <w:r w:rsidR="00D167C7" w:rsidRPr="009F77A7">
        <w:rPr>
          <w:rFonts w:asciiTheme="majorBidi" w:hAnsiTheme="majorBidi" w:cstheme="majorBidi"/>
          <w:sz w:val="24"/>
          <w:szCs w:val="24"/>
        </w:rPr>
        <w:t>menurut</w:t>
      </w:r>
      <w:r w:rsidR="000C3CDF" w:rsidRPr="009F77A7">
        <w:rPr>
          <w:rFonts w:asciiTheme="majorBidi" w:hAnsiTheme="majorBidi" w:cstheme="majorBidi"/>
          <w:sz w:val="24"/>
          <w:szCs w:val="24"/>
        </w:rPr>
        <w:t xml:space="preserve"> ‘Abdul al- Huwaizī dan Suyūṭī belum menyingkap makna dan hakikat dari istilah jalan yang lurus. </w:t>
      </w:r>
      <w:r w:rsidR="00D167C7" w:rsidRPr="009F77A7">
        <w:rPr>
          <w:rFonts w:asciiTheme="majorBidi" w:hAnsiTheme="majorBidi" w:cstheme="majorBidi"/>
          <w:sz w:val="24"/>
          <w:szCs w:val="24"/>
        </w:rPr>
        <w:t>Sebaliknya, pandangan para mufasir sebatas mengarah pada fungsi dan peran riwayat dalam menunjukan referen-referen (</w:t>
      </w:r>
      <w:r w:rsidR="00D167C7" w:rsidRPr="009F77A7">
        <w:rPr>
          <w:rFonts w:asciiTheme="majorBidi" w:hAnsiTheme="majorBidi" w:cstheme="majorBidi"/>
          <w:i/>
          <w:iCs/>
          <w:sz w:val="24"/>
          <w:szCs w:val="24"/>
        </w:rPr>
        <w:t>maṣādiq</w:t>
      </w:r>
      <w:r w:rsidR="00D167C7" w:rsidRPr="009F77A7">
        <w:rPr>
          <w:rFonts w:asciiTheme="majorBidi" w:hAnsiTheme="majorBidi" w:cstheme="majorBidi"/>
          <w:sz w:val="24"/>
          <w:szCs w:val="24"/>
        </w:rPr>
        <w:t>) dari jalan yang lurus.</w:t>
      </w:r>
    </w:p>
    <w:p w:rsidR="00AC3D67" w:rsidRPr="009F77A7" w:rsidRDefault="00D167C7" w:rsidP="00B74429">
      <w:pPr>
        <w:autoSpaceDE w:val="0"/>
        <w:autoSpaceDN w:val="0"/>
        <w:adjustRightInd w:val="0"/>
        <w:spacing w:after="120" w:line="360" w:lineRule="auto"/>
        <w:ind w:left="426" w:firstLine="425"/>
        <w:jc w:val="both"/>
        <w:rPr>
          <w:rFonts w:asciiTheme="majorBidi" w:hAnsiTheme="majorBidi" w:cstheme="majorBidi"/>
          <w:sz w:val="24"/>
          <w:szCs w:val="24"/>
        </w:rPr>
      </w:pPr>
      <w:r w:rsidRPr="009F77A7">
        <w:rPr>
          <w:rFonts w:asciiTheme="majorBidi" w:hAnsiTheme="majorBidi" w:cstheme="majorBidi"/>
          <w:sz w:val="24"/>
          <w:szCs w:val="24"/>
        </w:rPr>
        <w:t>Demi mengatasi ragam permasalahan di atas, dibutuhkan sebuah penafsiran yang mampu menying</w:t>
      </w:r>
      <w:r w:rsidR="00F11FAC" w:rsidRPr="009F77A7">
        <w:rPr>
          <w:rFonts w:asciiTheme="majorBidi" w:hAnsiTheme="majorBidi" w:cstheme="majorBidi"/>
          <w:sz w:val="24"/>
          <w:szCs w:val="24"/>
        </w:rPr>
        <w:t>k</w:t>
      </w:r>
      <w:r w:rsidRPr="009F77A7">
        <w:rPr>
          <w:rFonts w:asciiTheme="majorBidi" w:hAnsiTheme="majorBidi" w:cstheme="majorBidi"/>
          <w:sz w:val="24"/>
          <w:szCs w:val="24"/>
        </w:rPr>
        <w:t xml:space="preserve">ap makna batin tanpa mengabaikan makna lahiriah dari suatu ayat Alquran. </w:t>
      </w:r>
      <w:r w:rsidR="00DC36C7" w:rsidRPr="009F77A7">
        <w:rPr>
          <w:rFonts w:asciiTheme="majorBidi" w:hAnsiTheme="majorBidi" w:cstheme="majorBidi"/>
          <w:sz w:val="24"/>
          <w:szCs w:val="24"/>
        </w:rPr>
        <w:t xml:space="preserve">Salah satu </w:t>
      </w:r>
      <w:r w:rsidR="003826EA" w:rsidRPr="009F77A7">
        <w:rPr>
          <w:rFonts w:asciiTheme="majorBidi" w:hAnsiTheme="majorBidi" w:cstheme="majorBidi"/>
          <w:sz w:val="24"/>
          <w:szCs w:val="24"/>
        </w:rPr>
        <w:t>mufasir</w:t>
      </w:r>
      <w:r w:rsidR="00DC36C7" w:rsidRPr="009F77A7">
        <w:rPr>
          <w:rFonts w:asciiTheme="majorBidi" w:hAnsiTheme="majorBidi" w:cstheme="majorBidi"/>
          <w:sz w:val="24"/>
          <w:szCs w:val="24"/>
        </w:rPr>
        <w:t xml:space="preserve"> Muslim yang mengkaji dan </w:t>
      </w:r>
      <w:r w:rsidR="003826EA" w:rsidRPr="009F77A7">
        <w:rPr>
          <w:rFonts w:asciiTheme="majorBidi" w:hAnsiTheme="majorBidi" w:cstheme="majorBidi"/>
          <w:sz w:val="24"/>
          <w:szCs w:val="24"/>
        </w:rPr>
        <w:t xml:space="preserve">membahas term </w:t>
      </w:r>
      <w:r w:rsidR="003826EA" w:rsidRPr="009F77A7">
        <w:rPr>
          <w:rFonts w:asciiTheme="majorBidi" w:hAnsiTheme="majorBidi" w:cstheme="majorBidi"/>
          <w:i/>
          <w:iCs/>
          <w:sz w:val="24"/>
          <w:szCs w:val="24"/>
        </w:rPr>
        <w:t xml:space="preserve">as-ṣirāṭ al-mustaqīm </w:t>
      </w:r>
      <w:r w:rsidR="003826EA" w:rsidRPr="009F77A7">
        <w:rPr>
          <w:rFonts w:asciiTheme="majorBidi" w:hAnsiTheme="majorBidi" w:cstheme="majorBidi"/>
          <w:sz w:val="24"/>
          <w:szCs w:val="24"/>
        </w:rPr>
        <w:t xml:space="preserve">dengan menerapkan metode lahiriah dan batin dalam penafsiran ayat-ayat Alquran, </w:t>
      </w:r>
      <w:r w:rsidR="00DC36C7" w:rsidRPr="009F77A7">
        <w:rPr>
          <w:rFonts w:asciiTheme="majorBidi" w:hAnsiTheme="majorBidi" w:cstheme="majorBidi"/>
          <w:sz w:val="24"/>
          <w:szCs w:val="24"/>
        </w:rPr>
        <w:t>ialah Ṣadr al-Dīn Muḥammad bin Ibrāhīm al-Shīrāz atau lebih dikenal Mullā Ṣadrā</w:t>
      </w:r>
      <w:r w:rsidR="003826EA" w:rsidRPr="009F77A7">
        <w:rPr>
          <w:rFonts w:asciiTheme="majorBidi" w:hAnsiTheme="majorBidi" w:cstheme="majorBidi"/>
          <w:sz w:val="24"/>
          <w:szCs w:val="24"/>
        </w:rPr>
        <w:t xml:space="preserve"> yang dapat diketahui</w:t>
      </w:r>
      <w:r w:rsidR="00082F38" w:rsidRPr="009F77A7">
        <w:rPr>
          <w:rFonts w:asciiTheme="majorBidi" w:hAnsiTheme="majorBidi" w:cstheme="majorBidi"/>
          <w:sz w:val="24"/>
          <w:szCs w:val="24"/>
        </w:rPr>
        <w:t xml:space="preserve"> melalui </w:t>
      </w:r>
      <w:r w:rsidR="003826EA" w:rsidRPr="009F77A7">
        <w:rPr>
          <w:rFonts w:asciiTheme="majorBidi" w:hAnsiTheme="majorBidi" w:cstheme="majorBidi"/>
          <w:sz w:val="24"/>
          <w:szCs w:val="24"/>
        </w:rPr>
        <w:t>magnum opusnya yang be</w:t>
      </w:r>
      <w:r w:rsidR="00F11FAC" w:rsidRPr="009F77A7">
        <w:rPr>
          <w:rFonts w:asciiTheme="majorBidi" w:hAnsiTheme="majorBidi" w:cstheme="majorBidi"/>
          <w:sz w:val="24"/>
          <w:szCs w:val="24"/>
        </w:rPr>
        <w:t>r</w:t>
      </w:r>
      <w:r w:rsidR="003826EA" w:rsidRPr="009F77A7">
        <w:rPr>
          <w:rFonts w:asciiTheme="majorBidi" w:hAnsiTheme="majorBidi" w:cstheme="majorBidi"/>
          <w:sz w:val="24"/>
          <w:szCs w:val="24"/>
        </w:rPr>
        <w:t xml:space="preserve">judul </w:t>
      </w:r>
      <w:r w:rsidR="00082F38" w:rsidRPr="009F77A7">
        <w:rPr>
          <w:rFonts w:asciiTheme="majorBidi" w:hAnsiTheme="majorBidi" w:cstheme="majorBidi"/>
          <w:i/>
          <w:iCs/>
          <w:sz w:val="24"/>
          <w:szCs w:val="24"/>
        </w:rPr>
        <w:t xml:space="preserve">Tafsīr al-Qur’ān al-Karīm </w:t>
      </w:r>
      <w:r w:rsidR="00082F38" w:rsidRPr="009F77A7">
        <w:rPr>
          <w:rFonts w:asciiTheme="majorBidi" w:hAnsiTheme="majorBidi" w:cstheme="majorBidi"/>
          <w:sz w:val="24"/>
          <w:szCs w:val="24"/>
        </w:rPr>
        <w:t>yang</w:t>
      </w:r>
      <w:r w:rsidR="003826EA" w:rsidRPr="009F77A7">
        <w:rPr>
          <w:rFonts w:asciiTheme="majorBidi" w:hAnsiTheme="majorBidi" w:cstheme="majorBidi"/>
          <w:sz w:val="24"/>
          <w:szCs w:val="24"/>
        </w:rPr>
        <w:t xml:space="preserve"> menganalisis dan mengkaji ayat-ayat Alquran melalui metode takwil dengan melibat</w:t>
      </w:r>
      <w:r w:rsidR="00F11FAC" w:rsidRPr="009F77A7">
        <w:rPr>
          <w:rFonts w:asciiTheme="majorBidi" w:hAnsiTheme="majorBidi" w:cstheme="majorBidi"/>
          <w:sz w:val="24"/>
          <w:szCs w:val="24"/>
        </w:rPr>
        <w:t>kan</w:t>
      </w:r>
      <w:r w:rsidR="003826EA" w:rsidRPr="009F77A7">
        <w:rPr>
          <w:rFonts w:asciiTheme="majorBidi" w:hAnsiTheme="majorBidi" w:cstheme="majorBidi"/>
          <w:sz w:val="24"/>
          <w:szCs w:val="24"/>
        </w:rPr>
        <w:t xml:space="preserve"> dua pendekatan, yaitu analisis teks dan </w:t>
      </w:r>
      <w:r w:rsidR="003826EA" w:rsidRPr="009F77A7">
        <w:rPr>
          <w:rFonts w:asciiTheme="majorBidi" w:hAnsiTheme="majorBidi" w:cstheme="majorBidi"/>
          <w:i/>
          <w:iCs/>
          <w:sz w:val="24"/>
          <w:szCs w:val="24"/>
        </w:rPr>
        <w:t xml:space="preserve">mukāshafah </w:t>
      </w:r>
      <w:r w:rsidR="003826EA" w:rsidRPr="009F77A7">
        <w:rPr>
          <w:rFonts w:asciiTheme="majorBidi" w:hAnsiTheme="majorBidi" w:cstheme="majorBidi"/>
          <w:sz w:val="24"/>
          <w:szCs w:val="24"/>
        </w:rPr>
        <w:t>atau penyaksian.</w:t>
      </w:r>
      <w:r w:rsidR="00082F38" w:rsidRPr="009F77A7">
        <w:rPr>
          <w:rStyle w:val="FootnoteReference"/>
          <w:rFonts w:asciiTheme="majorBidi" w:hAnsiTheme="majorBidi" w:cstheme="majorBidi"/>
          <w:sz w:val="24"/>
          <w:szCs w:val="24"/>
        </w:rPr>
        <w:footnoteReference w:id="11"/>
      </w:r>
      <w:r w:rsidR="003826EA" w:rsidRPr="009F77A7">
        <w:rPr>
          <w:rFonts w:asciiTheme="majorBidi" w:hAnsiTheme="majorBidi" w:cstheme="majorBidi"/>
          <w:sz w:val="24"/>
          <w:szCs w:val="24"/>
        </w:rPr>
        <w:t xml:space="preserve"> Menurut Mulla Sadra, penafsiran dan penakwilan suatu ayat Alquran tidak boleh terpisah dari makna lahiriah. Sebab, makna lahiriah merupakan pengetahuan awal yang dimiliki oleh seorang mufasir sebelum menyingkap kedalaman makna ayat-ayat-Nya.</w:t>
      </w:r>
      <w:r w:rsidR="00107005" w:rsidRPr="009F77A7">
        <w:rPr>
          <w:rStyle w:val="FootnoteReference"/>
          <w:rFonts w:asciiTheme="majorBidi" w:hAnsiTheme="majorBidi" w:cstheme="majorBidi"/>
          <w:sz w:val="24"/>
          <w:szCs w:val="24"/>
        </w:rPr>
        <w:footnoteReference w:id="12"/>
      </w:r>
      <w:r w:rsidR="003826EA" w:rsidRPr="009F77A7">
        <w:rPr>
          <w:rFonts w:asciiTheme="majorBidi" w:hAnsiTheme="majorBidi" w:cstheme="majorBidi"/>
          <w:sz w:val="24"/>
          <w:szCs w:val="24"/>
        </w:rPr>
        <w:t xml:space="preserve"> </w:t>
      </w:r>
      <w:r w:rsidR="00387C05" w:rsidRPr="009F77A7">
        <w:rPr>
          <w:rFonts w:asciiTheme="majorBidi" w:hAnsiTheme="majorBidi" w:cstheme="majorBidi"/>
          <w:sz w:val="24"/>
          <w:szCs w:val="24"/>
        </w:rPr>
        <w:t xml:space="preserve">Setelah mengkaji makna lahiriah, Mulla Sadra </w:t>
      </w:r>
      <w:r w:rsidR="00F11FAC" w:rsidRPr="009F77A7">
        <w:rPr>
          <w:rFonts w:asciiTheme="majorBidi" w:hAnsiTheme="majorBidi" w:cstheme="majorBidi"/>
          <w:sz w:val="24"/>
          <w:szCs w:val="24"/>
        </w:rPr>
        <w:t>bersandar</w:t>
      </w:r>
      <w:r w:rsidR="00387C05" w:rsidRPr="009F77A7">
        <w:rPr>
          <w:rFonts w:asciiTheme="majorBidi" w:hAnsiTheme="majorBidi" w:cstheme="majorBidi"/>
          <w:sz w:val="24"/>
          <w:szCs w:val="24"/>
        </w:rPr>
        <w:t xml:space="preserve"> pada beberapa riwayat Ahlulsunnah dan Ahlulbait untuk mengetahui </w:t>
      </w:r>
      <w:r w:rsidR="00387C05" w:rsidRPr="009F77A7">
        <w:rPr>
          <w:rFonts w:asciiTheme="majorBidi" w:hAnsiTheme="majorBidi" w:cstheme="majorBidi"/>
          <w:i/>
          <w:iCs/>
          <w:sz w:val="24"/>
          <w:szCs w:val="24"/>
        </w:rPr>
        <w:t xml:space="preserve">maṣadiq </w:t>
      </w:r>
      <w:r w:rsidR="00387C05" w:rsidRPr="009F77A7">
        <w:rPr>
          <w:rFonts w:asciiTheme="majorBidi" w:hAnsiTheme="majorBidi" w:cstheme="majorBidi"/>
          <w:sz w:val="24"/>
          <w:szCs w:val="24"/>
        </w:rPr>
        <w:t xml:space="preserve">dari term </w:t>
      </w:r>
      <w:r w:rsidR="00387C05" w:rsidRPr="009F77A7">
        <w:rPr>
          <w:rFonts w:asciiTheme="majorBidi" w:hAnsiTheme="majorBidi" w:cstheme="majorBidi"/>
          <w:i/>
          <w:iCs/>
          <w:sz w:val="24"/>
          <w:szCs w:val="24"/>
        </w:rPr>
        <w:t>as-ṣirāṭ al-mustaqīm.</w:t>
      </w:r>
    </w:p>
    <w:p w:rsidR="005C128D" w:rsidRPr="009F77A7" w:rsidRDefault="00AC3D67" w:rsidP="00B74429">
      <w:pPr>
        <w:autoSpaceDE w:val="0"/>
        <w:autoSpaceDN w:val="0"/>
        <w:adjustRightInd w:val="0"/>
        <w:spacing w:after="120" w:line="360" w:lineRule="auto"/>
        <w:ind w:left="426" w:firstLine="425"/>
        <w:jc w:val="both"/>
        <w:rPr>
          <w:rFonts w:asciiTheme="majorBidi" w:hAnsiTheme="majorBidi" w:cstheme="majorBidi"/>
          <w:sz w:val="24"/>
          <w:szCs w:val="24"/>
        </w:rPr>
      </w:pPr>
      <w:r w:rsidRPr="009F77A7">
        <w:rPr>
          <w:rFonts w:asciiTheme="majorBidi" w:hAnsiTheme="majorBidi" w:cstheme="majorBidi"/>
          <w:i/>
          <w:iCs/>
          <w:sz w:val="24"/>
          <w:szCs w:val="24"/>
        </w:rPr>
        <w:t xml:space="preserve">Maṣadiq-maṣadiq </w:t>
      </w:r>
      <w:r w:rsidRPr="009F77A7">
        <w:rPr>
          <w:rFonts w:asciiTheme="majorBidi" w:hAnsiTheme="majorBidi" w:cstheme="majorBidi"/>
          <w:sz w:val="24"/>
          <w:szCs w:val="24"/>
        </w:rPr>
        <w:t>yang diperoleh melalui riwayat dan metode analisis tek</w:t>
      </w:r>
      <w:r w:rsidR="0068771E" w:rsidRPr="009F77A7">
        <w:rPr>
          <w:rFonts w:asciiTheme="majorBidi" w:hAnsiTheme="majorBidi" w:cstheme="majorBidi"/>
          <w:sz w:val="24"/>
          <w:szCs w:val="24"/>
        </w:rPr>
        <w:t>s</w:t>
      </w:r>
      <w:r w:rsidRPr="009F77A7">
        <w:rPr>
          <w:rFonts w:asciiTheme="majorBidi" w:hAnsiTheme="majorBidi" w:cstheme="majorBidi"/>
          <w:sz w:val="24"/>
          <w:szCs w:val="24"/>
        </w:rPr>
        <w:t xml:space="preserve"> dikaji kembali oleh Mulla Sadra dengan menggunakan kaidah </w:t>
      </w:r>
      <w:r w:rsidRPr="009F77A7">
        <w:rPr>
          <w:rFonts w:asciiTheme="majorBidi" w:hAnsiTheme="majorBidi" w:cstheme="majorBidi"/>
          <w:i/>
          <w:iCs/>
          <w:sz w:val="24"/>
          <w:szCs w:val="24"/>
        </w:rPr>
        <w:t>rūḥ al-ma’nā</w:t>
      </w:r>
      <w:r w:rsidRPr="009F77A7">
        <w:rPr>
          <w:rFonts w:asciiTheme="majorBidi" w:hAnsiTheme="majorBidi" w:cstheme="majorBidi"/>
          <w:sz w:val="24"/>
          <w:szCs w:val="24"/>
        </w:rPr>
        <w:t xml:space="preserve"> merupakan prinsip </w:t>
      </w:r>
      <w:r w:rsidRPr="009F77A7">
        <w:rPr>
          <w:rFonts w:asciiTheme="majorBidi" w:hAnsiTheme="majorBidi" w:cstheme="majorBidi"/>
          <w:sz w:val="24"/>
          <w:szCs w:val="24"/>
        </w:rPr>
        <w:lastRenderedPageBreak/>
        <w:t>penakwilan Mulla Sadra</w:t>
      </w:r>
      <w:r w:rsidR="008430D4" w:rsidRPr="009F77A7">
        <w:rPr>
          <w:rFonts w:asciiTheme="majorBidi" w:hAnsiTheme="majorBidi" w:cstheme="majorBidi"/>
          <w:sz w:val="24"/>
          <w:szCs w:val="24"/>
        </w:rPr>
        <w:t xml:space="preserve"> yang bertujuan untuk menghindari penafsiran bat</w:t>
      </w:r>
      <w:r w:rsidR="00C415C2" w:rsidRPr="009F77A7">
        <w:rPr>
          <w:rFonts w:asciiTheme="majorBidi" w:hAnsiTheme="majorBidi" w:cstheme="majorBidi"/>
          <w:sz w:val="24"/>
          <w:szCs w:val="24"/>
        </w:rPr>
        <w:t>in keluar dari makna lahiriah.</w:t>
      </w:r>
      <w:r w:rsidR="00107005" w:rsidRPr="009F77A7">
        <w:rPr>
          <w:rStyle w:val="FootnoteReference"/>
          <w:rFonts w:asciiTheme="majorBidi" w:hAnsiTheme="majorBidi" w:cstheme="majorBidi"/>
          <w:sz w:val="24"/>
          <w:szCs w:val="24"/>
        </w:rPr>
        <w:footnoteReference w:id="13"/>
      </w:r>
      <w:r w:rsidR="00C415C2" w:rsidRPr="009F77A7">
        <w:rPr>
          <w:rFonts w:asciiTheme="majorBidi" w:hAnsiTheme="majorBidi" w:cstheme="majorBidi"/>
          <w:sz w:val="24"/>
          <w:szCs w:val="24"/>
        </w:rPr>
        <w:t xml:space="preserve"> Di satu sisi, juga perlu diketahui bahwa penerapan kaidah </w:t>
      </w:r>
      <w:r w:rsidR="00C415C2" w:rsidRPr="009F77A7">
        <w:rPr>
          <w:rFonts w:asciiTheme="majorBidi" w:hAnsiTheme="majorBidi" w:cstheme="majorBidi"/>
          <w:i/>
          <w:iCs/>
          <w:sz w:val="24"/>
          <w:szCs w:val="24"/>
        </w:rPr>
        <w:t xml:space="preserve">rūḥ al-ma’nā </w:t>
      </w:r>
      <w:r w:rsidR="00C415C2" w:rsidRPr="009F77A7">
        <w:rPr>
          <w:rFonts w:asciiTheme="majorBidi" w:hAnsiTheme="majorBidi" w:cstheme="majorBidi"/>
          <w:sz w:val="24"/>
          <w:szCs w:val="24"/>
        </w:rPr>
        <w:t xml:space="preserve">dalam takwil Mulla Sadra berusaha menyelaraskan makna lahiriah, sebagaimana yang terdapat dalam teks Alquran dan makna batin yang diperoleh melalui proses penyucian jiwa atau </w:t>
      </w:r>
      <w:r w:rsidR="00DF44A9" w:rsidRPr="009F77A7">
        <w:rPr>
          <w:rFonts w:asciiTheme="majorBidi" w:hAnsiTheme="majorBidi" w:cstheme="majorBidi"/>
          <w:i/>
          <w:iCs/>
          <w:sz w:val="24"/>
          <w:szCs w:val="24"/>
        </w:rPr>
        <w:t>tazki</w:t>
      </w:r>
      <w:r w:rsidR="00F42237" w:rsidRPr="009F77A7">
        <w:rPr>
          <w:rFonts w:asciiTheme="majorBidi" w:hAnsiTheme="majorBidi" w:cstheme="majorBidi"/>
          <w:i/>
          <w:iCs/>
          <w:sz w:val="24"/>
          <w:szCs w:val="24"/>
        </w:rPr>
        <w:t>y</w:t>
      </w:r>
      <w:r w:rsidR="00DF44A9" w:rsidRPr="009F77A7">
        <w:rPr>
          <w:rFonts w:asciiTheme="majorBidi" w:hAnsiTheme="majorBidi" w:cstheme="majorBidi"/>
          <w:i/>
          <w:iCs/>
          <w:sz w:val="24"/>
          <w:szCs w:val="24"/>
        </w:rPr>
        <w:t>yah al-nafs.</w:t>
      </w:r>
      <w:r w:rsidR="00C415C2" w:rsidRPr="009F77A7">
        <w:rPr>
          <w:rFonts w:asciiTheme="majorBidi" w:hAnsiTheme="majorBidi" w:cstheme="majorBidi"/>
          <w:sz w:val="24"/>
          <w:szCs w:val="24"/>
        </w:rPr>
        <w:t xml:space="preserve"> </w:t>
      </w:r>
      <w:r w:rsidR="008F6FBC" w:rsidRPr="009F77A7">
        <w:rPr>
          <w:rFonts w:asciiTheme="majorBidi" w:hAnsiTheme="majorBidi" w:cstheme="majorBidi"/>
          <w:sz w:val="24"/>
          <w:szCs w:val="24"/>
        </w:rPr>
        <w:t>Jika setiap manusia telah mencapai proses penyucian diri, maka pemahaman mereka terhadap term-term suatu teks akan tersingkap yang meniscayakan sebuah pengetahuan untuk memahami hakikat dan makna suatu ayat dalam Alquran.</w:t>
      </w:r>
      <w:r w:rsidR="00107005" w:rsidRPr="009F77A7">
        <w:rPr>
          <w:rStyle w:val="FootnoteReference"/>
          <w:rFonts w:asciiTheme="majorBidi" w:hAnsiTheme="majorBidi" w:cstheme="majorBidi"/>
          <w:sz w:val="24"/>
          <w:szCs w:val="24"/>
        </w:rPr>
        <w:footnoteReference w:id="14"/>
      </w:r>
      <w:r w:rsidR="008F6FBC" w:rsidRPr="009F77A7">
        <w:rPr>
          <w:rFonts w:asciiTheme="majorBidi" w:hAnsiTheme="majorBidi" w:cstheme="majorBidi"/>
          <w:sz w:val="24"/>
          <w:szCs w:val="24"/>
        </w:rPr>
        <w:t xml:space="preserve"> Dengan demikian, dapat dipahami bahwa takwil Mulla Sadra merupakan korespondensi antara analisis teks dan metode penyingkapan yang melibatkan kaidah </w:t>
      </w:r>
      <w:r w:rsidR="008F6FBC" w:rsidRPr="009F77A7">
        <w:rPr>
          <w:rFonts w:asciiTheme="majorBidi" w:hAnsiTheme="majorBidi" w:cstheme="majorBidi"/>
          <w:i/>
          <w:iCs/>
          <w:sz w:val="24"/>
          <w:szCs w:val="24"/>
        </w:rPr>
        <w:t xml:space="preserve">rūḥ al-ma’nā </w:t>
      </w:r>
      <w:r w:rsidR="008F6FBC" w:rsidRPr="009F77A7">
        <w:rPr>
          <w:rFonts w:asciiTheme="majorBidi" w:hAnsiTheme="majorBidi" w:cstheme="majorBidi"/>
          <w:sz w:val="24"/>
          <w:szCs w:val="24"/>
        </w:rPr>
        <w:t xml:space="preserve">untuk mengetahui hakikat dan makna suatu ayat tanpa harus mengabaikan dan mengutamakan suatu pendekatan dalam penafsiran ayat-ayat Alquran, sebagaimana pandangan Fakhr al-Rāzī, ‘Abdul Ali bin Jum’ah al-‘Arūshi al- Huwaizī, dan Suyūṭī   </w:t>
      </w:r>
      <w:r w:rsidR="00C415C2" w:rsidRPr="009F77A7">
        <w:rPr>
          <w:rFonts w:asciiTheme="majorBidi" w:hAnsiTheme="majorBidi" w:cstheme="majorBidi"/>
          <w:sz w:val="24"/>
          <w:szCs w:val="24"/>
        </w:rPr>
        <w:t xml:space="preserve"> </w:t>
      </w:r>
      <w:r w:rsidR="00B249B6" w:rsidRPr="009F77A7">
        <w:rPr>
          <w:rFonts w:asciiTheme="majorBidi" w:hAnsiTheme="majorBidi" w:cstheme="majorBidi"/>
          <w:sz w:val="24"/>
          <w:szCs w:val="24"/>
        </w:rPr>
        <w:t xml:space="preserve">  </w:t>
      </w:r>
      <w:r w:rsidR="008430D4" w:rsidRPr="009F77A7">
        <w:rPr>
          <w:rFonts w:asciiTheme="majorBidi" w:hAnsiTheme="majorBidi" w:cstheme="majorBidi"/>
          <w:sz w:val="24"/>
          <w:szCs w:val="24"/>
        </w:rPr>
        <w:t xml:space="preserve"> </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 </w:t>
      </w:r>
    </w:p>
    <w:p w:rsidR="00856495" w:rsidRPr="009F77A7" w:rsidRDefault="00E039B5" w:rsidP="00B74429">
      <w:pPr>
        <w:spacing w:after="240" w:line="360" w:lineRule="auto"/>
        <w:ind w:left="426" w:firstLine="294"/>
        <w:jc w:val="both"/>
        <w:rPr>
          <w:rFonts w:asciiTheme="majorBidi" w:hAnsiTheme="majorBidi" w:cstheme="majorBidi"/>
          <w:sz w:val="24"/>
          <w:szCs w:val="24"/>
        </w:rPr>
      </w:pPr>
      <w:r w:rsidRPr="009F77A7">
        <w:rPr>
          <w:rFonts w:asciiTheme="majorBidi" w:hAnsiTheme="majorBidi" w:cstheme="majorBidi"/>
          <w:sz w:val="24"/>
          <w:szCs w:val="24"/>
        </w:rPr>
        <w:t xml:space="preserve">Tulisan </w:t>
      </w:r>
      <w:r w:rsidR="00107005" w:rsidRPr="009F77A7">
        <w:rPr>
          <w:rFonts w:asciiTheme="majorBidi" w:hAnsiTheme="majorBidi" w:cstheme="majorBidi"/>
          <w:sz w:val="24"/>
          <w:szCs w:val="24"/>
        </w:rPr>
        <w:t xml:space="preserve">berjudul </w:t>
      </w:r>
      <w:r w:rsidR="00107005" w:rsidRPr="009F77A7">
        <w:rPr>
          <w:rFonts w:asciiTheme="majorBidi" w:hAnsiTheme="majorBidi" w:cstheme="majorBidi"/>
          <w:b/>
          <w:bCs/>
          <w:i/>
          <w:iCs/>
          <w:sz w:val="24"/>
          <w:szCs w:val="24"/>
        </w:rPr>
        <w:t>T</w:t>
      </w:r>
      <w:r w:rsidR="00107005" w:rsidRPr="009F77A7">
        <w:rPr>
          <w:rFonts w:asciiTheme="majorBidi" w:hAnsiTheme="majorBidi" w:cstheme="majorBidi"/>
          <w:b/>
          <w:bCs/>
          <w:i/>
          <w:iCs/>
          <w:sz w:val="24"/>
          <w:szCs w:val="24"/>
          <w:shd w:val="clear" w:color="auto" w:fill="FFFFFF"/>
        </w:rPr>
        <w:t xml:space="preserve">akwil </w:t>
      </w:r>
      <w:r w:rsidR="00107005" w:rsidRPr="009F77A7">
        <w:rPr>
          <w:rFonts w:asciiTheme="majorBidi" w:hAnsiTheme="majorBidi" w:cstheme="majorBidi"/>
          <w:b/>
          <w:bCs/>
          <w:i/>
          <w:iCs/>
          <w:sz w:val="24"/>
          <w:szCs w:val="24"/>
        </w:rPr>
        <w:t>As-Sirāṭ Al-Mustaqīm dalam Pembacaan Tafsir Mulla Sadra</w:t>
      </w:r>
      <w:r w:rsidR="00107005" w:rsidRPr="009F77A7">
        <w:rPr>
          <w:rFonts w:asciiTheme="majorBidi" w:hAnsiTheme="majorBidi" w:cstheme="majorBidi"/>
          <w:b/>
          <w:bCs/>
          <w:sz w:val="24"/>
          <w:szCs w:val="24"/>
        </w:rPr>
        <w:t xml:space="preserve"> </w:t>
      </w:r>
      <w:r w:rsidR="00107005" w:rsidRPr="009F77A7">
        <w:rPr>
          <w:rFonts w:asciiTheme="majorBidi" w:hAnsiTheme="majorBidi" w:cstheme="majorBidi"/>
          <w:sz w:val="24"/>
          <w:szCs w:val="24"/>
        </w:rPr>
        <w:t>ini,</w:t>
      </w:r>
      <w:r w:rsidRPr="009F77A7">
        <w:rPr>
          <w:rFonts w:asciiTheme="majorBidi" w:hAnsiTheme="majorBidi" w:cstheme="majorBidi"/>
          <w:sz w:val="24"/>
          <w:szCs w:val="24"/>
        </w:rPr>
        <w:t xml:space="preserve"> berusaha mengkaji dan menelaah takwil </w:t>
      </w:r>
      <w:r w:rsidRPr="009F77A7">
        <w:rPr>
          <w:rFonts w:asciiTheme="majorBidi" w:hAnsiTheme="majorBidi" w:cstheme="majorBidi"/>
          <w:i/>
          <w:iCs/>
          <w:sz w:val="24"/>
          <w:szCs w:val="24"/>
        </w:rPr>
        <w:t xml:space="preserve">as-ṣirāṭ al-mustaqīm </w:t>
      </w:r>
      <w:r w:rsidRPr="009F77A7">
        <w:rPr>
          <w:rFonts w:asciiTheme="majorBidi" w:hAnsiTheme="majorBidi" w:cstheme="majorBidi"/>
          <w:sz w:val="24"/>
          <w:szCs w:val="24"/>
        </w:rPr>
        <w:t>dalam penafsiran Mulla Sadra dengan merujuk pada magnum opusnya</w:t>
      </w:r>
      <w:r w:rsidR="00CA5833" w:rsidRPr="009F77A7">
        <w:rPr>
          <w:rFonts w:asciiTheme="majorBidi" w:hAnsiTheme="majorBidi" w:cstheme="majorBidi"/>
          <w:sz w:val="24"/>
          <w:szCs w:val="24"/>
        </w:rPr>
        <w:t>,</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Tafsīr al-Qur’ān al-Karīm.</w:t>
      </w:r>
      <w:r w:rsidRPr="009F77A7">
        <w:rPr>
          <w:rFonts w:asciiTheme="majorBidi" w:hAnsiTheme="majorBidi" w:cstheme="majorBidi"/>
          <w:sz w:val="24"/>
          <w:szCs w:val="24"/>
        </w:rPr>
        <w:t xml:space="preserve"> Hasil dari tulisan ini, ialah menyingkap makna dan hakikat referen jalan yang lurus untuk mene</w:t>
      </w:r>
      <w:r w:rsidR="00C31768" w:rsidRPr="009F77A7">
        <w:rPr>
          <w:rFonts w:asciiTheme="majorBidi" w:hAnsiTheme="majorBidi" w:cstheme="majorBidi"/>
          <w:sz w:val="24"/>
          <w:szCs w:val="24"/>
        </w:rPr>
        <w:t xml:space="preserve">ngahi </w:t>
      </w:r>
      <w:r w:rsidR="008F6FBC" w:rsidRPr="009F77A7">
        <w:rPr>
          <w:rFonts w:asciiTheme="majorBidi" w:hAnsiTheme="majorBidi" w:cstheme="majorBidi"/>
          <w:sz w:val="24"/>
          <w:szCs w:val="24"/>
        </w:rPr>
        <w:t xml:space="preserve">metode riwayat dan </w:t>
      </w:r>
      <w:r w:rsidR="008F6FBC" w:rsidRPr="009F77A7">
        <w:rPr>
          <w:rFonts w:asciiTheme="majorBidi" w:hAnsiTheme="majorBidi" w:cstheme="majorBidi"/>
          <w:i/>
          <w:iCs/>
          <w:sz w:val="24"/>
          <w:szCs w:val="24"/>
        </w:rPr>
        <w:t xml:space="preserve">‘aql ijtihad </w:t>
      </w:r>
      <w:r w:rsidR="00C31768" w:rsidRPr="009F77A7">
        <w:rPr>
          <w:rFonts w:asciiTheme="majorBidi" w:hAnsiTheme="majorBidi" w:cstheme="majorBidi"/>
          <w:sz w:val="24"/>
          <w:szCs w:val="24"/>
        </w:rPr>
        <w:t>yang dipandang telah mempersempi</w:t>
      </w:r>
      <w:r w:rsidR="008F6FBC" w:rsidRPr="009F77A7">
        <w:rPr>
          <w:rFonts w:asciiTheme="majorBidi" w:hAnsiTheme="majorBidi" w:cstheme="majorBidi"/>
          <w:sz w:val="24"/>
          <w:szCs w:val="24"/>
        </w:rPr>
        <w:t xml:space="preserve">t </w:t>
      </w:r>
      <w:r w:rsidR="008F6FBC" w:rsidRPr="009F77A7">
        <w:rPr>
          <w:rFonts w:asciiTheme="majorBidi" w:hAnsiTheme="majorBidi" w:cstheme="majorBidi"/>
          <w:i/>
          <w:iCs/>
          <w:sz w:val="24"/>
          <w:szCs w:val="24"/>
        </w:rPr>
        <w:t>maṣadiq</w:t>
      </w:r>
      <w:r w:rsidR="008F6FBC" w:rsidRPr="009F77A7">
        <w:rPr>
          <w:rFonts w:asciiTheme="majorBidi" w:hAnsiTheme="majorBidi" w:cstheme="majorBidi"/>
          <w:sz w:val="24"/>
          <w:szCs w:val="24"/>
        </w:rPr>
        <w:t xml:space="preserve"> </w:t>
      </w:r>
      <w:r w:rsidR="00C31768" w:rsidRPr="009F77A7">
        <w:rPr>
          <w:rFonts w:asciiTheme="majorBidi" w:hAnsiTheme="majorBidi" w:cstheme="majorBidi"/>
          <w:i/>
          <w:iCs/>
          <w:sz w:val="24"/>
          <w:szCs w:val="24"/>
        </w:rPr>
        <w:t>as-ṣirāṭ al-mustaqīm</w:t>
      </w:r>
      <w:r w:rsidR="00C31768" w:rsidRPr="009F77A7">
        <w:rPr>
          <w:rFonts w:asciiTheme="majorBidi" w:hAnsiTheme="majorBidi" w:cstheme="majorBidi"/>
          <w:sz w:val="24"/>
          <w:szCs w:val="24"/>
        </w:rPr>
        <w:t xml:space="preserve">. Di satu sisi, tulisan ini juga menawarkan cara pandang baru dalam menafsirkan ayat-ayat Alquran, guna memperoleh hakikat dan makna </w:t>
      </w:r>
      <w:r w:rsidR="00107005" w:rsidRPr="009F77A7">
        <w:rPr>
          <w:rFonts w:asciiTheme="majorBidi" w:hAnsiTheme="majorBidi" w:cstheme="majorBidi"/>
          <w:sz w:val="24"/>
          <w:szCs w:val="24"/>
        </w:rPr>
        <w:t>objek yang ditelaah.</w:t>
      </w:r>
      <w:r w:rsidR="008D75DF" w:rsidRPr="009F77A7">
        <w:rPr>
          <w:rFonts w:asciiTheme="majorBidi" w:hAnsiTheme="majorBidi" w:cstheme="majorBidi"/>
          <w:sz w:val="24"/>
          <w:szCs w:val="24"/>
        </w:rPr>
        <w:t xml:space="preserve"> Berbed</w:t>
      </w:r>
      <w:r w:rsidR="00F80780" w:rsidRPr="009F77A7">
        <w:rPr>
          <w:rFonts w:asciiTheme="majorBidi" w:hAnsiTheme="majorBidi" w:cstheme="majorBidi"/>
          <w:sz w:val="24"/>
          <w:szCs w:val="24"/>
        </w:rPr>
        <w:t xml:space="preserve">a dengan penelitian-penelitian sebelumnya, seperti yang dilakukan oleh Arief Rahman dalam penelitian berjudul </w:t>
      </w:r>
      <w:r w:rsidR="00F80780" w:rsidRPr="009F77A7">
        <w:rPr>
          <w:rFonts w:asciiTheme="majorBidi" w:hAnsiTheme="majorBidi" w:cstheme="majorBidi"/>
          <w:i/>
          <w:iCs/>
          <w:sz w:val="24"/>
          <w:szCs w:val="24"/>
        </w:rPr>
        <w:t>Konsep as-</w:t>
      </w:r>
      <w:r w:rsidR="00F86330" w:rsidRPr="009F77A7">
        <w:rPr>
          <w:rFonts w:asciiTheme="majorBidi" w:hAnsiTheme="majorBidi" w:cstheme="majorBidi"/>
          <w:i/>
          <w:iCs/>
          <w:sz w:val="24"/>
          <w:szCs w:val="24"/>
        </w:rPr>
        <w:t>S</w:t>
      </w:r>
      <w:r w:rsidR="00F80780" w:rsidRPr="009F77A7">
        <w:rPr>
          <w:rFonts w:asciiTheme="majorBidi" w:hAnsiTheme="majorBidi" w:cstheme="majorBidi"/>
          <w:i/>
          <w:iCs/>
          <w:sz w:val="24"/>
          <w:szCs w:val="24"/>
        </w:rPr>
        <w:t>irāṭ al-</w:t>
      </w:r>
      <w:r w:rsidR="00F86330" w:rsidRPr="009F77A7">
        <w:rPr>
          <w:rFonts w:asciiTheme="majorBidi" w:hAnsiTheme="majorBidi" w:cstheme="majorBidi"/>
          <w:i/>
          <w:iCs/>
          <w:sz w:val="24"/>
          <w:szCs w:val="24"/>
        </w:rPr>
        <w:t>M</w:t>
      </w:r>
      <w:r w:rsidR="00F80780" w:rsidRPr="009F77A7">
        <w:rPr>
          <w:rFonts w:asciiTheme="majorBidi" w:hAnsiTheme="majorBidi" w:cstheme="majorBidi"/>
          <w:i/>
          <w:iCs/>
          <w:sz w:val="24"/>
          <w:szCs w:val="24"/>
        </w:rPr>
        <w:t>ustaqīm dalam Alquran (</w:t>
      </w:r>
      <w:r w:rsidR="00F86330" w:rsidRPr="009F77A7">
        <w:rPr>
          <w:rFonts w:asciiTheme="majorBidi" w:hAnsiTheme="majorBidi" w:cstheme="majorBidi"/>
          <w:i/>
          <w:iCs/>
          <w:sz w:val="24"/>
          <w:szCs w:val="24"/>
        </w:rPr>
        <w:t>S</w:t>
      </w:r>
      <w:r w:rsidR="00F80780" w:rsidRPr="009F77A7">
        <w:rPr>
          <w:rFonts w:asciiTheme="majorBidi" w:hAnsiTheme="majorBidi" w:cstheme="majorBidi"/>
          <w:i/>
          <w:iCs/>
          <w:sz w:val="24"/>
          <w:szCs w:val="24"/>
        </w:rPr>
        <w:t xml:space="preserve">tudi </w:t>
      </w:r>
      <w:r w:rsidR="00F86330" w:rsidRPr="009F77A7">
        <w:rPr>
          <w:rFonts w:asciiTheme="majorBidi" w:hAnsiTheme="majorBidi" w:cstheme="majorBidi"/>
          <w:i/>
          <w:iCs/>
          <w:sz w:val="24"/>
          <w:szCs w:val="24"/>
        </w:rPr>
        <w:t>T</w:t>
      </w:r>
      <w:r w:rsidR="00F80780" w:rsidRPr="009F77A7">
        <w:rPr>
          <w:rFonts w:asciiTheme="majorBidi" w:hAnsiTheme="majorBidi" w:cstheme="majorBidi"/>
          <w:i/>
          <w:iCs/>
          <w:sz w:val="24"/>
          <w:szCs w:val="24"/>
        </w:rPr>
        <w:t xml:space="preserve">afsir </w:t>
      </w:r>
      <w:r w:rsidR="00F86330" w:rsidRPr="009F77A7">
        <w:rPr>
          <w:rFonts w:asciiTheme="majorBidi" w:hAnsiTheme="majorBidi" w:cstheme="majorBidi"/>
          <w:i/>
          <w:iCs/>
          <w:sz w:val="24"/>
          <w:szCs w:val="24"/>
        </w:rPr>
        <w:t>T</w:t>
      </w:r>
      <w:r w:rsidR="00F80780" w:rsidRPr="009F77A7">
        <w:rPr>
          <w:rFonts w:asciiTheme="majorBidi" w:hAnsiTheme="majorBidi" w:cstheme="majorBidi"/>
          <w:i/>
          <w:iCs/>
          <w:sz w:val="24"/>
          <w:szCs w:val="24"/>
        </w:rPr>
        <w:t xml:space="preserve">ematik </w:t>
      </w:r>
      <w:r w:rsidR="00F86330" w:rsidRPr="009F77A7">
        <w:rPr>
          <w:rFonts w:asciiTheme="majorBidi" w:hAnsiTheme="majorBidi" w:cstheme="majorBidi"/>
          <w:i/>
          <w:iCs/>
          <w:sz w:val="24"/>
          <w:szCs w:val="24"/>
        </w:rPr>
        <w:t>A</w:t>
      </w:r>
      <w:r w:rsidR="00F80780" w:rsidRPr="009F77A7">
        <w:rPr>
          <w:rFonts w:asciiTheme="majorBidi" w:hAnsiTheme="majorBidi" w:cstheme="majorBidi"/>
          <w:i/>
          <w:iCs/>
          <w:sz w:val="24"/>
          <w:szCs w:val="24"/>
        </w:rPr>
        <w:t>yat-</w:t>
      </w:r>
      <w:r w:rsidR="00F86330" w:rsidRPr="009F77A7">
        <w:rPr>
          <w:rFonts w:asciiTheme="majorBidi" w:hAnsiTheme="majorBidi" w:cstheme="majorBidi"/>
          <w:i/>
          <w:iCs/>
          <w:sz w:val="24"/>
          <w:szCs w:val="24"/>
        </w:rPr>
        <w:t>A</w:t>
      </w:r>
      <w:r w:rsidR="00F80780" w:rsidRPr="009F77A7">
        <w:rPr>
          <w:rFonts w:asciiTheme="majorBidi" w:hAnsiTheme="majorBidi" w:cstheme="majorBidi"/>
          <w:i/>
          <w:iCs/>
          <w:sz w:val="24"/>
          <w:szCs w:val="24"/>
        </w:rPr>
        <w:t xml:space="preserve">yat yang </w:t>
      </w:r>
      <w:r w:rsidR="00F86330" w:rsidRPr="009F77A7">
        <w:rPr>
          <w:rFonts w:asciiTheme="majorBidi" w:hAnsiTheme="majorBidi" w:cstheme="majorBidi"/>
          <w:i/>
          <w:iCs/>
          <w:sz w:val="24"/>
          <w:szCs w:val="24"/>
        </w:rPr>
        <w:t>M</w:t>
      </w:r>
      <w:r w:rsidR="00F80780" w:rsidRPr="009F77A7">
        <w:rPr>
          <w:rFonts w:asciiTheme="majorBidi" w:hAnsiTheme="majorBidi" w:cstheme="majorBidi"/>
          <w:i/>
          <w:iCs/>
          <w:sz w:val="24"/>
          <w:szCs w:val="24"/>
        </w:rPr>
        <w:t xml:space="preserve">enjelaskan </w:t>
      </w:r>
      <w:r w:rsidR="00F86330" w:rsidRPr="009F77A7">
        <w:rPr>
          <w:rFonts w:asciiTheme="majorBidi" w:hAnsiTheme="majorBidi" w:cstheme="majorBidi"/>
          <w:i/>
          <w:iCs/>
          <w:sz w:val="24"/>
          <w:szCs w:val="24"/>
        </w:rPr>
        <w:t>T</w:t>
      </w:r>
      <w:r w:rsidR="00F80780" w:rsidRPr="009F77A7">
        <w:rPr>
          <w:rFonts w:asciiTheme="majorBidi" w:hAnsiTheme="majorBidi" w:cstheme="majorBidi"/>
          <w:i/>
          <w:iCs/>
          <w:sz w:val="24"/>
          <w:szCs w:val="24"/>
        </w:rPr>
        <w:t>erm a</w:t>
      </w:r>
      <w:r w:rsidR="00F86330" w:rsidRPr="009F77A7">
        <w:rPr>
          <w:rFonts w:asciiTheme="majorBidi" w:hAnsiTheme="majorBidi" w:cstheme="majorBidi"/>
          <w:i/>
          <w:iCs/>
          <w:sz w:val="24"/>
          <w:szCs w:val="24"/>
        </w:rPr>
        <w:t>l</w:t>
      </w:r>
      <w:r w:rsidR="00F80780" w:rsidRPr="009F77A7">
        <w:rPr>
          <w:rFonts w:asciiTheme="majorBidi" w:hAnsiTheme="majorBidi" w:cstheme="majorBidi"/>
          <w:i/>
          <w:iCs/>
          <w:sz w:val="24"/>
          <w:szCs w:val="24"/>
        </w:rPr>
        <w:t>-</w:t>
      </w:r>
      <w:r w:rsidR="00F86330" w:rsidRPr="009F77A7">
        <w:rPr>
          <w:rFonts w:asciiTheme="majorBidi" w:hAnsiTheme="majorBidi" w:cstheme="majorBidi"/>
          <w:i/>
          <w:iCs/>
          <w:sz w:val="24"/>
          <w:szCs w:val="24"/>
        </w:rPr>
        <w:t>S</w:t>
      </w:r>
      <w:r w:rsidR="00F80780" w:rsidRPr="009F77A7">
        <w:rPr>
          <w:rFonts w:asciiTheme="majorBidi" w:hAnsiTheme="majorBidi" w:cstheme="majorBidi"/>
          <w:i/>
          <w:iCs/>
          <w:sz w:val="24"/>
          <w:szCs w:val="24"/>
        </w:rPr>
        <w:t>irāṭ al-</w:t>
      </w:r>
      <w:r w:rsidR="00F86330" w:rsidRPr="009F77A7">
        <w:rPr>
          <w:rFonts w:asciiTheme="majorBidi" w:hAnsiTheme="majorBidi" w:cstheme="majorBidi"/>
          <w:i/>
          <w:iCs/>
          <w:sz w:val="24"/>
          <w:szCs w:val="24"/>
        </w:rPr>
        <w:t>M</w:t>
      </w:r>
      <w:r w:rsidR="00F80780" w:rsidRPr="009F77A7">
        <w:rPr>
          <w:rFonts w:asciiTheme="majorBidi" w:hAnsiTheme="majorBidi" w:cstheme="majorBidi"/>
          <w:i/>
          <w:iCs/>
          <w:sz w:val="24"/>
          <w:szCs w:val="24"/>
        </w:rPr>
        <w:t>ustaqīm)</w:t>
      </w:r>
      <w:r w:rsidR="00F80780" w:rsidRPr="009F77A7">
        <w:rPr>
          <w:rFonts w:asciiTheme="majorBidi" w:hAnsiTheme="majorBidi" w:cstheme="majorBidi"/>
          <w:sz w:val="24"/>
          <w:szCs w:val="24"/>
        </w:rPr>
        <w:t xml:space="preserve"> </w:t>
      </w:r>
      <w:r w:rsidR="00C334E9" w:rsidRPr="009F77A7">
        <w:rPr>
          <w:rFonts w:asciiTheme="majorBidi" w:hAnsiTheme="majorBidi" w:cstheme="majorBidi"/>
          <w:sz w:val="24"/>
          <w:szCs w:val="24"/>
        </w:rPr>
        <w:t>dimuat dalam Jurnal</w:t>
      </w:r>
      <w:r w:rsidR="00856495" w:rsidRPr="009F77A7">
        <w:rPr>
          <w:rFonts w:asciiTheme="majorBidi" w:hAnsiTheme="majorBidi" w:cstheme="majorBidi"/>
          <w:sz w:val="24"/>
          <w:szCs w:val="24"/>
        </w:rPr>
        <w:t xml:space="preserve"> Al-Tadabbur</w:t>
      </w:r>
      <w:r w:rsidR="00C334E9" w:rsidRPr="009F77A7">
        <w:rPr>
          <w:rFonts w:asciiTheme="majorBidi" w:hAnsiTheme="majorBidi" w:cstheme="majorBidi"/>
          <w:sz w:val="24"/>
          <w:szCs w:val="24"/>
        </w:rPr>
        <w:t xml:space="preserve">  yang mengkaji</w:t>
      </w:r>
      <w:r w:rsidR="00856495" w:rsidRPr="009F77A7">
        <w:rPr>
          <w:rFonts w:asciiTheme="majorBidi" w:hAnsiTheme="majorBidi" w:cstheme="majorBidi"/>
          <w:sz w:val="24"/>
          <w:szCs w:val="24"/>
        </w:rPr>
        <w:t xml:space="preserve"> konsep </w:t>
      </w:r>
      <w:r w:rsidR="00856495" w:rsidRPr="009F77A7">
        <w:rPr>
          <w:rFonts w:asciiTheme="majorBidi" w:hAnsiTheme="majorBidi" w:cstheme="majorBidi"/>
          <w:i/>
          <w:iCs/>
          <w:sz w:val="24"/>
          <w:szCs w:val="24"/>
        </w:rPr>
        <w:t>as-ṣirāṭ al-mustaqīm</w:t>
      </w:r>
      <w:r w:rsidR="00856495" w:rsidRPr="009F77A7">
        <w:rPr>
          <w:rFonts w:asciiTheme="majorBidi" w:hAnsiTheme="majorBidi" w:cstheme="majorBidi"/>
          <w:sz w:val="24"/>
          <w:szCs w:val="24"/>
        </w:rPr>
        <w:t xml:space="preserve"> melalui pendekatan tafsir, sehingga tidak berbeda dengan penafsiran yang dilakukan oleh para mufasir terdahulu. Adapun tulisan ini mengkaji konsep </w:t>
      </w:r>
      <w:r w:rsidR="00856495" w:rsidRPr="009F77A7">
        <w:rPr>
          <w:rFonts w:asciiTheme="majorBidi" w:hAnsiTheme="majorBidi" w:cstheme="majorBidi"/>
          <w:i/>
          <w:iCs/>
          <w:sz w:val="24"/>
          <w:szCs w:val="24"/>
        </w:rPr>
        <w:t xml:space="preserve">as-ṣirāṭ al-mustaqīm </w:t>
      </w:r>
      <w:r w:rsidR="00856495" w:rsidRPr="009F77A7">
        <w:rPr>
          <w:rFonts w:asciiTheme="majorBidi" w:hAnsiTheme="majorBidi" w:cstheme="majorBidi"/>
          <w:sz w:val="24"/>
          <w:szCs w:val="24"/>
        </w:rPr>
        <w:t>melalui pendekat</w:t>
      </w:r>
      <w:r w:rsidR="00232BFE" w:rsidRPr="009F77A7">
        <w:rPr>
          <w:rFonts w:asciiTheme="majorBidi" w:hAnsiTheme="majorBidi" w:cstheme="majorBidi"/>
          <w:sz w:val="24"/>
          <w:szCs w:val="24"/>
        </w:rPr>
        <w:t>an takwil sebagai penawaran dan penawaran baru dalam dunia Islam</w:t>
      </w:r>
      <w:r w:rsidR="00856495" w:rsidRPr="009F77A7">
        <w:rPr>
          <w:rFonts w:asciiTheme="majorBidi" w:hAnsiTheme="majorBidi" w:cstheme="majorBidi"/>
          <w:sz w:val="24"/>
          <w:szCs w:val="24"/>
        </w:rPr>
        <w:t>.</w:t>
      </w:r>
      <w:r w:rsidR="00856495" w:rsidRPr="009F77A7">
        <w:rPr>
          <w:rStyle w:val="FootnoteReference"/>
          <w:rFonts w:asciiTheme="majorBidi" w:hAnsiTheme="majorBidi" w:cstheme="majorBidi"/>
          <w:sz w:val="24"/>
          <w:szCs w:val="24"/>
        </w:rPr>
        <w:footnoteReference w:id="15"/>
      </w:r>
      <w:r w:rsidR="00856495" w:rsidRPr="009F77A7">
        <w:rPr>
          <w:rFonts w:asciiTheme="majorBidi" w:hAnsiTheme="majorBidi" w:cstheme="majorBidi"/>
          <w:sz w:val="24"/>
          <w:szCs w:val="24"/>
        </w:rPr>
        <w:t xml:space="preserve"> </w:t>
      </w:r>
    </w:p>
    <w:p w:rsidR="00FB7F6C" w:rsidRPr="009F77A7" w:rsidRDefault="00856495" w:rsidP="00B74429">
      <w:pPr>
        <w:spacing w:after="240" w:line="360" w:lineRule="auto"/>
        <w:ind w:left="426" w:firstLine="294"/>
        <w:jc w:val="both"/>
        <w:rPr>
          <w:rFonts w:asciiTheme="majorBidi" w:hAnsiTheme="majorBidi" w:cstheme="majorBidi"/>
          <w:sz w:val="24"/>
          <w:szCs w:val="24"/>
        </w:rPr>
      </w:pPr>
      <w:r w:rsidRPr="009F77A7">
        <w:rPr>
          <w:rFonts w:asciiTheme="majorBidi" w:hAnsiTheme="majorBidi" w:cstheme="majorBidi"/>
          <w:sz w:val="24"/>
          <w:szCs w:val="24"/>
        </w:rPr>
        <w:lastRenderedPageBreak/>
        <w:t xml:space="preserve"> </w:t>
      </w:r>
      <w:r w:rsidR="00F80780" w:rsidRPr="009F77A7">
        <w:rPr>
          <w:rFonts w:asciiTheme="majorBidi" w:hAnsiTheme="majorBidi" w:cstheme="majorBidi"/>
          <w:sz w:val="24"/>
          <w:szCs w:val="24"/>
        </w:rPr>
        <w:t xml:space="preserve"> </w:t>
      </w:r>
      <w:r w:rsidR="00232BFE" w:rsidRPr="009F77A7">
        <w:rPr>
          <w:rFonts w:asciiTheme="majorBidi" w:hAnsiTheme="majorBidi" w:cstheme="majorBidi"/>
          <w:sz w:val="24"/>
          <w:szCs w:val="24"/>
        </w:rPr>
        <w:t>Sedangkan, penelitian yang dilakukan oleh</w:t>
      </w:r>
      <w:r w:rsidR="00E541DF" w:rsidRPr="009F77A7">
        <w:rPr>
          <w:rFonts w:asciiTheme="majorBidi" w:hAnsiTheme="majorBidi" w:cstheme="majorBidi"/>
          <w:sz w:val="24"/>
          <w:szCs w:val="24"/>
        </w:rPr>
        <w:t xml:space="preserve"> </w:t>
      </w:r>
      <w:r w:rsidR="00F86330" w:rsidRPr="009F77A7">
        <w:rPr>
          <w:rFonts w:asciiTheme="majorBidi" w:hAnsiTheme="majorBidi" w:cstheme="majorBidi"/>
          <w:sz w:val="24"/>
          <w:szCs w:val="24"/>
        </w:rPr>
        <w:t xml:space="preserve">Ibrahim berjudul </w:t>
      </w:r>
      <w:r w:rsidR="00F86330" w:rsidRPr="009F77A7">
        <w:rPr>
          <w:rFonts w:asciiTheme="majorBidi" w:hAnsiTheme="majorBidi" w:cstheme="majorBidi"/>
          <w:i/>
          <w:iCs/>
          <w:sz w:val="24"/>
          <w:szCs w:val="24"/>
        </w:rPr>
        <w:t>Konsep al-Sirāṭ al-Mustaqīm</w:t>
      </w:r>
      <w:r w:rsidR="00E370A8" w:rsidRPr="009F77A7">
        <w:rPr>
          <w:rFonts w:asciiTheme="majorBidi" w:hAnsiTheme="majorBidi" w:cstheme="majorBidi"/>
          <w:i/>
          <w:iCs/>
          <w:sz w:val="24"/>
          <w:szCs w:val="24"/>
        </w:rPr>
        <w:t xml:space="preserve"> (Suatu Kajian Tafsir Tematik)</w:t>
      </w:r>
      <w:r w:rsidR="00E370A8" w:rsidRPr="009F77A7">
        <w:rPr>
          <w:rFonts w:asciiTheme="majorBidi" w:hAnsiTheme="majorBidi" w:cstheme="majorBidi"/>
          <w:sz w:val="24"/>
          <w:szCs w:val="24"/>
        </w:rPr>
        <w:t xml:space="preserve"> mengkaji istilah Jalan yang Lurus dalam Alquran melalui pendekatan tafsir riwayat yang berbasis pada pendekatan tekstual, sehingga pemaknaan dan hakikat dari </w:t>
      </w:r>
      <w:r w:rsidR="00E370A8" w:rsidRPr="009F77A7">
        <w:rPr>
          <w:rFonts w:asciiTheme="majorBidi" w:hAnsiTheme="majorBidi" w:cstheme="majorBidi"/>
          <w:i/>
          <w:iCs/>
          <w:sz w:val="24"/>
          <w:szCs w:val="24"/>
        </w:rPr>
        <w:t>as-ṣirāṭ al-mustaqīm</w:t>
      </w:r>
      <w:r w:rsidR="00E370A8" w:rsidRPr="009F77A7">
        <w:rPr>
          <w:rFonts w:asciiTheme="majorBidi" w:hAnsiTheme="majorBidi" w:cstheme="majorBidi"/>
          <w:sz w:val="24"/>
          <w:szCs w:val="24"/>
        </w:rPr>
        <w:t xml:space="preserve"> tidak diperoleh secara komprehensif.</w:t>
      </w:r>
      <w:r w:rsidR="00E370A8" w:rsidRPr="009F77A7">
        <w:rPr>
          <w:rStyle w:val="FootnoteReference"/>
          <w:rFonts w:asciiTheme="majorBidi" w:hAnsiTheme="majorBidi" w:cstheme="majorBidi"/>
          <w:sz w:val="24"/>
          <w:szCs w:val="24"/>
        </w:rPr>
        <w:footnoteReference w:id="16"/>
      </w:r>
      <w:r w:rsidR="00E370A8" w:rsidRPr="009F77A7">
        <w:rPr>
          <w:rFonts w:asciiTheme="majorBidi" w:hAnsiTheme="majorBidi" w:cstheme="majorBidi"/>
          <w:sz w:val="24"/>
          <w:szCs w:val="24"/>
        </w:rPr>
        <w:t xml:space="preserve"> Sebaliknya, penelitian ini berusaha menjelaskan istilah </w:t>
      </w:r>
      <w:r w:rsidR="00E370A8" w:rsidRPr="009F77A7">
        <w:rPr>
          <w:rFonts w:asciiTheme="majorBidi" w:hAnsiTheme="majorBidi" w:cstheme="majorBidi"/>
          <w:i/>
          <w:iCs/>
          <w:sz w:val="24"/>
          <w:szCs w:val="24"/>
        </w:rPr>
        <w:t>as-ṣirāṭ al-mustaqīm</w:t>
      </w:r>
      <w:r w:rsidR="00E370A8" w:rsidRPr="009F77A7">
        <w:rPr>
          <w:rFonts w:asciiTheme="majorBidi" w:hAnsiTheme="majorBidi" w:cstheme="majorBidi"/>
          <w:sz w:val="24"/>
          <w:szCs w:val="24"/>
        </w:rPr>
        <w:t xml:space="preserve"> melalui pendekatan tekstual, akal, dan intuisi sehingga hasil tulisan ini bersifat eksplanasi dan komprehensif. Demi mempertegas perbedaan tulisan ini dengan penelitian sebelumnya, penulis akan menjelaskan takwil </w:t>
      </w:r>
      <w:r w:rsidR="00E370A8" w:rsidRPr="009F77A7">
        <w:rPr>
          <w:rFonts w:asciiTheme="majorBidi" w:hAnsiTheme="majorBidi" w:cstheme="majorBidi"/>
          <w:i/>
          <w:iCs/>
          <w:sz w:val="24"/>
          <w:szCs w:val="24"/>
        </w:rPr>
        <w:t xml:space="preserve">as-ṣirāṭ al-mustaqīm </w:t>
      </w:r>
      <w:r w:rsidR="00E370A8" w:rsidRPr="009F77A7">
        <w:rPr>
          <w:rFonts w:asciiTheme="majorBidi" w:hAnsiTheme="majorBidi" w:cstheme="majorBidi"/>
          <w:sz w:val="24"/>
          <w:szCs w:val="24"/>
        </w:rPr>
        <w:t xml:space="preserve">dalam pandangan Mulla Sadra dalam beberapa </w:t>
      </w:r>
      <w:r w:rsidR="00C31768" w:rsidRPr="009F77A7">
        <w:rPr>
          <w:rFonts w:asciiTheme="majorBidi" w:hAnsiTheme="majorBidi" w:cstheme="majorBidi"/>
          <w:sz w:val="24"/>
          <w:szCs w:val="24"/>
        </w:rPr>
        <w:t>subtema, antara lain;</w:t>
      </w:r>
      <w:r w:rsidR="00040FA1" w:rsidRPr="009F77A7">
        <w:rPr>
          <w:rFonts w:asciiTheme="majorBidi" w:hAnsiTheme="majorBidi" w:cstheme="majorBidi"/>
          <w:sz w:val="24"/>
          <w:szCs w:val="24"/>
        </w:rPr>
        <w:t xml:space="preserve"> </w:t>
      </w:r>
      <w:r w:rsidR="00040FA1" w:rsidRPr="009F77A7">
        <w:rPr>
          <w:rFonts w:asciiTheme="majorBidi" w:hAnsiTheme="majorBidi" w:cstheme="majorBidi"/>
          <w:i/>
          <w:iCs/>
          <w:sz w:val="24"/>
          <w:szCs w:val="24"/>
        </w:rPr>
        <w:t>as-Sirāṭ al-Mustaqīm</w:t>
      </w:r>
      <w:r w:rsidR="00040FA1" w:rsidRPr="009F77A7">
        <w:rPr>
          <w:rFonts w:asciiTheme="majorBidi" w:hAnsiTheme="majorBidi" w:cstheme="majorBidi"/>
          <w:sz w:val="24"/>
          <w:szCs w:val="24"/>
        </w:rPr>
        <w:t xml:space="preserve"> dalam Alquran, diskursus </w:t>
      </w:r>
      <w:r w:rsidR="00040FA1" w:rsidRPr="009F77A7">
        <w:rPr>
          <w:rFonts w:asciiTheme="majorBidi" w:hAnsiTheme="majorBidi" w:cstheme="majorBidi"/>
          <w:i/>
          <w:iCs/>
          <w:sz w:val="24"/>
          <w:szCs w:val="24"/>
        </w:rPr>
        <w:t>as-Sirāṭ al-Mustaqīm, Metode Penakwilan Mulla Sadra,</w:t>
      </w:r>
      <w:r w:rsidR="00120D8B" w:rsidRPr="009F77A7">
        <w:rPr>
          <w:rFonts w:asciiTheme="majorBidi" w:hAnsiTheme="majorBidi" w:cstheme="majorBidi"/>
          <w:sz w:val="24"/>
          <w:szCs w:val="24"/>
        </w:rPr>
        <w:t xml:space="preserve"> dan takwil </w:t>
      </w:r>
      <w:r w:rsidR="00120D8B" w:rsidRPr="009F77A7">
        <w:rPr>
          <w:rFonts w:asciiTheme="majorBidi" w:hAnsiTheme="majorBidi" w:cstheme="majorBidi"/>
          <w:i/>
          <w:iCs/>
          <w:sz w:val="24"/>
          <w:szCs w:val="24"/>
        </w:rPr>
        <w:t xml:space="preserve">as-Sirāṭ al-Mustaqīm </w:t>
      </w:r>
      <w:r w:rsidR="00120D8B" w:rsidRPr="009F77A7">
        <w:rPr>
          <w:rFonts w:asciiTheme="majorBidi" w:hAnsiTheme="majorBidi" w:cstheme="majorBidi"/>
          <w:sz w:val="24"/>
          <w:szCs w:val="24"/>
        </w:rPr>
        <w:t>dalam pandangan Mulla Sadra</w:t>
      </w:r>
      <w:r w:rsidR="00040FA1" w:rsidRPr="009F77A7">
        <w:rPr>
          <w:rFonts w:asciiTheme="majorBidi" w:hAnsiTheme="majorBidi" w:cstheme="majorBidi"/>
          <w:sz w:val="24"/>
          <w:szCs w:val="24"/>
        </w:rPr>
        <w:t xml:space="preserve">. </w:t>
      </w:r>
      <w:r w:rsidR="00C31768" w:rsidRPr="009F77A7">
        <w:rPr>
          <w:rFonts w:asciiTheme="majorBidi" w:hAnsiTheme="majorBidi" w:cstheme="majorBidi"/>
          <w:sz w:val="24"/>
          <w:szCs w:val="24"/>
        </w:rPr>
        <w:t xml:space="preserve">  </w:t>
      </w:r>
    </w:p>
    <w:p w:rsidR="00222B67" w:rsidRPr="00514E87" w:rsidRDefault="00FB7F6C" w:rsidP="00514E87">
      <w:pPr>
        <w:spacing w:after="120" w:line="240" w:lineRule="auto"/>
        <w:ind w:firstLine="426"/>
        <w:jc w:val="both"/>
        <w:rPr>
          <w:rFonts w:asciiTheme="majorBidi" w:hAnsiTheme="majorBidi" w:cstheme="majorBidi"/>
          <w:b/>
          <w:bCs/>
          <w:sz w:val="24"/>
          <w:szCs w:val="24"/>
        </w:rPr>
      </w:pPr>
      <w:r w:rsidRPr="00514E87">
        <w:rPr>
          <w:rFonts w:asciiTheme="majorBidi" w:hAnsiTheme="majorBidi" w:cstheme="majorBidi"/>
          <w:b/>
          <w:bCs/>
          <w:sz w:val="24"/>
          <w:szCs w:val="24"/>
        </w:rPr>
        <w:t>Met</w:t>
      </w:r>
      <w:r w:rsidR="002006C6" w:rsidRPr="00514E87">
        <w:rPr>
          <w:rFonts w:asciiTheme="majorBidi" w:hAnsiTheme="majorBidi" w:cstheme="majorBidi"/>
          <w:b/>
          <w:bCs/>
          <w:sz w:val="24"/>
          <w:szCs w:val="24"/>
        </w:rPr>
        <w:t>ode</w:t>
      </w:r>
      <w:r w:rsidRPr="00514E87">
        <w:rPr>
          <w:rFonts w:asciiTheme="majorBidi" w:hAnsiTheme="majorBidi" w:cstheme="majorBidi"/>
          <w:b/>
          <w:bCs/>
          <w:sz w:val="24"/>
          <w:szCs w:val="24"/>
        </w:rPr>
        <w:t xml:space="preserve"> Penelitian</w:t>
      </w:r>
    </w:p>
    <w:p w:rsidR="00C937E4" w:rsidRPr="009F77A7" w:rsidRDefault="00222B67" w:rsidP="00B74429">
      <w:pPr>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Penelitian ini merupakan penelitian kepustakaan (</w:t>
      </w:r>
      <w:r w:rsidRPr="009F77A7">
        <w:rPr>
          <w:rFonts w:asciiTheme="majorBidi" w:hAnsiTheme="majorBidi" w:cstheme="majorBidi"/>
          <w:i/>
          <w:iCs/>
          <w:sz w:val="24"/>
          <w:szCs w:val="24"/>
        </w:rPr>
        <w:t>library research)</w:t>
      </w:r>
      <w:r w:rsidRPr="009F77A7">
        <w:rPr>
          <w:rFonts w:asciiTheme="majorBidi" w:hAnsiTheme="majorBidi" w:cstheme="majorBidi"/>
          <w:sz w:val="24"/>
          <w:szCs w:val="24"/>
        </w:rPr>
        <w:t xml:space="preserve"> yang bertujuan untuk melakukan pencarian dan penelaan terhadap data atau informasi mengenai takwil </w:t>
      </w:r>
      <w:r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Mulla Sadra, baik dari buku, kitab tafsir, jurnal ilmu tafsir, skripsi, tesis, dan disertasi.</w:t>
      </w:r>
      <w:r w:rsidR="006D72C5" w:rsidRPr="009F77A7">
        <w:rPr>
          <w:rStyle w:val="FootnoteReference"/>
          <w:rFonts w:asciiTheme="majorBidi" w:hAnsiTheme="majorBidi" w:cstheme="majorBidi"/>
          <w:sz w:val="24"/>
          <w:szCs w:val="24"/>
        </w:rPr>
        <w:footnoteReference w:id="17"/>
      </w:r>
      <w:r w:rsidRPr="009F77A7">
        <w:rPr>
          <w:rFonts w:asciiTheme="majorBidi" w:hAnsiTheme="majorBidi" w:cstheme="majorBidi"/>
          <w:sz w:val="24"/>
          <w:szCs w:val="24"/>
        </w:rPr>
        <w:t xml:space="preserve"> </w:t>
      </w:r>
      <w:r w:rsidR="00C537AE" w:rsidRPr="009F77A7">
        <w:rPr>
          <w:rFonts w:asciiTheme="majorBidi" w:hAnsiTheme="majorBidi" w:cstheme="majorBidi"/>
          <w:sz w:val="24"/>
          <w:szCs w:val="24"/>
        </w:rPr>
        <w:t>Dalam mencari dan menelaah data penelitian, penulis menggunakan metode tematik tokoh yang bersifat deskriptif-analitis.</w:t>
      </w:r>
      <w:r w:rsidR="009F23F4" w:rsidRPr="009F77A7">
        <w:rPr>
          <w:rFonts w:asciiTheme="majorBidi" w:hAnsiTheme="majorBidi" w:cstheme="majorBidi"/>
          <w:sz w:val="24"/>
          <w:szCs w:val="24"/>
        </w:rPr>
        <w:t xml:space="preserve"> Metode tematik tokoh adalah pendekatan yang membahas pandangan, ide, dan gagasan seorang tokoh yang membahas tema atau istilah dalam Alquran.</w:t>
      </w:r>
      <w:r w:rsidR="00C76708" w:rsidRPr="009F77A7">
        <w:rPr>
          <w:rStyle w:val="FootnoteReference"/>
          <w:rFonts w:asciiTheme="majorBidi" w:hAnsiTheme="majorBidi" w:cstheme="majorBidi"/>
          <w:sz w:val="24"/>
          <w:szCs w:val="24"/>
        </w:rPr>
        <w:footnoteReference w:id="18"/>
      </w:r>
      <w:r w:rsidR="00BE610C" w:rsidRPr="009F77A7">
        <w:rPr>
          <w:rFonts w:asciiTheme="majorBidi" w:hAnsiTheme="majorBidi" w:cstheme="majorBidi"/>
          <w:sz w:val="24"/>
          <w:szCs w:val="24"/>
        </w:rPr>
        <w:t xml:space="preserve"> </w:t>
      </w:r>
      <w:r w:rsidR="009F23F4" w:rsidRPr="009F77A7">
        <w:rPr>
          <w:rFonts w:asciiTheme="majorBidi" w:hAnsiTheme="majorBidi" w:cstheme="majorBidi"/>
          <w:sz w:val="24"/>
          <w:szCs w:val="24"/>
        </w:rPr>
        <w:t xml:space="preserve">Penelitian ini membahas pandangan Mulla Sadra mengenai konsep </w:t>
      </w:r>
      <w:r w:rsidR="009F23F4" w:rsidRPr="009F77A7">
        <w:rPr>
          <w:rFonts w:asciiTheme="majorBidi" w:hAnsiTheme="majorBidi" w:cstheme="majorBidi"/>
          <w:i/>
          <w:iCs/>
          <w:sz w:val="24"/>
          <w:szCs w:val="24"/>
        </w:rPr>
        <w:t xml:space="preserve">as-ṣirāṭ al-mustaqīm </w:t>
      </w:r>
      <w:r w:rsidR="009F23F4" w:rsidRPr="009F77A7">
        <w:rPr>
          <w:rFonts w:asciiTheme="majorBidi" w:hAnsiTheme="majorBidi" w:cstheme="majorBidi"/>
          <w:sz w:val="24"/>
          <w:szCs w:val="24"/>
        </w:rPr>
        <w:t>yang dikaji melalui pendekatan takwil</w:t>
      </w:r>
      <w:r w:rsidR="009F20ED" w:rsidRPr="009F77A7">
        <w:rPr>
          <w:rFonts w:asciiTheme="majorBidi" w:hAnsiTheme="majorBidi" w:cstheme="majorBidi"/>
          <w:sz w:val="24"/>
          <w:szCs w:val="24"/>
        </w:rPr>
        <w:t xml:space="preserve"> untuk memperoleh hakikat dan makna </w:t>
      </w:r>
      <w:r w:rsidR="009F20ED" w:rsidRPr="009F77A7">
        <w:rPr>
          <w:rFonts w:asciiTheme="majorBidi" w:hAnsiTheme="majorBidi" w:cstheme="majorBidi"/>
          <w:i/>
          <w:iCs/>
          <w:sz w:val="24"/>
          <w:szCs w:val="24"/>
        </w:rPr>
        <w:t xml:space="preserve">as-ṣirāṭ al-mustaqīm </w:t>
      </w:r>
      <w:r w:rsidR="009F20ED" w:rsidRPr="009F77A7">
        <w:rPr>
          <w:rFonts w:asciiTheme="majorBidi" w:hAnsiTheme="majorBidi" w:cstheme="majorBidi"/>
          <w:sz w:val="24"/>
          <w:szCs w:val="24"/>
        </w:rPr>
        <w:t xml:space="preserve">dalam Alquran.   </w:t>
      </w:r>
      <w:r w:rsidR="00C937E4" w:rsidRPr="009F77A7">
        <w:rPr>
          <w:rFonts w:asciiTheme="majorBidi" w:hAnsiTheme="majorBidi" w:cstheme="majorBidi"/>
          <w:sz w:val="24"/>
          <w:szCs w:val="24"/>
        </w:rPr>
        <w:t xml:space="preserve"> </w:t>
      </w:r>
    </w:p>
    <w:p w:rsidR="00514E87" w:rsidRDefault="00C937E4" w:rsidP="00B74429">
      <w:pPr>
        <w:spacing w:after="120" w:line="360" w:lineRule="auto"/>
        <w:ind w:left="426" w:firstLine="283"/>
        <w:jc w:val="both"/>
        <w:rPr>
          <w:rFonts w:asciiTheme="majorBidi" w:hAnsiTheme="majorBidi" w:cstheme="majorBidi"/>
          <w:b/>
          <w:bCs/>
          <w:sz w:val="24"/>
          <w:szCs w:val="24"/>
        </w:rPr>
      </w:pPr>
      <w:r w:rsidRPr="009F77A7">
        <w:rPr>
          <w:rFonts w:asciiTheme="majorBidi" w:hAnsiTheme="majorBidi" w:cstheme="majorBidi"/>
          <w:sz w:val="24"/>
          <w:szCs w:val="24"/>
        </w:rPr>
        <w:t xml:space="preserve">Dalam membahas dan mengkaji takwil </w:t>
      </w:r>
      <w:r w:rsidRPr="009F77A7">
        <w:rPr>
          <w:rFonts w:asciiTheme="majorBidi" w:hAnsiTheme="majorBidi" w:cstheme="majorBidi"/>
          <w:i/>
          <w:iCs/>
          <w:sz w:val="24"/>
          <w:szCs w:val="24"/>
        </w:rPr>
        <w:t xml:space="preserve">as-ṣirāṭ al-mustaqīm </w:t>
      </w:r>
      <w:r w:rsidRPr="009F77A7">
        <w:rPr>
          <w:rFonts w:asciiTheme="majorBidi" w:hAnsiTheme="majorBidi" w:cstheme="majorBidi"/>
          <w:sz w:val="24"/>
          <w:szCs w:val="24"/>
        </w:rPr>
        <w:t>perspektif Mulla Sadra, penulis men</w:t>
      </w:r>
      <w:r w:rsidR="001C6C9D" w:rsidRPr="009F77A7">
        <w:rPr>
          <w:rFonts w:asciiTheme="majorBidi" w:hAnsiTheme="majorBidi" w:cstheme="majorBidi"/>
          <w:sz w:val="24"/>
          <w:szCs w:val="24"/>
        </w:rPr>
        <w:t>gumpulkan data penelitian melalui</w:t>
      </w:r>
      <w:r w:rsidRPr="009F77A7">
        <w:rPr>
          <w:rFonts w:asciiTheme="majorBidi" w:hAnsiTheme="majorBidi" w:cstheme="majorBidi"/>
          <w:sz w:val="24"/>
          <w:szCs w:val="24"/>
        </w:rPr>
        <w:t xml:space="preserve"> dua sumber</w:t>
      </w:r>
      <w:r w:rsidR="009F20ED" w:rsidRPr="009F77A7">
        <w:rPr>
          <w:rFonts w:asciiTheme="majorBidi" w:hAnsiTheme="majorBidi" w:cstheme="majorBidi"/>
          <w:sz w:val="24"/>
          <w:szCs w:val="24"/>
        </w:rPr>
        <w:t>, yaitu primer dan skunder</w:t>
      </w:r>
      <w:r w:rsidRPr="009F77A7">
        <w:rPr>
          <w:rFonts w:asciiTheme="majorBidi" w:hAnsiTheme="majorBidi" w:cstheme="majorBidi"/>
          <w:sz w:val="24"/>
          <w:szCs w:val="24"/>
        </w:rPr>
        <w:t>.</w:t>
      </w:r>
      <w:r w:rsidR="00EA09D3" w:rsidRPr="009F77A7">
        <w:rPr>
          <w:rStyle w:val="FootnoteReference"/>
          <w:rFonts w:asciiTheme="majorBidi" w:hAnsiTheme="majorBidi" w:cstheme="majorBidi"/>
          <w:sz w:val="24"/>
          <w:szCs w:val="24"/>
        </w:rPr>
        <w:footnoteReference w:id="19"/>
      </w:r>
      <w:r w:rsidR="009F20ED" w:rsidRPr="009F77A7">
        <w:rPr>
          <w:rFonts w:asciiTheme="majorBidi" w:hAnsiTheme="majorBidi" w:cstheme="majorBidi"/>
          <w:sz w:val="24"/>
          <w:szCs w:val="24"/>
        </w:rPr>
        <w:t xml:space="preserve"> S</w:t>
      </w:r>
      <w:r w:rsidRPr="009F77A7">
        <w:rPr>
          <w:rFonts w:asciiTheme="majorBidi" w:hAnsiTheme="majorBidi" w:cstheme="majorBidi"/>
          <w:sz w:val="24"/>
          <w:szCs w:val="24"/>
        </w:rPr>
        <w:t xml:space="preserve">umber primer </w:t>
      </w:r>
      <w:r w:rsidR="006D72C5" w:rsidRPr="009F77A7">
        <w:rPr>
          <w:rFonts w:asciiTheme="majorBidi" w:hAnsiTheme="majorBidi" w:cstheme="majorBidi"/>
          <w:sz w:val="24"/>
          <w:szCs w:val="24"/>
        </w:rPr>
        <w:t xml:space="preserve">yang dirujuk dari </w:t>
      </w:r>
      <w:r w:rsidR="006D72C5" w:rsidRPr="009F77A7">
        <w:rPr>
          <w:rFonts w:asciiTheme="majorBidi" w:hAnsiTheme="majorBidi" w:cstheme="majorBidi"/>
          <w:i/>
          <w:iCs/>
          <w:sz w:val="24"/>
          <w:szCs w:val="24"/>
        </w:rPr>
        <w:t>Tafsir Al-Quran Al-Karim</w:t>
      </w:r>
      <w:r w:rsidR="009F20ED" w:rsidRPr="009F77A7">
        <w:rPr>
          <w:rFonts w:asciiTheme="majorBidi" w:hAnsiTheme="majorBidi" w:cstheme="majorBidi"/>
          <w:sz w:val="24"/>
          <w:szCs w:val="24"/>
        </w:rPr>
        <w:t xml:space="preserve"> dengan menyoroti takwil </w:t>
      </w:r>
      <w:r w:rsidR="009F20ED" w:rsidRPr="009F77A7">
        <w:rPr>
          <w:rFonts w:asciiTheme="majorBidi" w:hAnsiTheme="majorBidi" w:cstheme="majorBidi"/>
          <w:i/>
          <w:iCs/>
          <w:sz w:val="24"/>
          <w:szCs w:val="24"/>
        </w:rPr>
        <w:t xml:space="preserve">as-ṣirāṭ al-mustaqīm </w:t>
      </w:r>
      <w:r w:rsidR="009F20ED" w:rsidRPr="009F77A7">
        <w:rPr>
          <w:rFonts w:asciiTheme="majorBidi" w:hAnsiTheme="majorBidi" w:cstheme="majorBidi"/>
          <w:sz w:val="24"/>
          <w:szCs w:val="24"/>
        </w:rPr>
        <w:t xml:space="preserve">Mulla Sadra. Sedangkan sumber skunder dalam penelitian ini, ialah merujuk pada buku, jurnal, skripsi, tesis, dan disertasi yang membahas pemikiran, tafsir, dan takwil Mulla Sadra. </w:t>
      </w:r>
      <w:r w:rsidR="00EA09D3" w:rsidRPr="009F77A7">
        <w:rPr>
          <w:rFonts w:asciiTheme="majorBidi" w:hAnsiTheme="majorBidi" w:cstheme="majorBidi"/>
          <w:sz w:val="24"/>
          <w:szCs w:val="24"/>
        </w:rPr>
        <w:t xml:space="preserve">Data-data yang diperoleh melalui sumber primer dan skunder dikumpulkan menjadi satu, kemudian diklasifikasi berdasarkan subtema dalam penelitian ini untuk menghasilkan sebuah kajian dan pembahasan </w:t>
      </w:r>
      <w:r w:rsidR="001C6C9D" w:rsidRPr="009F77A7">
        <w:rPr>
          <w:rFonts w:asciiTheme="majorBidi" w:hAnsiTheme="majorBidi" w:cstheme="majorBidi"/>
          <w:sz w:val="24"/>
          <w:szCs w:val="24"/>
        </w:rPr>
        <w:t>komprehensif</w:t>
      </w:r>
      <w:r w:rsidR="00E859BB" w:rsidRPr="009F77A7">
        <w:rPr>
          <w:rFonts w:asciiTheme="majorBidi" w:hAnsiTheme="majorBidi" w:cstheme="majorBidi"/>
          <w:sz w:val="24"/>
          <w:szCs w:val="24"/>
        </w:rPr>
        <w:t xml:space="preserve"> yang </w:t>
      </w:r>
      <w:r w:rsidR="00E859BB" w:rsidRPr="009F77A7">
        <w:rPr>
          <w:rFonts w:asciiTheme="majorBidi" w:hAnsiTheme="majorBidi" w:cstheme="majorBidi"/>
          <w:sz w:val="24"/>
          <w:szCs w:val="24"/>
        </w:rPr>
        <w:lastRenderedPageBreak/>
        <w:t>dideskripsikan secara sistematis dalam penelitian ini</w:t>
      </w:r>
      <w:r w:rsidR="00EA09D3" w:rsidRPr="009F77A7">
        <w:rPr>
          <w:rFonts w:asciiTheme="majorBidi" w:hAnsiTheme="majorBidi" w:cstheme="majorBidi"/>
          <w:sz w:val="24"/>
          <w:szCs w:val="24"/>
        </w:rPr>
        <w:t>.</w:t>
      </w:r>
      <w:r w:rsidR="00EA09D3" w:rsidRPr="009F77A7">
        <w:rPr>
          <w:rStyle w:val="FootnoteReference"/>
          <w:rFonts w:asciiTheme="majorBidi" w:hAnsiTheme="majorBidi" w:cstheme="majorBidi"/>
          <w:sz w:val="24"/>
          <w:szCs w:val="24"/>
        </w:rPr>
        <w:footnoteReference w:id="20"/>
      </w:r>
      <w:r w:rsidR="001C6C9D" w:rsidRPr="009F77A7">
        <w:rPr>
          <w:rFonts w:asciiTheme="majorBidi" w:hAnsiTheme="majorBidi" w:cstheme="majorBidi"/>
          <w:sz w:val="24"/>
          <w:szCs w:val="24"/>
        </w:rPr>
        <w:t xml:space="preserve"> </w:t>
      </w:r>
      <w:r w:rsidR="00EA09D3" w:rsidRPr="009F77A7">
        <w:rPr>
          <w:rFonts w:asciiTheme="majorBidi" w:hAnsiTheme="majorBidi" w:cstheme="majorBidi"/>
          <w:sz w:val="24"/>
          <w:szCs w:val="24"/>
        </w:rPr>
        <w:t>Data-data yang</w:t>
      </w:r>
      <w:r w:rsidR="00E859BB" w:rsidRPr="009F77A7">
        <w:rPr>
          <w:rFonts w:asciiTheme="majorBidi" w:hAnsiTheme="majorBidi" w:cstheme="majorBidi"/>
          <w:sz w:val="24"/>
          <w:szCs w:val="24"/>
        </w:rPr>
        <w:t xml:space="preserve"> dikumpulkan</w:t>
      </w:r>
      <w:r w:rsidR="001C6C9D" w:rsidRPr="009F77A7">
        <w:rPr>
          <w:rFonts w:asciiTheme="majorBidi" w:hAnsiTheme="majorBidi" w:cstheme="majorBidi"/>
          <w:sz w:val="24"/>
          <w:szCs w:val="24"/>
        </w:rPr>
        <w:t xml:space="preserve"> dan dideskripsikan, selanjutnya</w:t>
      </w:r>
      <w:r w:rsidR="00E859BB" w:rsidRPr="009F77A7">
        <w:rPr>
          <w:rFonts w:asciiTheme="majorBidi" w:hAnsiTheme="majorBidi" w:cstheme="majorBidi"/>
          <w:sz w:val="24"/>
          <w:szCs w:val="24"/>
        </w:rPr>
        <w:t xml:space="preserve"> dianalisis</w:t>
      </w:r>
      <w:r w:rsidR="001C6C9D" w:rsidRPr="009F77A7">
        <w:rPr>
          <w:rFonts w:asciiTheme="majorBidi" w:hAnsiTheme="majorBidi" w:cstheme="majorBidi"/>
          <w:sz w:val="24"/>
          <w:szCs w:val="24"/>
        </w:rPr>
        <w:t xml:space="preserve"> untuk memahami urgensi takwil </w:t>
      </w:r>
      <w:r w:rsidR="001C6C9D" w:rsidRPr="009F77A7">
        <w:rPr>
          <w:rFonts w:asciiTheme="majorBidi" w:hAnsiTheme="majorBidi" w:cstheme="majorBidi"/>
          <w:i/>
          <w:iCs/>
          <w:sz w:val="24"/>
          <w:szCs w:val="24"/>
        </w:rPr>
        <w:t xml:space="preserve">as-ṣirāṭ al-mustaqīm </w:t>
      </w:r>
      <w:r w:rsidR="001C6C9D" w:rsidRPr="009F77A7">
        <w:rPr>
          <w:rFonts w:asciiTheme="majorBidi" w:hAnsiTheme="majorBidi" w:cstheme="majorBidi"/>
          <w:sz w:val="24"/>
          <w:szCs w:val="24"/>
        </w:rPr>
        <w:t>Mulla Sadra sebagai solusi kekeliruan penafsiran para mufasir terhadap istilah Jalan yang Lurus dalam Alquran.</w:t>
      </w:r>
      <w:r w:rsidR="001C6C9D" w:rsidRPr="009F77A7">
        <w:rPr>
          <w:rStyle w:val="FootnoteReference"/>
          <w:rFonts w:asciiTheme="majorBidi" w:hAnsiTheme="majorBidi" w:cstheme="majorBidi"/>
          <w:sz w:val="24"/>
          <w:szCs w:val="24"/>
        </w:rPr>
        <w:footnoteReference w:id="21"/>
      </w:r>
      <w:r w:rsidR="001C6C9D" w:rsidRPr="009F77A7">
        <w:rPr>
          <w:rFonts w:asciiTheme="majorBidi" w:hAnsiTheme="majorBidi" w:cstheme="majorBidi"/>
          <w:sz w:val="24"/>
          <w:szCs w:val="24"/>
        </w:rPr>
        <w:t xml:space="preserve"> Di satu sisi, analisis terhadap data primer dan skunder juga bertujuan untuk menjelaskan signifikansi takwil Mulla Sadra untuk memperoleh hakikat dan makna </w:t>
      </w:r>
      <w:r w:rsidR="001C6C9D" w:rsidRPr="009F77A7">
        <w:rPr>
          <w:rFonts w:asciiTheme="majorBidi" w:hAnsiTheme="majorBidi" w:cstheme="majorBidi"/>
          <w:i/>
          <w:iCs/>
          <w:sz w:val="24"/>
          <w:szCs w:val="24"/>
        </w:rPr>
        <w:t>as-ṣirāṭ al-mustaqīm</w:t>
      </w:r>
      <w:r w:rsidR="001C6C9D" w:rsidRPr="009F77A7">
        <w:rPr>
          <w:rFonts w:asciiTheme="majorBidi" w:hAnsiTheme="majorBidi" w:cstheme="majorBidi"/>
          <w:sz w:val="24"/>
          <w:szCs w:val="24"/>
        </w:rPr>
        <w:t xml:space="preserve"> dengan tujuan menghasilkan penelitian yang bersifat eksplanasi.   </w:t>
      </w:r>
      <w:r w:rsidR="00E859BB" w:rsidRPr="009F77A7">
        <w:rPr>
          <w:rFonts w:asciiTheme="majorBidi" w:hAnsiTheme="majorBidi" w:cstheme="majorBidi"/>
          <w:sz w:val="24"/>
          <w:szCs w:val="24"/>
        </w:rPr>
        <w:t xml:space="preserve"> </w:t>
      </w:r>
      <w:r w:rsidR="009F20ED" w:rsidRPr="009F77A7">
        <w:rPr>
          <w:rFonts w:asciiTheme="majorBidi" w:hAnsiTheme="majorBidi" w:cstheme="majorBidi"/>
          <w:sz w:val="24"/>
          <w:szCs w:val="24"/>
        </w:rPr>
        <w:t xml:space="preserve"> </w:t>
      </w:r>
      <w:r w:rsidR="006D72C5" w:rsidRPr="009F77A7">
        <w:rPr>
          <w:rFonts w:asciiTheme="majorBidi" w:hAnsiTheme="majorBidi" w:cstheme="majorBidi"/>
          <w:sz w:val="24"/>
          <w:szCs w:val="24"/>
        </w:rPr>
        <w:t xml:space="preserve"> </w:t>
      </w:r>
      <w:r w:rsidRPr="009F77A7">
        <w:rPr>
          <w:rFonts w:asciiTheme="majorBidi" w:hAnsiTheme="majorBidi" w:cstheme="majorBidi"/>
          <w:sz w:val="24"/>
          <w:szCs w:val="24"/>
        </w:rPr>
        <w:t xml:space="preserve">  </w:t>
      </w:r>
      <w:r w:rsidR="009F23F4" w:rsidRPr="009F77A7">
        <w:rPr>
          <w:rFonts w:asciiTheme="majorBidi" w:hAnsiTheme="majorBidi" w:cstheme="majorBidi"/>
          <w:sz w:val="24"/>
          <w:szCs w:val="24"/>
        </w:rPr>
        <w:t xml:space="preserve">      </w:t>
      </w:r>
    </w:p>
    <w:p w:rsidR="008752DC" w:rsidRPr="009F77A7" w:rsidRDefault="008752DC" w:rsidP="00B74429">
      <w:pPr>
        <w:spacing w:after="120" w:line="360" w:lineRule="auto"/>
        <w:ind w:firstLine="426"/>
        <w:jc w:val="both"/>
        <w:rPr>
          <w:rFonts w:asciiTheme="majorBidi" w:hAnsiTheme="majorBidi" w:cstheme="majorBidi"/>
          <w:b/>
          <w:bCs/>
          <w:sz w:val="24"/>
          <w:szCs w:val="24"/>
        </w:rPr>
      </w:pPr>
      <w:r w:rsidRPr="009F77A7">
        <w:rPr>
          <w:rFonts w:asciiTheme="majorBidi" w:hAnsiTheme="majorBidi" w:cstheme="majorBidi"/>
          <w:b/>
          <w:bCs/>
          <w:i/>
          <w:iCs/>
          <w:sz w:val="24"/>
          <w:szCs w:val="24"/>
        </w:rPr>
        <w:t xml:space="preserve">As-Sirāṭ Al-Mustaqīm </w:t>
      </w:r>
      <w:r w:rsidRPr="009F77A7">
        <w:rPr>
          <w:rFonts w:asciiTheme="majorBidi" w:hAnsiTheme="majorBidi" w:cstheme="majorBidi"/>
          <w:b/>
          <w:bCs/>
          <w:sz w:val="24"/>
          <w:szCs w:val="24"/>
        </w:rPr>
        <w:t xml:space="preserve">dalam Alquran </w:t>
      </w:r>
      <w:r w:rsidR="00514E87">
        <w:rPr>
          <w:rFonts w:asciiTheme="majorBidi" w:hAnsiTheme="majorBidi" w:cstheme="majorBidi"/>
          <w:b/>
          <w:bCs/>
          <w:sz w:val="24"/>
          <w:szCs w:val="24"/>
        </w:rPr>
        <w:t xml:space="preserve"> </w:t>
      </w:r>
    </w:p>
    <w:p w:rsidR="004C42DD" w:rsidRPr="009F77A7" w:rsidRDefault="00134D9E"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Kata </w:t>
      </w:r>
      <w:r w:rsidRPr="009F77A7">
        <w:rPr>
          <w:rFonts w:asciiTheme="majorBidi" w:hAnsiTheme="majorBidi" w:cstheme="majorBidi"/>
          <w:i/>
          <w:iCs/>
          <w:sz w:val="24"/>
          <w:szCs w:val="24"/>
        </w:rPr>
        <w:t xml:space="preserve">as-ṣirāṭ al-mustaqīm </w:t>
      </w:r>
      <w:r w:rsidRPr="009F77A7">
        <w:rPr>
          <w:rFonts w:asciiTheme="majorBidi" w:hAnsiTheme="majorBidi" w:cstheme="majorBidi"/>
          <w:sz w:val="24"/>
          <w:szCs w:val="24"/>
        </w:rPr>
        <w:t xml:space="preserve">dalam Alquran disebut sebanyak 32 kali yang mendeskripsikan Alquran sebagai kitab pedoman manusia memberikan perhatian khusus terhadap term tersebut. </w:t>
      </w:r>
      <w:r w:rsidR="0068771E" w:rsidRPr="009F77A7">
        <w:rPr>
          <w:rFonts w:asciiTheme="majorBidi" w:hAnsiTheme="majorBidi" w:cstheme="majorBidi"/>
          <w:sz w:val="24"/>
          <w:szCs w:val="24"/>
        </w:rPr>
        <w:t>Untuk</w:t>
      </w:r>
      <w:r w:rsidRPr="009F77A7">
        <w:rPr>
          <w:rFonts w:asciiTheme="majorBidi" w:hAnsiTheme="majorBidi" w:cstheme="majorBidi"/>
          <w:sz w:val="24"/>
          <w:szCs w:val="24"/>
        </w:rPr>
        <w:t xml:space="preserve"> memperjelas kata </w:t>
      </w:r>
      <w:r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penulis akan menyediakan tabel mengenai term jalan yang lurus dalam Alquran yang diklasifikasi berdasarkan </w:t>
      </w:r>
      <w:r w:rsidR="0068771E" w:rsidRPr="009F77A7">
        <w:rPr>
          <w:rFonts w:asciiTheme="majorBidi" w:hAnsiTheme="majorBidi" w:cstheme="majorBidi"/>
          <w:sz w:val="24"/>
          <w:szCs w:val="24"/>
        </w:rPr>
        <w:t xml:space="preserve">ayat-ayat </w:t>
      </w:r>
      <w:r w:rsidR="0068771E" w:rsidRPr="009F77A7">
        <w:rPr>
          <w:rFonts w:asciiTheme="majorBidi" w:hAnsiTheme="majorBidi" w:cstheme="majorBidi"/>
          <w:i/>
          <w:iCs/>
          <w:sz w:val="24"/>
          <w:szCs w:val="24"/>
        </w:rPr>
        <w:t>makkiyah dan madaniyyah</w:t>
      </w:r>
      <w:r w:rsidRPr="009F77A7">
        <w:rPr>
          <w:rFonts w:asciiTheme="majorBidi" w:hAnsiTheme="majorBidi" w:cstheme="majorBidi"/>
          <w:i/>
          <w:iCs/>
          <w:sz w:val="24"/>
          <w:szCs w:val="24"/>
        </w:rPr>
        <w:t>,</w:t>
      </w:r>
      <w:r w:rsidRPr="009F77A7">
        <w:rPr>
          <w:rFonts w:asciiTheme="majorBidi" w:hAnsiTheme="majorBidi" w:cstheme="majorBidi"/>
          <w:sz w:val="24"/>
          <w:szCs w:val="24"/>
        </w:rPr>
        <w:t xml:space="preserve"> sehingga para pembaca dapat merenungi kata </w:t>
      </w:r>
      <w:r w:rsidRPr="009F77A7">
        <w:rPr>
          <w:rFonts w:asciiTheme="majorBidi" w:hAnsiTheme="majorBidi" w:cstheme="majorBidi"/>
          <w:i/>
          <w:iCs/>
          <w:sz w:val="24"/>
          <w:szCs w:val="24"/>
        </w:rPr>
        <w:t xml:space="preserve">as-ṣirāṭ al-mustaqīm </w:t>
      </w:r>
      <w:r w:rsidRPr="009F77A7">
        <w:rPr>
          <w:rFonts w:asciiTheme="majorBidi" w:hAnsiTheme="majorBidi" w:cstheme="majorBidi"/>
          <w:sz w:val="24"/>
          <w:szCs w:val="24"/>
        </w:rPr>
        <w:t>sebagai petunjuk</w:t>
      </w:r>
      <w:r w:rsidR="0068771E" w:rsidRPr="009F77A7">
        <w:rPr>
          <w:rFonts w:asciiTheme="majorBidi" w:hAnsiTheme="majorBidi" w:cstheme="majorBidi"/>
          <w:sz w:val="24"/>
          <w:szCs w:val="24"/>
        </w:rPr>
        <w:t>;</w:t>
      </w:r>
    </w:p>
    <w:p w:rsidR="00BD3F64" w:rsidRPr="009F77A7" w:rsidRDefault="00BD3F64" w:rsidP="00107005">
      <w:pPr>
        <w:autoSpaceDE w:val="0"/>
        <w:autoSpaceDN w:val="0"/>
        <w:adjustRightInd w:val="0"/>
        <w:spacing w:after="120" w:line="240" w:lineRule="auto"/>
        <w:ind w:left="709" w:firstLine="414"/>
        <w:jc w:val="both"/>
        <w:rPr>
          <w:rFonts w:asciiTheme="majorBidi" w:hAnsiTheme="majorBidi" w:cstheme="majorBidi"/>
          <w:sz w:val="24"/>
          <w:szCs w:val="24"/>
        </w:rPr>
      </w:pPr>
    </w:p>
    <w:p w:rsidR="00134D9E" w:rsidRPr="009F77A7" w:rsidRDefault="00A45494" w:rsidP="00CB4CC1">
      <w:pPr>
        <w:autoSpaceDE w:val="0"/>
        <w:autoSpaceDN w:val="0"/>
        <w:adjustRightInd w:val="0"/>
        <w:spacing w:line="240" w:lineRule="auto"/>
        <w:ind w:left="709" w:firstLine="414"/>
        <w:jc w:val="center"/>
        <w:rPr>
          <w:rFonts w:asciiTheme="majorBidi" w:hAnsiTheme="majorBidi" w:cstheme="majorBidi"/>
          <w:b/>
          <w:bCs/>
          <w:sz w:val="24"/>
          <w:szCs w:val="24"/>
        </w:rPr>
      </w:pPr>
      <w:r w:rsidRPr="009F77A7">
        <w:rPr>
          <w:rFonts w:asciiTheme="majorBidi" w:hAnsiTheme="majorBidi" w:cstheme="majorBidi"/>
          <w:b/>
          <w:bCs/>
          <w:sz w:val="24"/>
          <w:szCs w:val="24"/>
        </w:rPr>
        <w:t xml:space="preserve">Tabel. 1 Klasifikasi Term </w:t>
      </w:r>
      <w:r w:rsidRPr="009F77A7">
        <w:rPr>
          <w:rFonts w:asciiTheme="majorBidi" w:hAnsiTheme="majorBidi" w:cstheme="majorBidi"/>
          <w:b/>
          <w:bCs/>
          <w:i/>
          <w:iCs/>
          <w:sz w:val="24"/>
          <w:szCs w:val="24"/>
        </w:rPr>
        <w:t xml:space="preserve">as-ṣirāṭ al-Mustaqīm </w:t>
      </w:r>
      <w:r w:rsidRPr="009F77A7">
        <w:rPr>
          <w:rFonts w:asciiTheme="majorBidi" w:hAnsiTheme="majorBidi" w:cstheme="majorBidi"/>
          <w:b/>
          <w:bCs/>
          <w:sz w:val="24"/>
          <w:szCs w:val="24"/>
        </w:rPr>
        <w:t xml:space="preserve">berdasarkan Makiyah dan Madaniyah </w:t>
      </w:r>
      <w:r w:rsidRPr="009F77A7">
        <w:rPr>
          <w:rFonts w:asciiTheme="majorBidi" w:hAnsiTheme="majorBidi" w:cstheme="majorBidi"/>
          <w:b/>
          <w:bCs/>
          <w:i/>
          <w:iCs/>
          <w:sz w:val="24"/>
          <w:szCs w:val="24"/>
        </w:rPr>
        <w:t xml:space="preserve"> </w:t>
      </w:r>
      <w:r w:rsidRPr="009F77A7">
        <w:rPr>
          <w:rFonts w:asciiTheme="majorBidi" w:hAnsiTheme="majorBidi" w:cstheme="majorBidi"/>
          <w:b/>
          <w:bCs/>
          <w:sz w:val="24"/>
          <w:szCs w:val="24"/>
        </w:rPr>
        <w:t xml:space="preserve">  </w:t>
      </w:r>
    </w:p>
    <w:tbl>
      <w:tblPr>
        <w:tblStyle w:val="TableGrid"/>
        <w:tblW w:w="8307" w:type="dxa"/>
        <w:tblInd w:w="718" w:type="dxa"/>
        <w:tblLayout w:type="fixed"/>
        <w:tblLook w:val="04A0" w:firstRow="1" w:lastRow="0" w:firstColumn="1" w:lastColumn="0" w:noHBand="0" w:noVBand="1"/>
      </w:tblPr>
      <w:tblGrid>
        <w:gridCol w:w="562"/>
        <w:gridCol w:w="1843"/>
        <w:gridCol w:w="3685"/>
        <w:gridCol w:w="1134"/>
        <w:gridCol w:w="1083"/>
      </w:tblGrid>
      <w:tr w:rsidR="00134D9E" w:rsidRPr="009F77A7" w:rsidTr="004A0A62">
        <w:tc>
          <w:tcPr>
            <w:tcW w:w="562" w:type="dxa"/>
          </w:tcPr>
          <w:p w:rsidR="00134D9E" w:rsidRPr="009F77A7" w:rsidRDefault="00134D9E" w:rsidP="00CB4CC1">
            <w:pPr>
              <w:autoSpaceDE w:val="0"/>
              <w:autoSpaceDN w:val="0"/>
              <w:adjustRightInd w:val="0"/>
              <w:spacing w:after="160"/>
              <w:jc w:val="center"/>
              <w:rPr>
                <w:rFonts w:asciiTheme="majorBidi" w:hAnsiTheme="majorBidi" w:cstheme="majorBidi"/>
                <w:b/>
                <w:bCs/>
                <w:sz w:val="24"/>
                <w:szCs w:val="24"/>
              </w:rPr>
            </w:pPr>
            <w:r w:rsidRPr="009F77A7">
              <w:rPr>
                <w:rFonts w:asciiTheme="majorBidi" w:hAnsiTheme="majorBidi" w:cstheme="majorBidi"/>
                <w:b/>
                <w:bCs/>
                <w:sz w:val="24"/>
                <w:szCs w:val="24"/>
              </w:rPr>
              <w:t>No</w:t>
            </w:r>
          </w:p>
        </w:tc>
        <w:tc>
          <w:tcPr>
            <w:tcW w:w="1843" w:type="dxa"/>
          </w:tcPr>
          <w:p w:rsidR="00134D9E" w:rsidRPr="009F77A7" w:rsidRDefault="00107005" w:rsidP="00CB4CC1">
            <w:pPr>
              <w:autoSpaceDE w:val="0"/>
              <w:autoSpaceDN w:val="0"/>
              <w:adjustRightInd w:val="0"/>
              <w:spacing w:after="160"/>
              <w:jc w:val="center"/>
              <w:rPr>
                <w:rFonts w:asciiTheme="majorBidi" w:hAnsiTheme="majorBidi" w:cstheme="majorBidi"/>
                <w:b/>
                <w:bCs/>
                <w:sz w:val="24"/>
                <w:szCs w:val="24"/>
              </w:rPr>
            </w:pPr>
            <w:r w:rsidRPr="009F77A7">
              <w:rPr>
                <w:rFonts w:asciiTheme="majorBidi" w:hAnsiTheme="majorBidi" w:cstheme="majorBidi"/>
                <w:b/>
                <w:bCs/>
                <w:sz w:val="24"/>
                <w:szCs w:val="24"/>
              </w:rPr>
              <w:t>Surah</w:t>
            </w:r>
            <w:r w:rsidR="00134D9E" w:rsidRPr="009F77A7">
              <w:rPr>
                <w:rFonts w:asciiTheme="majorBidi" w:hAnsiTheme="majorBidi" w:cstheme="majorBidi"/>
                <w:b/>
                <w:bCs/>
                <w:sz w:val="24"/>
                <w:szCs w:val="24"/>
              </w:rPr>
              <w:t>/Ayat</w:t>
            </w:r>
          </w:p>
        </w:tc>
        <w:tc>
          <w:tcPr>
            <w:tcW w:w="3685" w:type="dxa"/>
          </w:tcPr>
          <w:p w:rsidR="00134D9E" w:rsidRPr="009F77A7" w:rsidRDefault="00134D9E" w:rsidP="00CB4CC1">
            <w:pPr>
              <w:autoSpaceDE w:val="0"/>
              <w:autoSpaceDN w:val="0"/>
              <w:adjustRightInd w:val="0"/>
              <w:spacing w:after="160"/>
              <w:jc w:val="center"/>
              <w:rPr>
                <w:rFonts w:asciiTheme="majorBidi" w:hAnsiTheme="majorBidi" w:cstheme="majorBidi"/>
                <w:b/>
                <w:bCs/>
                <w:sz w:val="24"/>
                <w:szCs w:val="24"/>
              </w:rPr>
            </w:pPr>
            <w:r w:rsidRPr="009F77A7">
              <w:rPr>
                <w:rFonts w:asciiTheme="majorBidi" w:hAnsiTheme="majorBidi" w:cstheme="majorBidi"/>
                <w:b/>
                <w:bCs/>
                <w:sz w:val="24"/>
                <w:szCs w:val="24"/>
              </w:rPr>
              <w:t>Kandungan Ayat</w:t>
            </w:r>
          </w:p>
        </w:tc>
        <w:tc>
          <w:tcPr>
            <w:tcW w:w="1134" w:type="dxa"/>
          </w:tcPr>
          <w:p w:rsidR="00134D9E" w:rsidRPr="009F77A7" w:rsidRDefault="00134D9E" w:rsidP="00CB4CC1">
            <w:pPr>
              <w:autoSpaceDE w:val="0"/>
              <w:autoSpaceDN w:val="0"/>
              <w:adjustRightInd w:val="0"/>
              <w:spacing w:after="160"/>
              <w:jc w:val="center"/>
              <w:rPr>
                <w:rFonts w:asciiTheme="majorBidi" w:hAnsiTheme="majorBidi" w:cstheme="majorBidi"/>
                <w:b/>
                <w:bCs/>
                <w:sz w:val="24"/>
                <w:szCs w:val="24"/>
              </w:rPr>
            </w:pPr>
            <w:r w:rsidRPr="009F77A7">
              <w:rPr>
                <w:rFonts w:asciiTheme="majorBidi" w:hAnsiTheme="majorBidi" w:cstheme="majorBidi"/>
                <w:b/>
                <w:bCs/>
                <w:sz w:val="24"/>
                <w:szCs w:val="24"/>
              </w:rPr>
              <w:t>Makiyah</w:t>
            </w:r>
          </w:p>
        </w:tc>
        <w:tc>
          <w:tcPr>
            <w:tcW w:w="1083" w:type="dxa"/>
          </w:tcPr>
          <w:p w:rsidR="00134D9E" w:rsidRPr="009F77A7" w:rsidRDefault="00134D9E" w:rsidP="00CB4CC1">
            <w:pPr>
              <w:autoSpaceDE w:val="0"/>
              <w:autoSpaceDN w:val="0"/>
              <w:adjustRightInd w:val="0"/>
              <w:spacing w:after="160"/>
              <w:jc w:val="center"/>
              <w:rPr>
                <w:rFonts w:asciiTheme="majorBidi" w:hAnsiTheme="majorBidi" w:cstheme="majorBidi"/>
                <w:b/>
                <w:bCs/>
                <w:sz w:val="24"/>
                <w:szCs w:val="24"/>
              </w:rPr>
            </w:pPr>
            <w:r w:rsidRPr="009F77A7">
              <w:rPr>
                <w:rFonts w:asciiTheme="majorBidi" w:hAnsiTheme="majorBidi" w:cstheme="majorBidi"/>
                <w:b/>
                <w:bCs/>
                <w:sz w:val="24"/>
                <w:szCs w:val="24"/>
              </w:rPr>
              <w:t>Madaniyah</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w:t>
            </w:r>
          </w:p>
        </w:tc>
        <w:tc>
          <w:tcPr>
            <w:tcW w:w="1843" w:type="dxa"/>
          </w:tcPr>
          <w:p w:rsidR="00134D9E" w:rsidRPr="009F77A7" w:rsidRDefault="00D746A4"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Al-Fatihah/6</w:t>
            </w:r>
          </w:p>
        </w:tc>
        <w:tc>
          <w:tcPr>
            <w:tcW w:w="3685" w:type="dxa"/>
          </w:tcPr>
          <w:p w:rsidR="00134D9E" w:rsidRPr="009F77A7" w:rsidRDefault="00D746A4" w:rsidP="0022263C">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Permintaan petunjuk berupa jalan yang lurus.</w:t>
            </w:r>
          </w:p>
        </w:tc>
        <w:tc>
          <w:tcPr>
            <w:tcW w:w="1134" w:type="dxa"/>
          </w:tcPr>
          <w:p w:rsidR="00134D9E" w:rsidRPr="009F77A7" w:rsidRDefault="00D746A4"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w:t>
            </w:r>
          </w:p>
        </w:tc>
        <w:tc>
          <w:tcPr>
            <w:tcW w:w="1843" w:type="dxa"/>
          </w:tcPr>
          <w:p w:rsidR="00134D9E" w:rsidRPr="009F77A7" w:rsidRDefault="00D746A4"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Al-Baqarah/142</w:t>
            </w:r>
          </w:p>
        </w:tc>
        <w:tc>
          <w:tcPr>
            <w:tcW w:w="3685" w:type="dxa"/>
          </w:tcPr>
          <w:p w:rsidR="00134D9E" w:rsidRPr="009F77A7" w:rsidRDefault="0022263C" w:rsidP="0022263C">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siapa yang dikehendaki-Nya.</w:t>
            </w:r>
          </w:p>
        </w:tc>
        <w:tc>
          <w:tcPr>
            <w:tcW w:w="1134"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c>
          <w:tcPr>
            <w:tcW w:w="1083"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3</w:t>
            </w:r>
          </w:p>
        </w:tc>
        <w:tc>
          <w:tcPr>
            <w:tcW w:w="1843" w:type="dxa"/>
          </w:tcPr>
          <w:p w:rsidR="00134D9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Al-Baqarah/213</w:t>
            </w:r>
          </w:p>
        </w:tc>
        <w:tc>
          <w:tcPr>
            <w:tcW w:w="3685" w:type="dxa"/>
          </w:tcPr>
          <w:p w:rsidR="00134D9E" w:rsidRPr="009F77A7" w:rsidRDefault="0022263C" w:rsidP="004D3AE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siapa yang dikehendaki-Nya.</w:t>
            </w:r>
          </w:p>
        </w:tc>
        <w:tc>
          <w:tcPr>
            <w:tcW w:w="1134"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c>
          <w:tcPr>
            <w:tcW w:w="1083"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4</w:t>
            </w:r>
          </w:p>
        </w:tc>
        <w:tc>
          <w:tcPr>
            <w:tcW w:w="1843" w:type="dxa"/>
          </w:tcPr>
          <w:p w:rsidR="00134D9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Ali Imran/51</w:t>
            </w:r>
          </w:p>
        </w:tc>
        <w:tc>
          <w:tcPr>
            <w:tcW w:w="3685" w:type="dxa"/>
          </w:tcPr>
          <w:p w:rsidR="00134D9E" w:rsidRPr="009F77A7" w:rsidRDefault="004D3AEE" w:rsidP="004D3AE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Menyembah Allah adalah jalan yang lurus.</w:t>
            </w:r>
          </w:p>
        </w:tc>
        <w:tc>
          <w:tcPr>
            <w:tcW w:w="1134"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c>
          <w:tcPr>
            <w:tcW w:w="1083"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5</w:t>
            </w:r>
          </w:p>
        </w:tc>
        <w:tc>
          <w:tcPr>
            <w:tcW w:w="1843" w:type="dxa"/>
          </w:tcPr>
          <w:p w:rsidR="00134D9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Ali Imran/101</w:t>
            </w:r>
          </w:p>
        </w:tc>
        <w:tc>
          <w:tcPr>
            <w:tcW w:w="3685" w:type="dxa"/>
          </w:tcPr>
          <w:p w:rsidR="00134D9E" w:rsidRPr="009F77A7" w:rsidRDefault="004D3AEE" w:rsidP="008839AA">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 xml:space="preserve">Pemberian petunjuk berupa jalan yang lurus kepada siapa yang berpegang teguh dengan Allah. </w:t>
            </w:r>
            <w:r w:rsidR="008839AA" w:rsidRPr="009F77A7">
              <w:rPr>
                <w:rFonts w:asciiTheme="majorBidi" w:hAnsiTheme="majorBidi" w:cstheme="majorBidi"/>
                <w:sz w:val="24"/>
                <w:szCs w:val="24"/>
              </w:rPr>
              <w:t>s</w:t>
            </w:r>
            <w:r w:rsidRPr="009F77A7">
              <w:rPr>
                <w:rFonts w:asciiTheme="majorBidi" w:hAnsiTheme="majorBidi" w:cstheme="majorBidi"/>
                <w:sz w:val="24"/>
                <w:szCs w:val="24"/>
              </w:rPr>
              <w:t>wt.</w:t>
            </w:r>
          </w:p>
        </w:tc>
        <w:tc>
          <w:tcPr>
            <w:tcW w:w="1134"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c>
          <w:tcPr>
            <w:tcW w:w="1083"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6</w:t>
            </w:r>
          </w:p>
        </w:tc>
        <w:tc>
          <w:tcPr>
            <w:tcW w:w="1843" w:type="dxa"/>
          </w:tcPr>
          <w:p w:rsidR="00134D9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Al-Maidah/16</w:t>
            </w:r>
          </w:p>
        </w:tc>
        <w:tc>
          <w:tcPr>
            <w:tcW w:w="3685" w:type="dxa"/>
          </w:tcPr>
          <w:p w:rsidR="00134D9E" w:rsidRPr="009F77A7" w:rsidRDefault="00C557A9" w:rsidP="00C557A9">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mereka yang mengikuti Rasulullah dan Alquran.</w:t>
            </w:r>
          </w:p>
        </w:tc>
        <w:tc>
          <w:tcPr>
            <w:tcW w:w="1134"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c>
          <w:tcPr>
            <w:tcW w:w="1083"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134D9E" w:rsidRPr="009F77A7" w:rsidTr="004A0A62">
        <w:tc>
          <w:tcPr>
            <w:tcW w:w="562" w:type="dxa"/>
          </w:tcPr>
          <w:p w:rsidR="00134D9E"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lastRenderedPageBreak/>
              <w:t>7</w:t>
            </w:r>
          </w:p>
        </w:tc>
        <w:tc>
          <w:tcPr>
            <w:tcW w:w="1843" w:type="dxa"/>
          </w:tcPr>
          <w:p w:rsidR="00134D9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Al-An’am/ 39</w:t>
            </w:r>
          </w:p>
        </w:tc>
        <w:tc>
          <w:tcPr>
            <w:tcW w:w="3685" w:type="dxa"/>
          </w:tcPr>
          <w:p w:rsidR="00134D9E" w:rsidRPr="009F77A7" w:rsidRDefault="00C557A9"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akan menyesatkan dan menjadikan seseorang pada jalan yang lurus sesuai kehendak-Nya.</w:t>
            </w:r>
          </w:p>
        </w:tc>
        <w:tc>
          <w:tcPr>
            <w:tcW w:w="1134" w:type="dxa"/>
          </w:tcPr>
          <w:p w:rsidR="00134D9E"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134D9E" w:rsidRPr="009F77A7" w:rsidRDefault="00134D9E"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8</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Al-An’am/ 87</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Mereka (para Nabi) telah dipilih dan diberi petunjuk berupa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9</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Al-An’am/153</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Inilah jalan yang lurus, maka ikutilah.</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10</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Al-An’am/161</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 xml:space="preserve">Allah telah memberi petunjuk berupa jalan yang lurus, agama yang benar, agama Ibrahim yang </w:t>
            </w:r>
            <w:r w:rsidRPr="009F77A7">
              <w:rPr>
                <w:rFonts w:asciiTheme="majorBidi" w:hAnsiTheme="majorBidi" w:cstheme="majorBidi"/>
                <w:i/>
                <w:iCs/>
                <w:sz w:val="24"/>
                <w:szCs w:val="24"/>
              </w:rPr>
              <w:t>hanif.</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11</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Yunus/ 25</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siapa yang dikehendakinya.</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12</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Hud/56</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yang menguasai hamba-Nya, Dia berada di atas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13</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Al-A’raf/ 16</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Setan akan memalingkan manusia dari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14</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Al-Hijr /41</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Inilah adalah jalan yang lurus kepada-Ku.</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15</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An-Nahl /76</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Orang yang menyuruh berbuat adil berada di atas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16</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An-Nahl /121</w:t>
            </w:r>
          </w:p>
        </w:tc>
        <w:tc>
          <w:tcPr>
            <w:tcW w:w="3685" w:type="dxa"/>
          </w:tcPr>
          <w:p w:rsidR="00D746A4" w:rsidRPr="009F77A7" w:rsidRDefault="00430A6D" w:rsidP="00430A6D">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Dia (Ibrahim) bersyukur atas nikmat-Nya, lalu dipilih dan diberi petunjuk berupa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17</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Maryam /36</w:t>
            </w:r>
          </w:p>
        </w:tc>
        <w:tc>
          <w:tcPr>
            <w:tcW w:w="3685" w:type="dxa"/>
          </w:tcPr>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Menyembah Allah adalah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18</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Al-Hajj /54</w:t>
            </w:r>
          </w:p>
        </w:tc>
        <w:tc>
          <w:tcPr>
            <w:tcW w:w="3685" w:type="dxa"/>
          </w:tcPr>
          <w:p w:rsidR="00D94D27"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lah pemberi petunjuk orang yang</w:t>
            </w:r>
          </w:p>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beriman kepada jalan yang lurus.</w:t>
            </w:r>
          </w:p>
        </w:tc>
        <w:tc>
          <w:tcPr>
            <w:tcW w:w="1134"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c>
          <w:tcPr>
            <w:tcW w:w="1083"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19</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Al-Mukminun/73</w:t>
            </w:r>
          </w:p>
        </w:tc>
        <w:tc>
          <w:tcPr>
            <w:tcW w:w="3685" w:type="dxa"/>
          </w:tcPr>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Nabi Muhammad menyeru mereka kepada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20</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Nur/46</w:t>
            </w:r>
          </w:p>
        </w:tc>
        <w:tc>
          <w:tcPr>
            <w:tcW w:w="3685" w:type="dxa"/>
          </w:tcPr>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siapa yang dikehendakinya.</w:t>
            </w:r>
          </w:p>
        </w:tc>
        <w:tc>
          <w:tcPr>
            <w:tcW w:w="1134"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c>
          <w:tcPr>
            <w:tcW w:w="1083"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21</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Yasin/4</w:t>
            </w:r>
          </w:p>
        </w:tc>
        <w:tc>
          <w:tcPr>
            <w:tcW w:w="3685" w:type="dxa"/>
          </w:tcPr>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Nabi adalah dari utusan yang berada di atas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22</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Yasin/61</w:t>
            </w:r>
          </w:p>
        </w:tc>
        <w:tc>
          <w:tcPr>
            <w:tcW w:w="3685" w:type="dxa"/>
          </w:tcPr>
          <w:p w:rsidR="00D746A4" w:rsidRPr="009F77A7" w:rsidRDefault="00D94D27" w:rsidP="00D94D27">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Menyembah Allah adalah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23</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As-Shaffat/118</w:t>
            </w:r>
          </w:p>
        </w:tc>
        <w:tc>
          <w:tcPr>
            <w:tcW w:w="3685" w:type="dxa"/>
          </w:tcPr>
          <w:p w:rsidR="00D746A4" w:rsidRPr="009F77A7" w:rsidRDefault="00D94D27"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kepada keduanya (Musa dan Harun) berupa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24</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As-Syura /52</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Nabi Muhammad pemberi petunjuk menuju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25</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Az-Zukhruf/43</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Nabi berada di atas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26</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Az-Zukhruf/61</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 xml:space="preserve">Mengikuti Nabi Isa dan percaya pada hari kiamat adalah jalan yang </w:t>
            </w:r>
            <w:r w:rsidRPr="009F77A7">
              <w:rPr>
                <w:rFonts w:asciiTheme="majorBidi" w:hAnsiTheme="majorBidi" w:cstheme="majorBidi"/>
                <w:sz w:val="24"/>
                <w:szCs w:val="24"/>
              </w:rPr>
              <w:lastRenderedPageBreak/>
              <w:t>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lastRenderedPageBreak/>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lastRenderedPageBreak/>
              <w:t>27</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Az-Zukhruf/64</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Menyembah Allah adalah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28</w:t>
            </w:r>
          </w:p>
        </w:tc>
        <w:tc>
          <w:tcPr>
            <w:tcW w:w="1843" w:type="dxa"/>
          </w:tcPr>
          <w:p w:rsidR="00AE097E"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Al-Mulk/22</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Orang yang mendapat petunjuk berada di atas jalan yang lurus.</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29</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An-Nisa’/68</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orang yang mentaati-Nya dan Rasul-Nya.</w:t>
            </w:r>
          </w:p>
        </w:tc>
        <w:tc>
          <w:tcPr>
            <w:tcW w:w="1134"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c>
          <w:tcPr>
            <w:tcW w:w="1083"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30</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An-Nisa’/175</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Orang beriman dan berpegang teguh kepada Allah akan mendapat rahmat, keutamaan dan diberi petunjuk berupa jalan yang lurus.</w:t>
            </w:r>
          </w:p>
        </w:tc>
        <w:tc>
          <w:tcPr>
            <w:tcW w:w="1134"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c>
          <w:tcPr>
            <w:tcW w:w="1083"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31</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Al-Fath/2</w:t>
            </w:r>
          </w:p>
        </w:tc>
        <w:tc>
          <w:tcPr>
            <w:tcW w:w="3685" w:type="dxa"/>
          </w:tcPr>
          <w:p w:rsidR="00D746A4" w:rsidRPr="009F77A7" w:rsidRDefault="00D06D10" w:rsidP="00D06D10">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Nabi.</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r w:rsidR="00D746A4" w:rsidRPr="009F77A7" w:rsidTr="004A0A62">
        <w:tc>
          <w:tcPr>
            <w:tcW w:w="562" w:type="dxa"/>
          </w:tcPr>
          <w:p w:rsidR="00D746A4" w:rsidRPr="009F77A7" w:rsidRDefault="00D746A4" w:rsidP="00D746A4">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32</w:t>
            </w:r>
          </w:p>
        </w:tc>
        <w:tc>
          <w:tcPr>
            <w:tcW w:w="1843" w:type="dxa"/>
          </w:tcPr>
          <w:p w:rsidR="00D746A4" w:rsidRPr="009F77A7" w:rsidRDefault="00AE097E" w:rsidP="00AE09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Al-Fath/20</w:t>
            </w:r>
          </w:p>
        </w:tc>
        <w:tc>
          <w:tcPr>
            <w:tcW w:w="3685" w:type="dxa"/>
          </w:tcPr>
          <w:p w:rsidR="00D746A4" w:rsidRPr="009F77A7" w:rsidRDefault="005F1F7E" w:rsidP="005F1F7E">
            <w:pPr>
              <w:autoSpaceDE w:val="0"/>
              <w:autoSpaceDN w:val="0"/>
              <w:adjustRightInd w:val="0"/>
              <w:jc w:val="center"/>
              <w:rPr>
                <w:rFonts w:asciiTheme="majorBidi" w:hAnsiTheme="majorBidi" w:cstheme="majorBidi"/>
                <w:sz w:val="24"/>
                <w:szCs w:val="24"/>
              </w:rPr>
            </w:pPr>
            <w:r w:rsidRPr="009F77A7">
              <w:rPr>
                <w:rFonts w:asciiTheme="majorBidi" w:hAnsiTheme="majorBidi" w:cstheme="majorBidi"/>
                <w:sz w:val="24"/>
                <w:szCs w:val="24"/>
              </w:rPr>
              <w:t>Allah memberi petunjuk berupa jalan yang lurus kepada mereka yang berbaiat kepada Nabi di bawah pohon.</w:t>
            </w:r>
          </w:p>
        </w:tc>
        <w:tc>
          <w:tcPr>
            <w:tcW w:w="1134" w:type="dxa"/>
          </w:tcPr>
          <w:p w:rsidR="00D746A4" w:rsidRPr="009F77A7" w:rsidRDefault="0020406C" w:rsidP="0020406C">
            <w:pPr>
              <w:autoSpaceDE w:val="0"/>
              <w:autoSpaceDN w:val="0"/>
              <w:adjustRightInd w:val="0"/>
              <w:jc w:val="center"/>
              <w:rPr>
                <w:rFonts w:asciiTheme="majorBidi" w:hAnsiTheme="majorBidi" w:cstheme="majorBidi"/>
                <w:sz w:val="24"/>
                <w:szCs w:val="24"/>
              </w:rPr>
            </w:pPr>
            <w:r w:rsidRPr="009F77A7">
              <w:rPr>
                <w:rFonts w:asciiTheme="majorBidi" w:eastAsia="Wingdings-Regular" w:hAnsiTheme="majorBidi" w:cstheme="majorBidi"/>
                <w:sz w:val="24"/>
                <w:szCs w:val="24"/>
              </w:rPr>
              <w:t>√</w:t>
            </w:r>
          </w:p>
        </w:tc>
        <w:tc>
          <w:tcPr>
            <w:tcW w:w="1083" w:type="dxa"/>
          </w:tcPr>
          <w:p w:rsidR="00D746A4" w:rsidRPr="009F77A7" w:rsidRDefault="00D746A4" w:rsidP="0020406C">
            <w:pPr>
              <w:autoSpaceDE w:val="0"/>
              <w:autoSpaceDN w:val="0"/>
              <w:adjustRightInd w:val="0"/>
              <w:jc w:val="center"/>
              <w:rPr>
                <w:rFonts w:asciiTheme="majorBidi" w:hAnsiTheme="majorBidi" w:cstheme="majorBidi"/>
                <w:sz w:val="24"/>
                <w:szCs w:val="24"/>
              </w:rPr>
            </w:pPr>
          </w:p>
        </w:tc>
      </w:tr>
    </w:tbl>
    <w:p w:rsidR="00621FD4" w:rsidRPr="009F77A7" w:rsidRDefault="00134D9E" w:rsidP="0020012D">
      <w:pPr>
        <w:autoSpaceDE w:val="0"/>
        <w:autoSpaceDN w:val="0"/>
        <w:adjustRightInd w:val="0"/>
        <w:spacing w:after="0" w:line="240" w:lineRule="auto"/>
        <w:jc w:val="both"/>
        <w:rPr>
          <w:rFonts w:asciiTheme="majorBidi" w:hAnsiTheme="majorBidi" w:cstheme="majorBidi"/>
          <w:sz w:val="24"/>
          <w:szCs w:val="24"/>
        </w:rPr>
      </w:pPr>
      <w:r w:rsidRPr="009F77A7">
        <w:rPr>
          <w:rFonts w:asciiTheme="majorBidi" w:hAnsiTheme="majorBidi" w:cstheme="majorBidi"/>
          <w:sz w:val="24"/>
          <w:szCs w:val="24"/>
        </w:rPr>
        <w:t xml:space="preserve">  </w:t>
      </w:r>
    </w:p>
    <w:p w:rsidR="009D2C9F" w:rsidRPr="009F77A7" w:rsidRDefault="009D2C9F"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T</w:t>
      </w:r>
      <w:r w:rsidR="00A45494" w:rsidRPr="009F77A7">
        <w:rPr>
          <w:rFonts w:asciiTheme="majorBidi" w:hAnsiTheme="majorBidi" w:cstheme="majorBidi"/>
          <w:sz w:val="24"/>
          <w:szCs w:val="24"/>
        </w:rPr>
        <w:t>abel</w:t>
      </w:r>
      <w:r w:rsidR="0020012D" w:rsidRPr="009F77A7">
        <w:rPr>
          <w:rFonts w:asciiTheme="majorBidi" w:hAnsiTheme="majorBidi" w:cstheme="majorBidi"/>
          <w:sz w:val="24"/>
          <w:szCs w:val="24"/>
        </w:rPr>
        <w:t>.</w:t>
      </w:r>
      <w:r w:rsidR="00A45494" w:rsidRPr="009F77A7">
        <w:rPr>
          <w:rFonts w:asciiTheme="majorBidi" w:hAnsiTheme="majorBidi" w:cstheme="majorBidi"/>
          <w:sz w:val="24"/>
          <w:szCs w:val="24"/>
        </w:rPr>
        <w:t>1</w:t>
      </w:r>
      <w:r w:rsidRPr="009F77A7">
        <w:rPr>
          <w:rFonts w:asciiTheme="majorBidi" w:hAnsiTheme="majorBidi" w:cstheme="majorBidi"/>
          <w:sz w:val="24"/>
          <w:szCs w:val="24"/>
        </w:rPr>
        <w:t xml:space="preserve"> menjelaskan</w:t>
      </w:r>
      <w:r w:rsidR="00A45494" w:rsidRPr="009F77A7">
        <w:rPr>
          <w:rFonts w:asciiTheme="majorBidi" w:hAnsiTheme="majorBidi" w:cstheme="majorBidi"/>
          <w:sz w:val="24"/>
          <w:szCs w:val="24"/>
        </w:rPr>
        <w:t xml:space="preserve"> bahwa term </w:t>
      </w:r>
      <w:r w:rsidR="00795FB4" w:rsidRPr="009F77A7">
        <w:rPr>
          <w:rFonts w:asciiTheme="majorBidi" w:hAnsiTheme="majorBidi" w:cstheme="majorBidi"/>
          <w:i/>
          <w:iCs/>
          <w:sz w:val="24"/>
          <w:szCs w:val="24"/>
        </w:rPr>
        <w:t>as-ṣirāṭ al-mustaqīm</w:t>
      </w:r>
      <w:r w:rsidR="00A45494" w:rsidRPr="009F77A7">
        <w:rPr>
          <w:rFonts w:asciiTheme="majorBidi" w:hAnsiTheme="majorBidi" w:cstheme="majorBidi"/>
          <w:sz w:val="24"/>
          <w:szCs w:val="24"/>
        </w:rPr>
        <w:t xml:space="preserve"> tersebar di </w:t>
      </w:r>
      <w:r w:rsidR="00CB4CC1" w:rsidRPr="009F77A7">
        <w:rPr>
          <w:rFonts w:asciiTheme="majorBidi" w:hAnsiTheme="majorBidi" w:cstheme="majorBidi"/>
          <w:sz w:val="24"/>
          <w:szCs w:val="24"/>
        </w:rPr>
        <w:t>32</w:t>
      </w:r>
      <w:r w:rsidR="00A45494" w:rsidRPr="009F77A7">
        <w:rPr>
          <w:rFonts w:asciiTheme="majorBidi" w:hAnsiTheme="majorBidi" w:cstheme="majorBidi"/>
          <w:sz w:val="24"/>
          <w:szCs w:val="24"/>
        </w:rPr>
        <w:t xml:space="preserve">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dari 114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yang terdapat dalam Alquran.</w:t>
      </w:r>
      <w:r w:rsidR="001512D5" w:rsidRPr="009F77A7">
        <w:rPr>
          <w:rFonts w:asciiTheme="majorBidi" w:hAnsiTheme="majorBidi" w:cstheme="majorBidi"/>
          <w:sz w:val="24"/>
          <w:szCs w:val="24"/>
        </w:rPr>
        <w:t xml:space="preserve"> Jika diklasifikasikan </w:t>
      </w:r>
      <w:r w:rsidR="00A45494" w:rsidRPr="009F77A7">
        <w:rPr>
          <w:rFonts w:asciiTheme="majorBidi" w:hAnsiTheme="majorBidi" w:cstheme="majorBidi"/>
          <w:sz w:val="24"/>
          <w:szCs w:val="24"/>
        </w:rPr>
        <w:t xml:space="preserve">melalui pendekatan </w:t>
      </w:r>
      <w:r w:rsidR="00A45494" w:rsidRPr="009F77A7">
        <w:rPr>
          <w:rFonts w:asciiTheme="majorBidi" w:hAnsiTheme="majorBidi" w:cstheme="majorBidi"/>
          <w:i/>
          <w:iCs/>
          <w:sz w:val="24"/>
          <w:szCs w:val="24"/>
        </w:rPr>
        <w:t>makkīmadanī</w:t>
      </w:r>
      <w:r w:rsidR="0020012D" w:rsidRPr="009F77A7">
        <w:rPr>
          <w:rStyle w:val="FootnoteReference"/>
          <w:rFonts w:asciiTheme="majorBidi" w:hAnsiTheme="majorBidi" w:cstheme="majorBidi"/>
          <w:i/>
          <w:iCs/>
          <w:sz w:val="24"/>
          <w:szCs w:val="24"/>
        </w:rPr>
        <w:footnoteReference w:id="22"/>
      </w:r>
      <w:r w:rsidR="00A45494" w:rsidRPr="009F77A7">
        <w:rPr>
          <w:rFonts w:asciiTheme="majorBidi" w:hAnsiTheme="majorBidi" w:cstheme="majorBidi"/>
          <w:i/>
          <w:iCs/>
          <w:sz w:val="24"/>
          <w:szCs w:val="24"/>
        </w:rPr>
        <w:t>,</w:t>
      </w:r>
      <w:r w:rsidR="00A45494" w:rsidRPr="009F77A7">
        <w:rPr>
          <w:rFonts w:asciiTheme="majorBidi" w:hAnsiTheme="majorBidi" w:cstheme="majorBidi"/>
          <w:sz w:val="24"/>
          <w:szCs w:val="24"/>
        </w:rPr>
        <w:t xml:space="preserve"> maka</w:t>
      </w:r>
      <w:r w:rsidR="001512D5" w:rsidRPr="009F77A7">
        <w:rPr>
          <w:rFonts w:asciiTheme="majorBidi" w:hAnsiTheme="majorBidi" w:cstheme="majorBidi"/>
          <w:sz w:val="24"/>
          <w:szCs w:val="24"/>
        </w:rPr>
        <w:t xml:space="preserve"> dapat diketahui bahwa</w:t>
      </w:r>
      <w:r w:rsidR="00A45494" w:rsidRPr="009F77A7">
        <w:rPr>
          <w:rFonts w:asciiTheme="majorBidi" w:hAnsiTheme="majorBidi" w:cstheme="majorBidi"/>
          <w:sz w:val="24"/>
          <w:szCs w:val="24"/>
        </w:rPr>
        <w:t xml:space="preserve"> term </w:t>
      </w:r>
      <w:r w:rsidR="00795FB4" w:rsidRPr="009F77A7">
        <w:rPr>
          <w:rFonts w:asciiTheme="majorBidi" w:hAnsiTheme="majorBidi" w:cstheme="majorBidi"/>
          <w:i/>
          <w:iCs/>
          <w:sz w:val="24"/>
          <w:szCs w:val="24"/>
        </w:rPr>
        <w:t>as-ṣirāṭ al-mustaqīm</w:t>
      </w:r>
      <w:r w:rsidR="00A45494" w:rsidRPr="009F77A7">
        <w:rPr>
          <w:rFonts w:asciiTheme="majorBidi" w:hAnsiTheme="majorBidi" w:cstheme="majorBidi"/>
          <w:sz w:val="24"/>
          <w:szCs w:val="24"/>
        </w:rPr>
        <w:t xml:space="preserve"> lebih sering disebutkan dalam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makiyah, yaitu sebanyak 23</w:t>
      </w:r>
      <w:r w:rsidR="003E271F" w:rsidRPr="009F77A7">
        <w:rPr>
          <w:rFonts w:asciiTheme="majorBidi" w:hAnsiTheme="majorBidi" w:cstheme="majorBidi"/>
          <w:sz w:val="24"/>
          <w:szCs w:val="24"/>
        </w:rPr>
        <w:t xml:space="preserve">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Sedangkan yang terdapat dalam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madaniyah adalah berjumlah 9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w:t>
      </w:r>
      <w:r w:rsidR="003E271F" w:rsidRPr="009F77A7">
        <w:rPr>
          <w:rFonts w:asciiTheme="majorBidi" w:hAnsiTheme="majorBidi" w:cstheme="majorBidi"/>
          <w:sz w:val="24"/>
          <w:szCs w:val="24"/>
        </w:rPr>
        <w:t xml:space="preserve"> Dari kedua pembagian tersebut, </w:t>
      </w:r>
      <w:r w:rsidRPr="009F77A7">
        <w:rPr>
          <w:rFonts w:asciiTheme="majorBidi" w:hAnsiTheme="majorBidi" w:cstheme="majorBidi"/>
          <w:sz w:val="24"/>
          <w:szCs w:val="24"/>
        </w:rPr>
        <w:t>dipahami</w:t>
      </w:r>
      <w:r w:rsidR="003E271F" w:rsidRPr="009F77A7">
        <w:rPr>
          <w:rFonts w:asciiTheme="majorBidi" w:hAnsiTheme="majorBidi" w:cstheme="majorBidi"/>
          <w:sz w:val="24"/>
          <w:szCs w:val="24"/>
        </w:rPr>
        <w:t xml:space="preserve"> bahwa </w:t>
      </w:r>
      <w:r w:rsidR="00107005" w:rsidRPr="009F77A7">
        <w:rPr>
          <w:rFonts w:asciiTheme="majorBidi" w:hAnsiTheme="majorBidi" w:cstheme="majorBidi"/>
          <w:sz w:val="24"/>
          <w:szCs w:val="24"/>
        </w:rPr>
        <w:t>surah</w:t>
      </w:r>
      <w:r w:rsidR="003E271F" w:rsidRPr="009F77A7">
        <w:rPr>
          <w:rFonts w:asciiTheme="majorBidi" w:hAnsiTheme="majorBidi" w:cstheme="majorBidi"/>
          <w:sz w:val="24"/>
          <w:szCs w:val="24"/>
        </w:rPr>
        <w:t xml:space="preserve"> makiyah membahas </w:t>
      </w:r>
      <w:r w:rsidR="00A45494" w:rsidRPr="009F77A7">
        <w:rPr>
          <w:rFonts w:asciiTheme="majorBidi" w:hAnsiTheme="majorBidi" w:cstheme="majorBidi"/>
          <w:sz w:val="24"/>
          <w:szCs w:val="24"/>
        </w:rPr>
        <w:t>persoalan dasar-dasar makrifat, dasar keimanan</w:t>
      </w:r>
      <w:r w:rsidR="003E271F" w:rsidRPr="009F77A7">
        <w:rPr>
          <w:rFonts w:asciiTheme="majorBidi" w:hAnsiTheme="majorBidi" w:cstheme="majorBidi"/>
          <w:sz w:val="24"/>
          <w:szCs w:val="24"/>
        </w:rPr>
        <w:t>,</w:t>
      </w:r>
      <w:r w:rsidR="00A45494" w:rsidRPr="009F77A7">
        <w:rPr>
          <w:rFonts w:asciiTheme="majorBidi" w:hAnsiTheme="majorBidi" w:cstheme="majorBidi"/>
          <w:sz w:val="24"/>
          <w:szCs w:val="24"/>
        </w:rPr>
        <w:t xml:space="preserve"> dan dakwah Islam</w:t>
      </w:r>
      <w:r w:rsidR="003E271F" w:rsidRPr="009F77A7">
        <w:rPr>
          <w:rFonts w:asciiTheme="majorBidi" w:hAnsiTheme="majorBidi" w:cstheme="majorBidi"/>
          <w:sz w:val="24"/>
          <w:szCs w:val="24"/>
        </w:rPr>
        <w:t>,</w:t>
      </w:r>
      <w:r w:rsidR="00A45494" w:rsidRPr="009F77A7">
        <w:rPr>
          <w:rFonts w:asciiTheme="majorBidi" w:hAnsiTheme="majorBidi" w:cstheme="majorBidi"/>
          <w:sz w:val="24"/>
          <w:szCs w:val="24"/>
        </w:rPr>
        <w:t xml:space="preserve"> seperti; ajakan untuk selalu berakhlak, beristiqamah, keselamatan akidah</w:t>
      </w:r>
      <w:r w:rsidR="003E271F" w:rsidRPr="009F77A7">
        <w:rPr>
          <w:rFonts w:asciiTheme="majorBidi" w:hAnsiTheme="majorBidi" w:cstheme="majorBidi"/>
          <w:sz w:val="24"/>
          <w:szCs w:val="24"/>
        </w:rPr>
        <w:t>,</w:t>
      </w:r>
      <w:r w:rsidR="00A45494" w:rsidRPr="009F77A7">
        <w:rPr>
          <w:rFonts w:asciiTheme="majorBidi" w:hAnsiTheme="majorBidi" w:cstheme="majorBidi"/>
          <w:sz w:val="24"/>
          <w:szCs w:val="24"/>
        </w:rPr>
        <w:t xml:space="preserve"> dan bersikap tegas terhadap keyakinan yang batil.</w:t>
      </w:r>
      <w:r w:rsidR="0020012D" w:rsidRPr="009F77A7">
        <w:rPr>
          <w:rStyle w:val="FootnoteReference"/>
          <w:rFonts w:asciiTheme="majorBidi" w:hAnsiTheme="majorBidi" w:cstheme="majorBidi"/>
          <w:sz w:val="24"/>
          <w:szCs w:val="24"/>
        </w:rPr>
        <w:footnoteReference w:id="23"/>
      </w:r>
      <w:r w:rsidR="00A45494" w:rsidRPr="009F77A7">
        <w:rPr>
          <w:rFonts w:asciiTheme="majorBidi" w:hAnsiTheme="majorBidi" w:cstheme="majorBidi"/>
          <w:sz w:val="24"/>
          <w:szCs w:val="24"/>
        </w:rPr>
        <w:t xml:space="preserve"> Adapun </w:t>
      </w:r>
      <w:r w:rsidR="00107005" w:rsidRPr="009F77A7">
        <w:rPr>
          <w:rFonts w:asciiTheme="majorBidi" w:hAnsiTheme="majorBidi" w:cstheme="majorBidi"/>
          <w:sz w:val="24"/>
          <w:szCs w:val="24"/>
        </w:rPr>
        <w:t>surah</w:t>
      </w:r>
      <w:r w:rsidR="00A45494" w:rsidRPr="009F77A7">
        <w:rPr>
          <w:rFonts w:asciiTheme="majorBidi" w:hAnsiTheme="majorBidi" w:cstheme="majorBidi"/>
          <w:sz w:val="24"/>
          <w:szCs w:val="24"/>
        </w:rPr>
        <w:t xml:space="preserve"> madaniyah </w:t>
      </w:r>
      <w:r w:rsidR="003E271F" w:rsidRPr="009F77A7">
        <w:rPr>
          <w:rFonts w:asciiTheme="majorBidi" w:hAnsiTheme="majorBidi" w:cstheme="majorBidi"/>
          <w:sz w:val="24"/>
          <w:szCs w:val="24"/>
        </w:rPr>
        <w:t>membahas</w:t>
      </w:r>
      <w:r w:rsidR="00A45494" w:rsidRPr="009F77A7">
        <w:rPr>
          <w:rFonts w:asciiTheme="majorBidi" w:hAnsiTheme="majorBidi" w:cstheme="majorBidi"/>
          <w:sz w:val="24"/>
          <w:szCs w:val="24"/>
        </w:rPr>
        <w:t xml:space="preserve"> tentang rincian-rincian hukum dan penjelasan syariat Islam</w:t>
      </w:r>
      <w:r w:rsidR="003E271F" w:rsidRPr="009F77A7">
        <w:rPr>
          <w:rFonts w:asciiTheme="majorBidi" w:hAnsiTheme="majorBidi" w:cstheme="majorBidi"/>
          <w:sz w:val="24"/>
          <w:szCs w:val="24"/>
        </w:rPr>
        <w:t>,</w:t>
      </w:r>
      <w:r w:rsidR="00A45494" w:rsidRPr="009F77A7">
        <w:rPr>
          <w:rFonts w:asciiTheme="majorBidi" w:hAnsiTheme="majorBidi" w:cstheme="majorBidi"/>
          <w:sz w:val="24"/>
          <w:szCs w:val="24"/>
        </w:rPr>
        <w:t xml:space="preserve"> seperti aturan hubungan antar sesama </w:t>
      </w:r>
      <w:r w:rsidR="003E271F" w:rsidRPr="009F77A7">
        <w:rPr>
          <w:rFonts w:asciiTheme="majorBidi" w:hAnsiTheme="majorBidi" w:cstheme="majorBidi"/>
          <w:sz w:val="24"/>
          <w:szCs w:val="24"/>
        </w:rPr>
        <w:t>manusia</w:t>
      </w:r>
      <w:r w:rsidR="00A45494" w:rsidRPr="009F77A7">
        <w:rPr>
          <w:rFonts w:asciiTheme="majorBidi" w:hAnsiTheme="majorBidi" w:cstheme="majorBidi"/>
          <w:sz w:val="24"/>
          <w:szCs w:val="24"/>
        </w:rPr>
        <w:t xml:space="preserve"> di bidang keluarga, sosial, ekonomi,</w:t>
      </w:r>
      <w:r w:rsidR="00613744" w:rsidRPr="009F77A7">
        <w:rPr>
          <w:rFonts w:asciiTheme="majorBidi" w:hAnsiTheme="majorBidi" w:cstheme="majorBidi"/>
          <w:sz w:val="24"/>
          <w:szCs w:val="24"/>
        </w:rPr>
        <w:t xml:space="preserve"> dan</w:t>
      </w:r>
      <w:r w:rsidR="00A45494" w:rsidRPr="009F77A7">
        <w:rPr>
          <w:rFonts w:asciiTheme="majorBidi" w:hAnsiTheme="majorBidi" w:cstheme="majorBidi"/>
          <w:sz w:val="24"/>
          <w:szCs w:val="24"/>
        </w:rPr>
        <w:t xml:space="preserve"> politik.</w:t>
      </w:r>
      <w:r w:rsidR="0020012D" w:rsidRPr="009F77A7">
        <w:rPr>
          <w:rStyle w:val="FootnoteReference"/>
          <w:rFonts w:asciiTheme="majorBidi" w:hAnsiTheme="majorBidi" w:cstheme="majorBidi"/>
          <w:sz w:val="24"/>
          <w:szCs w:val="24"/>
        </w:rPr>
        <w:footnoteReference w:id="24"/>
      </w:r>
      <w:r w:rsidRPr="009F77A7">
        <w:rPr>
          <w:rFonts w:asciiTheme="majorBidi" w:hAnsiTheme="majorBidi" w:cstheme="majorBidi"/>
          <w:sz w:val="24"/>
          <w:szCs w:val="24"/>
        </w:rPr>
        <w:t xml:space="preserve"> </w:t>
      </w:r>
    </w:p>
    <w:p w:rsidR="00FB2979" w:rsidRDefault="00107005"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Berdasarkan klasifikasi makiyah dan madaniyah</w:t>
      </w:r>
      <w:r w:rsidR="009D2C9F" w:rsidRPr="009F77A7">
        <w:rPr>
          <w:rFonts w:asciiTheme="majorBidi" w:hAnsiTheme="majorBidi" w:cstheme="majorBidi"/>
          <w:sz w:val="24"/>
          <w:szCs w:val="24"/>
        </w:rPr>
        <w:t>,</w:t>
      </w:r>
      <w:r w:rsidRPr="009F77A7">
        <w:rPr>
          <w:rFonts w:asciiTheme="majorBidi" w:hAnsiTheme="majorBidi" w:cstheme="majorBidi"/>
          <w:sz w:val="24"/>
          <w:szCs w:val="24"/>
        </w:rPr>
        <w:t xml:space="preserve"> dapat diketahui bahwa</w:t>
      </w:r>
      <w:r w:rsidR="009D2C9F" w:rsidRPr="009F77A7">
        <w:rPr>
          <w:rFonts w:asciiTheme="majorBidi" w:hAnsiTheme="majorBidi" w:cstheme="majorBidi"/>
          <w:sz w:val="24"/>
          <w:szCs w:val="24"/>
        </w:rPr>
        <w:t xml:space="preserve"> term </w:t>
      </w:r>
      <w:r w:rsidR="009D2C9F" w:rsidRPr="009F77A7">
        <w:rPr>
          <w:rFonts w:asciiTheme="majorBidi" w:hAnsiTheme="majorBidi" w:cstheme="majorBidi"/>
          <w:i/>
          <w:iCs/>
          <w:sz w:val="24"/>
          <w:szCs w:val="24"/>
        </w:rPr>
        <w:t xml:space="preserve">as-ṣirāṭ al-mustaqīm </w:t>
      </w:r>
      <w:r w:rsidR="009D2C9F" w:rsidRPr="009F77A7">
        <w:rPr>
          <w:rFonts w:asciiTheme="majorBidi" w:hAnsiTheme="majorBidi" w:cstheme="majorBidi"/>
          <w:sz w:val="24"/>
          <w:szCs w:val="24"/>
        </w:rPr>
        <w:t>dalam Alquran membahas permasalahan akidah, akhlak</w:t>
      </w:r>
      <w:r w:rsidRPr="009F77A7">
        <w:rPr>
          <w:rFonts w:asciiTheme="majorBidi" w:hAnsiTheme="majorBidi" w:cstheme="majorBidi"/>
          <w:sz w:val="24"/>
          <w:szCs w:val="24"/>
        </w:rPr>
        <w:t>,</w:t>
      </w:r>
      <w:r w:rsidR="009D2C9F" w:rsidRPr="009F77A7">
        <w:rPr>
          <w:rFonts w:asciiTheme="majorBidi" w:hAnsiTheme="majorBidi" w:cstheme="majorBidi"/>
          <w:sz w:val="24"/>
          <w:szCs w:val="24"/>
        </w:rPr>
        <w:t xml:space="preserve"> dan keyakinan-keyakinan</w:t>
      </w:r>
      <w:r w:rsidR="0069543F" w:rsidRPr="009F77A7">
        <w:rPr>
          <w:rFonts w:asciiTheme="majorBidi" w:hAnsiTheme="majorBidi" w:cstheme="majorBidi"/>
          <w:sz w:val="24"/>
          <w:szCs w:val="24"/>
        </w:rPr>
        <w:t xml:space="preserve"> yang mendasar bagi umat Islam.</w:t>
      </w:r>
      <w:r w:rsidR="00F90215" w:rsidRPr="009F77A7">
        <w:rPr>
          <w:rFonts w:asciiTheme="majorBidi" w:hAnsiTheme="majorBidi" w:cstheme="majorBidi"/>
          <w:sz w:val="24"/>
          <w:szCs w:val="24"/>
        </w:rPr>
        <w:t xml:space="preserve"> </w:t>
      </w:r>
      <w:r w:rsidR="003E271F" w:rsidRPr="009F77A7">
        <w:rPr>
          <w:rFonts w:asciiTheme="majorBidi" w:hAnsiTheme="majorBidi" w:cstheme="majorBidi"/>
          <w:sz w:val="24"/>
          <w:szCs w:val="24"/>
        </w:rPr>
        <w:t xml:space="preserve">Oleh karenanya, jalan yang lurus bukan berkaitan erat dengan persoalan hukum dan syariat yang banyak dibicarakan oleh </w:t>
      </w:r>
      <w:r w:rsidRPr="009F77A7">
        <w:rPr>
          <w:rFonts w:asciiTheme="majorBidi" w:hAnsiTheme="majorBidi" w:cstheme="majorBidi"/>
          <w:sz w:val="24"/>
          <w:szCs w:val="24"/>
        </w:rPr>
        <w:t>surah</w:t>
      </w:r>
      <w:r w:rsidR="003E271F" w:rsidRPr="009F77A7">
        <w:rPr>
          <w:rFonts w:asciiTheme="majorBidi" w:hAnsiTheme="majorBidi" w:cstheme="majorBidi"/>
          <w:sz w:val="24"/>
          <w:szCs w:val="24"/>
        </w:rPr>
        <w:t xml:space="preserve"> yang tergolong madani</w:t>
      </w:r>
      <w:r w:rsidR="009D2C9F" w:rsidRPr="009F77A7">
        <w:rPr>
          <w:rFonts w:asciiTheme="majorBidi" w:hAnsiTheme="majorBidi" w:cstheme="majorBidi"/>
          <w:sz w:val="24"/>
          <w:szCs w:val="24"/>
        </w:rPr>
        <w:t xml:space="preserve">yah dengan merujuk kembali penyebutan term </w:t>
      </w:r>
      <w:r w:rsidR="009D2C9F" w:rsidRPr="009F77A7">
        <w:rPr>
          <w:rFonts w:asciiTheme="majorBidi" w:hAnsiTheme="majorBidi" w:cstheme="majorBidi"/>
          <w:i/>
          <w:iCs/>
          <w:sz w:val="24"/>
          <w:szCs w:val="24"/>
        </w:rPr>
        <w:t xml:space="preserve">as-ṣirāṭ al-mustaqīm </w:t>
      </w:r>
      <w:r w:rsidR="009D2C9F" w:rsidRPr="009F77A7">
        <w:rPr>
          <w:rFonts w:asciiTheme="majorBidi" w:hAnsiTheme="majorBidi" w:cstheme="majorBidi"/>
          <w:sz w:val="24"/>
          <w:szCs w:val="24"/>
        </w:rPr>
        <w:t>lebih banyak disebutkan secara makiyah, yaitu 23 berbanding 9</w:t>
      </w:r>
      <w:r w:rsidR="000E5FA7" w:rsidRPr="009F77A7">
        <w:rPr>
          <w:rFonts w:asciiTheme="majorBidi" w:hAnsiTheme="majorBidi" w:cstheme="majorBidi"/>
          <w:sz w:val="24"/>
          <w:szCs w:val="24"/>
        </w:rPr>
        <w:t>.</w:t>
      </w:r>
      <w:r w:rsidR="009D2C9F" w:rsidRPr="009F77A7">
        <w:rPr>
          <w:rFonts w:asciiTheme="majorBidi" w:hAnsiTheme="majorBidi" w:cstheme="majorBidi"/>
          <w:sz w:val="24"/>
          <w:szCs w:val="24"/>
        </w:rPr>
        <w:t xml:space="preserve"> </w:t>
      </w:r>
      <w:r w:rsidR="0043361F" w:rsidRPr="009F77A7">
        <w:rPr>
          <w:rFonts w:asciiTheme="majorBidi" w:hAnsiTheme="majorBidi" w:cstheme="majorBidi"/>
          <w:sz w:val="24"/>
          <w:szCs w:val="24"/>
        </w:rPr>
        <w:t xml:space="preserve">Dari 23 </w:t>
      </w:r>
      <w:r w:rsidRPr="009F77A7">
        <w:rPr>
          <w:rFonts w:asciiTheme="majorBidi" w:hAnsiTheme="majorBidi" w:cstheme="majorBidi"/>
          <w:sz w:val="24"/>
          <w:szCs w:val="24"/>
        </w:rPr>
        <w:t>surah</w:t>
      </w:r>
      <w:r w:rsidR="0043361F" w:rsidRPr="009F77A7">
        <w:rPr>
          <w:rFonts w:asciiTheme="majorBidi" w:hAnsiTheme="majorBidi" w:cstheme="majorBidi"/>
          <w:sz w:val="24"/>
          <w:szCs w:val="24"/>
        </w:rPr>
        <w:t xml:space="preserve"> yang menyebutkan term </w:t>
      </w:r>
      <w:r w:rsidR="0043361F" w:rsidRPr="009F77A7">
        <w:rPr>
          <w:rFonts w:asciiTheme="majorBidi" w:hAnsiTheme="majorBidi" w:cstheme="majorBidi"/>
          <w:i/>
          <w:iCs/>
          <w:sz w:val="24"/>
          <w:szCs w:val="24"/>
        </w:rPr>
        <w:t xml:space="preserve">as-ṣirāṭ al-mustaqīm </w:t>
      </w:r>
      <w:r w:rsidR="0043361F" w:rsidRPr="009F77A7">
        <w:rPr>
          <w:rFonts w:asciiTheme="majorBidi" w:hAnsiTheme="majorBidi" w:cstheme="majorBidi"/>
          <w:sz w:val="24"/>
          <w:szCs w:val="24"/>
        </w:rPr>
        <w:t xml:space="preserve">dari sisi makiyah, ditemukan 3 kandungan </w:t>
      </w:r>
      <w:r w:rsidR="0043361F" w:rsidRPr="009F77A7">
        <w:rPr>
          <w:rFonts w:asciiTheme="majorBidi" w:hAnsiTheme="majorBidi" w:cstheme="majorBidi"/>
          <w:sz w:val="24"/>
          <w:szCs w:val="24"/>
        </w:rPr>
        <w:lastRenderedPageBreak/>
        <w:t xml:space="preserve">universal, yaitu </w:t>
      </w:r>
      <w:r w:rsidR="0043361F" w:rsidRPr="009F77A7">
        <w:rPr>
          <w:rFonts w:asciiTheme="majorBidi" w:hAnsiTheme="majorBidi" w:cstheme="majorBidi"/>
          <w:i/>
          <w:iCs/>
          <w:sz w:val="24"/>
          <w:szCs w:val="24"/>
        </w:rPr>
        <w:t>p</w:t>
      </w:r>
      <w:r w:rsidR="004D0E01" w:rsidRPr="009F77A7">
        <w:rPr>
          <w:rFonts w:asciiTheme="majorBidi" w:hAnsiTheme="majorBidi" w:cstheme="majorBidi"/>
          <w:i/>
          <w:iCs/>
          <w:sz w:val="24"/>
          <w:szCs w:val="24"/>
        </w:rPr>
        <w:t xml:space="preserve">ertama, </w:t>
      </w:r>
      <w:r w:rsidR="004D0E01" w:rsidRPr="009F77A7">
        <w:rPr>
          <w:rFonts w:asciiTheme="majorBidi" w:hAnsiTheme="majorBidi" w:cstheme="majorBidi"/>
          <w:sz w:val="24"/>
          <w:szCs w:val="24"/>
        </w:rPr>
        <w:t xml:space="preserve">jalan yang lurus </w:t>
      </w:r>
      <w:r w:rsidR="0043361F" w:rsidRPr="009F77A7">
        <w:rPr>
          <w:rFonts w:asciiTheme="majorBidi" w:hAnsiTheme="majorBidi" w:cstheme="majorBidi"/>
          <w:sz w:val="24"/>
          <w:szCs w:val="24"/>
        </w:rPr>
        <w:t xml:space="preserve">disebutkan dalam lingkup </w:t>
      </w:r>
      <w:r w:rsidR="004D0E01" w:rsidRPr="009F77A7">
        <w:rPr>
          <w:rFonts w:asciiTheme="majorBidi" w:hAnsiTheme="majorBidi" w:cstheme="majorBidi"/>
          <w:sz w:val="24"/>
          <w:szCs w:val="24"/>
        </w:rPr>
        <w:t>petunjuk</w:t>
      </w:r>
      <w:r w:rsidR="0043361F" w:rsidRPr="009F77A7">
        <w:rPr>
          <w:rFonts w:asciiTheme="majorBidi" w:hAnsiTheme="majorBidi" w:cstheme="majorBidi"/>
          <w:sz w:val="24"/>
          <w:szCs w:val="24"/>
        </w:rPr>
        <w:t xml:space="preserve"> yang terbagi menjadi 3 jenis redaksi;</w:t>
      </w:r>
      <w:r w:rsidR="004D0E01" w:rsidRPr="009F77A7">
        <w:rPr>
          <w:rFonts w:asciiTheme="majorBidi" w:hAnsiTheme="majorBidi" w:cstheme="majorBidi"/>
          <w:sz w:val="24"/>
          <w:szCs w:val="24"/>
        </w:rPr>
        <w:t xml:space="preserve"> redaksi pertama adalah petunjuk yang diberikan atas kehendak Allah</w:t>
      </w:r>
      <w:r w:rsidR="0043361F" w:rsidRPr="009F77A7">
        <w:rPr>
          <w:rFonts w:asciiTheme="majorBidi" w:hAnsiTheme="majorBidi" w:cstheme="majorBidi"/>
          <w:sz w:val="24"/>
          <w:szCs w:val="24"/>
        </w:rPr>
        <w:t>,</w:t>
      </w:r>
      <w:r w:rsidR="004D0E01" w:rsidRPr="009F77A7">
        <w:rPr>
          <w:rFonts w:asciiTheme="majorBidi" w:hAnsiTheme="majorBidi" w:cstheme="majorBidi"/>
          <w:sz w:val="24"/>
          <w:szCs w:val="24"/>
        </w:rPr>
        <w:t xml:space="preserve"> </w:t>
      </w:r>
      <w:r w:rsidR="0043361F" w:rsidRPr="009F77A7">
        <w:rPr>
          <w:rFonts w:asciiTheme="majorBidi" w:hAnsiTheme="majorBidi" w:cstheme="majorBidi"/>
          <w:sz w:val="24"/>
          <w:szCs w:val="24"/>
        </w:rPr>
        <w:t>r</w:t>
      </w:r>
      <w:r w:rsidR="004D0E01" w:rsidRPr="009F77A7">
        <w:rPr>
          <w:rFonts w:asciiTheme="majorBidi" w:hAnsiTheme="majorBidi" w:cstheme="majorBidi"/>
          <w:sz w:val="24"/>
          <w:szCs w:val="24"/>
        </w:rPr>
        <w:t>edaksi kedua adalah petunjuk yang diberikan dengan membutuhkan syarat, dan redaksi terakhir menyebutkan bahwa Allah adalah pemberi hidaya</w:t>
      </w:r>
      <w:r w:rsidR="00C802B1" w:rsidRPr="009F77A7">
        <w:rPr>
          <w:rFonts w:asciiTheme="majorBidi" w:hAnsiTheme="majorBidi" w:cstheme="majorBidi"/>
          <w:sz w:val="24"/>
          <w:szCs w:val="24"/>
        </w:rPr>
        <w:t>h bagi orang-orang yang beriman.</w:t>
      </w:r>
      <w:r w:rsidR="00F5573F" w:rsidRPr="009F77A7">
        <w:rPr>
          <w:rStyle w:val="FootnoteReference"/>
          <w:rFonts w:asciiTheme="majorBidi" w:hAnsiTheme="majorBidi" w:cstheme="majorBidi"/>
          <w:sz w:val="24"/>
          <w:szCs w:val="24"/>
        </w:rPr>
        <w:footnoteReference w:id="25"/>
      </w:r>
      <w:r w:rsidR="00D36A05" w:rsidRPr="009F77A7">
        <w:rPr>
          <w:rFonts w:asciiTheme="majorBidi" w:hAnsiTheme="majorBidi" w:cstheme="majorBidi"/>
          <w:sz w:val="24"/>
          <w:szCs w:val="24"/>
        </w:rPr>
        <w:t xml:space="preserve"> </w:t>
      </w:r>
    </w:p>
    <w:p w:rsidR="00FD097C" w:rsidRPr="00FB2979" w:rsidRDefault="004D0E01" w:rsidP="00B74429">
      <w:pPr>
        <w:autoSpaceDE w:val="0"/>
        <w:autoSpaceDN w:val="0"/>
        <w:adjustRightInd w:val="0"/>
        <w:spacing w:after="120" w:line="360" w:lineRule="auto"/>
        <w:ind w:left="426" w:firstLine="283"/>
        <w:jc w:val="both"/>
        <w:rPr>
          <w:rFonts w:asciiTheme="majorBidi" w:hAnsiTheme="majorBidi" w:cstheme="majorBidi"/>
          <w:i/>
          <w:iCs/>
          <w:sz w:val="24"/>
          <w:szCs w:val="24"/>
        </w:rPr>
      </w:pPr>
      <w:r w:rsidRPr="009F77A7">
        <w:rPr>
          <w:rFonts w:asciiTheme="majorBidi" w:hAnsiTheme="majorBidi" w:cstheme="majorBidi"/>
          <w:sz w:val="24"/>
          <w:szCs w:val="24"/>
        </w:rPr>
        <w:t>Penyebutan jalan yang lurus sebagai petunjuk adalah yang terbanyak disebutkan dalam Alquran, dibandingka</w:t>
      </w:r>
      <w:r w:rsidR="0043361F" w:rsidRPr="009F77A7">
        <w:rPr>
          <w:rFonts w:asciiTheme="majorBidi" w:hAnsiTheme="majorBidi" w:cstheme="majorBidi"/>
          <w:sz w:val="24"/>
          <w:szCs w:val="24"/>
        </w:rPr>
        <w:t xml:space="preserve">n dengan kandungan yang lainnya, sehingga </w:t>
      </w:r>
      <w:r w:rsidRPr="009F77A7">
        <w:rPr>
          <w:rFonts w:asciiTheme="majorBidi" w:hAnsiTheme="majorBidi" w:cstheme="majorBidi"/>
          <w:sz w:val="24"/>
          <w:szCs w:val="24"/>
        </w:rPr>
        <w:t xml:space="preserve">menunjukan </w:t>
      </w:r>
      <w:r w:rsidR="0043361F" w:rsidRPr="009F77A7">
        <w:rPr>
          <w:rFonts w:asciiTheme="majorBidi" w:hAnsiTheme="majorBidi" w:cstheme="majorBidi"/>
          <w:sz w:val="24"/>
          <w:szCs w:val="24"/>
        </w:rPr>
        <w:t xml:space="preserve">term </w:t>
      </w:r>
      <w:r w:rsidR="0043361F"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adalah petunjuk utama dan terpenting bagi manusia untuk meniti jalan kesempurnaan.</w:t>
      </w:r>
      <w:r w:rsidR="00F5573F" w:rsidRPr="009F77A7">
        <w:rPr>
          <w:rStyle w:val="FootnoteReference"/>
          <w:rFonts w:asciiTheme="majorBidi" w:hAnsiTheme="majorBidi" w:cstheme="majorBidi"/>
          <w:sz w:val="24"/>
          <w:szCs w:val="24"/>
        </w:rPr>
        <w:footnoteReference w:id="26"/>
      </w:r>
      <w:r w:rsidR="00FB2979">
        <w:rPr>
          <w:rFonts w:asciiTheme="majorBidi" w:hAnsiTheme="majorBidi" w:cstheme="majorBidi"/>
          <w:i/>
          <w:iCs/>
          <w:sz w:val="24"/>
          <w:szCs w:val="24"/>
        </w:rPr>
        <w:t xml:space="preserve"> </w:t>
      </w:r>
      <w:r w:rsidRPr="009F77A7">
        <w:rPr>
          <w:rFonts w:asciiTheme="majorBidi" w:hAnsiTheme="majorBidi" w:cstheme="majorBidi"/>
          <w:sz w:val="24"/>
          <w:szCs w:val="24"/>
        </w:rPr>
        <w:t xml:space="preserve">Kandungan yang </w:t>
      </w:r>
      <w:r w:rsidRPr="009F77A7">
        <w:rPr>
          <w:rFonts w:asciiTheme="majorBidi" w:hAnsiTheme="majorBidi" w:cstheme="majorBidi"/>
          <w:i/>
          <w:iCs/>
          <w:sz w:val="24"/>
          <w:szCs w:val="24"/>
        </w:rPr>
        <w:t xml:space="preserve">kedua, </w:t>
      </w:r>
      <w:r w:rsidRPr="009F77A7">
        <w:rPr>
          <w:rFonts w:asciiTheme="majorBidi" w:hAnsiTheme="majorBidi" w:cstheme="majorBidi"/>
          <w:sz w:val="24"/>
          <w:szCs w:val="24"/>
        </w:rPr>
        <w:t>jalan yang lurus bermakna ibadah menyembah Allah</w:t>
      </w:r>
      <w:r w:rsidR="00F00248" w:rsidRPr="009F77A7">
        <w:rPr>
          <w:rFonts w:asciiTheme="majorBidi" w:hAnsiTheme="majorBidi" w:cstheme="majorBidi"/>
          <w:sz w:val="24"/>
          <w:szCs w:val="24"/>
        </w:rPr>
        <w:t xml:space="preserve"> </w:t>
      </w:r>
      <w:r w:rsidR="008839AA" w:rsidRPr="009F77A7">
        <w:rPr>
          <w:rFonts w:asciiTheme="majorBidi" w:hAnsiTheme="majorBidi" w:cstheme="majorBidi"/>
          <w:sz w:val="24"/>
          <w:szCs w:val="24"/>
        </w:rPr>
        <w:t>swt</w:t>
      </w:r>
      <w:r w:rsidRPr="009F77A7">
        <w:rPr>
          <w:rFonts w:asciiTheme="majorBidi" w:hAnsiTheme="majorBidi" w:cstheme="majorBidi"/>
          <w:sz w:val="24"/>
          <w:szCs w:val="24"/>
        </w:rPr>
        <w:t xml:space="preserve">. Sedangkan kandungan yang </w:t>
      </w:r>
      <w:r w:rsidRPr="009F77A7">
        <w:rPr>
          <w:rFonts w:asciiTheme="majorBidi" w:hAnsiTheme="majorBidi" w:cstheme="majorBidi"/>
          <w:i/>
          <w:iCs/>
          <w:sz w:val="24"/>
          <w:szCs w:val="24"/>
        </w:rPr>
        <w:t xml:space="preserve">ketiga, </w:t>
      </w:r>
      <w:r w:rsidRPr="009F77A7">
        <w:rPr>
          <w:rFonts w:asciiTheme="majorBidi" w:hAnsiTheme="majorBidi" w:cstheme="majorBidi"/>
          <w:sz w:val="24"/>
          <w:szCs w:val="24"/>
        </w:rPr>
        <w:t xml:space="preserve">jalan yang lurus disebutkan dalam makna </w:t>
      </w:r>
      <w:r w:rsidRPr="009F77A7">
        <w:rPr>
          <w:rFonts w:asciiTheme="majorBidi" w:hAnsiTheme="majorBidi" w:cstheme="majorBidi"/>
          <w:i/>
          <w:iCs/>
          <w:sz w:val="24"/>
          <w:szCs w:val="24"/>
        </w:rPr>
        <w:t xml:space="preserve">maqām </w:t>
      </w:r>
      <w:r w:rsidRPr="009F77A7">
        <w:rPr>
          <w:rFonts w:asciiTheme="majorBidi" w:hAnsiTheme="majorBidi" w:cstheme="majorBidi"/>
          <w:sz w:val="24"/>
          <w:szCs w:val="24"/>
        </w:rPr>
        <w:t>atau kedudukan oleh para pemberi petunjuk menuju kesempurnaan. Pemberi petunjuk dalam hal ini, dapat d</w:t>
      </w:r>
      <w:r w:rsidR="00F00248" w:rsidRPr="009F77A7">
        <w:rPr>
          <w:rFonts w:asciiTheme="majorBidi" w:hAnsiTheme="majorBidi" w:cstheme="majorBidi"/>
          <w:sz w:val="24"/>
          <w:szCs w:val="24"/>
        </w:rPr>
        <w:t>inisbahkan kepada</w:t>
      </w:r>
      <w:r w:rsidRPr="009F77A7">
        <w:rPr>
          <w:rFonts w:asciiTheme="majorBidi" w:hAnsiTheme="majorBidi" w:cstheme="majorBidi"/>
          <w:sz w:val="24"/>
          <w:szCs w:val="24"/>
        </w:rPr>
        <w:t xml:space="preserve"> Allah. </w:t>
      </w:r>
      <w:r w:rsidR="008839AA" w:rsidRPr="009F77A7">
        <w:rPr>
          <w:rFonts w:asciiTheme="majorBidi" w:hAnsiTheme="majorBidi" w:cstheme="majorBidi"/>
          <w:sz w:val="24"/>
          <w:szCs w:val="24"/>
        </w:rPr>
        <w:t>s</w:t>
      </w:r>
      <w:r w:rsidRPr="009F77A7">
        <w:rPr>
          <w:rFonts w:asciiTheme="majorBidi" w:hAnsiTheme="majorBidi" w:cstheme="majorBidi"/>
          <w:sz w:val="24"/>
          <w:szCs w:val="24"/>
        </w:rPr>
        <w:t>wt, Nabi, Rasul</w:t>
      </w:r>
      <w:r w:rsidR="00F00248" w:rsidRPr="009F77A7">
        <w:rPr>
          <w:rFonts w:asciiTheme="majorBidi" w:hAnsiTheme="majorBidi" w:cstheme="majorBidi"/>
          <w:sz w:val="24"/>
          <w:szCs w:val="24"/>
        </w:rPr>
        <w:t>,</w:t>
      </w:r>
      <w:r w:rsidRPr="009F77A7">
        <w:rPr>
          <w:rFonts w:asciiTheme="majorBidi" w:hAnsiTheme="majorBidi" w:cstheme="majorBidi"/>
          <w:sz w:val="24"/>
          <w:szCs w:val="24"/>
        </w:rPr>
        <w:t xml:space="preserve"> dan orang-orang yang diberikan tugas khusus oleh Sang Maha Pemberi Petunjuk. Walaupun pada realitasnya tugas memberi petunjuk hanya diperuntukkan bagi Allah saja, hanya Dia yang dapat memberikan petunjuk, panduan, bimbingan kepada hamba-hamba- Nya, sekalipun Nabi Muhammad tidak mampu memberikan petunjuk secara sempurna.</w:t>
      </w:r>
      <w:r w:rsidRPr="009F77A7">
        <w:rPr>
          <w:rStyle w:val="FootnoteReference"/>
          <w:rFonts w:asciiTheme="majorBidi" w:hAnsiTheme="majorBidi" w:cstheme="majorBidi"/>
          <w:sz w:val="24"/>
          <w:szCs w:val="24"/>
        </w:rPr>
        <w:footnoteReference w:id="27"/>
      </w:r>
      <w:r w:rsidRPr="009F77A7">
        <w:rPr>
          <w:rFonts w:asciiTheme="majorBidi" w:hAnsiTheme="majorBidi" w:cstheme="majorBidi"/>
          <w:sz w:val="24"/>
          <w:szCs w:val="24"/>
        </w:rPr>
        <w:t xml:space="preserve"> </w:t>
      </w:r>
    </w:p>
    <w:p w:rsidR="00FD097C" w:rsidRPr="009F77A7" w:rsidRDefault="00AE7111" w:rsidP="00B74429">
      <w:pPr>
        <w:autoSpaceDE w:val="0"/>
        <w:autoSpaceDN w:val="0"/>
        <w:adjustRightInd w:val="0"/>
        <w:spacing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Dari ragam penjelasan diatas</w:t>
      </w:r>
      <w:r w:rsidR="004D0E01" w:rsidRPr="009F77A7">
        <w:rPr>
          <w:rFonts w:asciiTheme="majorBidi" w:hAnsiTheme="majorBidi" w:cstheme="majorBidi"/>
          <w:sz w:val="24"/>
          <w:szCs w:val="24"/>
        </w:rPr>
        <w:t>,</w:t>
      </w:r>
      <w:r w:rsidRPr="009F77A7">
        <w:rPr>
          <w:rFonts w:asciiTheme="majorBidi" w:hAnsiTheme="majorBidi" w:cstheme="majorBidi"/>
          <w:sz w:val="24"/>
          <w:szCs w:val="24"/>
        </w:rPr>
        <w:t xml:space="preserve"> dapat disimpulkan bahwa term </w:t>
      </w:r>
      <w:r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dalam Alquran</w:t>
      </w:r>
      <w:r w:rsidR="004D0E01" w:rsidRPr="009F77A7">
        <w:rPr>
          <w:rFonts w:asciiTheme="majorBidi" w:hAnsiTheme="majorBidi" w:cstheme="majorBidi"/>
          <w:sz w:val="24"/>
          <w:szCs w:val="24"/>
        </w:rPr>
        <w:t xml:space="preserve"> </w:t>
      </w:r>
      <w:r w:rsidRPr="009F77A7">
        <w:rPr>
          <w:rFonts w:asciiTheme="majorBidi" w:hAnsiTheme="majorBidi" w:cstheme="majorBidi"/>
          <w:sz w:val="24"/>
          <w:szCs w:val="24"/>
        </w:rPr>
        <w:t>membahas keyakinan dasar umat Muslim tanpa</w:t>
      </w:r>
      <w:r w:rsidR="004D0E01" w:rsidRPr="009F77A7">
        <w:rPr>
          <w:rFonts w:asciiTheme="majorBidi" w:hAnsiTheme="majorBidi" w:cstheme="majorBidi"/>
          <w:sz w:val="24"/>
          <w:szCs w:val="24"/>
        </w:rPr>
        <w:t xml:space="preserve"> mengabaikan sisi hukum dan </w:t>
      </w:r>
      <w:r w:rsidR="00FD097C" w:rsidRPr="009F77A7">
        <w:rPr>
          <w:rFonts w:asciiTheme="majorBidi" w:hAnsiTheme="majorBidi" w:cstheme="majorBidi"/>
          <w:sz w:val="24"/>
          <w:szCs w:val="24"/>
        </w:rPr>
        <w:t>syariatnya</w:t>
      </w:r>
      <w:r w:rsidR="00B14A51" w:rsidRPr="009F77A7">
        <w:rPr>
          <w:rFonts w:asciiTheme="majorBidi" w:hAnsiTheme="majorBidi" w:cstheme="majorBidi"/>
          <w:sz w:val="24"/>
          <w:szCs w:val="24"/>
        </w:rPr>
        <w:t xml:space="preserve"> melalui sebuah</w:t>
      </w:r>
      <w:r w:rsidR="004D0E01" w:rsidRPr="009F77A7">
        <w:rPr>
          <w:rFonts w:asciiTheme="majorBidi" w:hAnsiTheme="majorBidi" w:cstheme="majorBidi"/>
          <w:sz w:val="24"/>
          <w:szCs w:val="24"/>
        </w:rPr>
        <w:t xml:space="preserve"> petunjuk</w:t>
      </w:r>
      <w:r w:rsidR="00FD097C" w:rsidRPr="009F77A7">
        <w:rPr>
          <w:rFonts w:asciiTheme="majorBidi" w:hAnsiTheme="majorBidi" w:cstheme="majorBidi"/>
          <w:sz w:val="24"/>
          <w:szCs w:val="24"/>
        </w:rPr>
        <w:t xml:space="preserve"> hanya di</w:t>
      </w:r>
      <w:r w:rsidR="00B14A51" w:rsidRPr="009F77A7">
        <w:rPr>
          <w:rFonts w:asciiTheme="majorBidi" w:hAnsiTheme="majorBidi" w:cstheme="majorBidi"/>
          <w:sz w:val="24"/>
          <w:szCs w:val="24"/>
        </w:rPr>
        <w:t>berikan</w:t>
      </w:r>
      <w:r w:rsidR="00FD097C" w:rsidRPr="009F77A7">
        <w:rPr>
          <w:rFonts w:asciiTheme="majorBidi" w:hAnsiTheme="majorBidi" w:cstheme="majorBidi"/>
          <w:sz w:val="24"/>
          <w:szCs w:val="24"/>
        </w:rPr>
        <w:t xml:space="preserve"> oleh Allah semata.</w:t>
      </w:r>
      <w:r w:rsidR="00B14A51" w:rsidRPr="009F77A7">
        <w:rPr>
          <w:rFonts w:asciiTheme="majorBidi" w:hAnsiTheme="majorBidi" w:cstheme="majorBidi"/>
          <w:sz w:val="24"/>
          <w:szCs w:val="24"/>
        </w:rPr>
        <w:t xml:space="preserve"> </w:t>
      </w:r>
      <w:r w:rsidR="00B14A51" w:rsidRPr="009F77A7">
        <w:rPr>
          <w:rFonts w:asciiTheme="majorBidi" w:hAnsiTheme="majorBidi" w:cstheme="majorBidi"/>
          <w:i/>
          <w:iCs/>
          <w:sz w:val="24"/>
          <w:szCs w:val="24"/>
        </w:rPr>
        <w:t>As-ṣirāṭ al-mustaqīm</w:t>
      </w:r>
      <w:r w:rsidR="00B14A51" w:rsidRPr="009F77A7">
        <w:rPr>
          <w:rFonts w:asciiTheme="majorBidi" w:hAnsiTheme="majorBidi" w:cstheme="majorBidi"/>
          <w:sz w:val="24"/>
          <w:szCs w:val="24"/>
        </w:rPr>
        <w:t xml:space="preserve"> sebagai petunjuk akan meningkatkan kualitas dan derajat eksistensi manusia untuk mendekatkan diri kepada Sang Pemberi Petunjuk dan menghindari segala larangan-Nya.</w:t>
      </w:r>
      <w:r w:rsidR="00FD097C" w:rsidRPr="009F77A7">
        <w:rPr>
          <w:rStyle w:val="FootnoteReference"/>
          <w:rFonts w:asciiTheme="majorBidi" w:hAnsiTheme="majorBidi" w:cstheme="majorBidi"/>
          <w:sz w:val="24"/>
          <w:szCs w:val="24"/>
        </w:rPr>
        <w:footnoteReference w:id="28"/>
      </w:r>
      <w:r w:rsidR="00B14A51" w:rsidRPr="009F77A7">
        <w:rPr>
          <w:rFonts w:asciiTheme="majorBidi" w:hAnsiTheme="majorBidi" w:cstheme="majorBidi"/>
          <w:sz w:val="24"/>
          <w:szCs w:val="24"/>
        </w:rPr>
        <w:t xml:space="preserve"> Dengan demikian, dapat diketahui bahwa term </w:t>
      </w:r>
      <w:r w:rsidR="00B14A51" w:rsidRPr="009F77A7">
        <w:rPr>
          <w:rFonts w:asciiTheme="majorBidi" w:hAnsiTheme="majorBidi" w:cstheme="majorBidi"/>
          <w:i/>
          <w:iCs/>
          <w:sz w:val="24"/>
          <w:szCs w:val="24"/>
        </w:rPr>
        <w:t xml:space="preserve">as-ṣirāṭ al-mustaqīm </w:t>
      </w:r>
      <w:r w:rsidR="00B14A51" w:rsidRPr="009F77A7">
        <w:rPr>
          <w:rFonts w:asciiTheme="majorBidi" w:hAnsiTheme="majorBidi" w:cstheme="majorBidi"/>
          <w:sz w:val="24"/>
          <w:szCs w:val="24"/>
        </w:rPr>
        <w:t>dalam Alquran merupakan sebuah petunjuk bagi manusia untuk m</w:t>
      </w:r>
      <w:r w:rsidR="008B57C1" w:rsidRPr="009F77A7">
        <w:rPr>
          <w:rFonts w:asciiTheme="majorBidi" w:hAnsiTheme="majorBidi" w:cstheme="majorBidi"/>
          <w:sz w:val="24"/>
          <w:szCs w:val="24"/>
        </w:rPr>
        <w:t>eningkatkan derajat eksistensin</w:t>
      </w:r>
      <w:r w:rsidR="00B14A51" w:rsidRPr="009F77A7">
        <w:rPr>
          <w:rFonts w:asciiTheme="majorBidi" w:hAnsiTheme="majorBidi" w:cstheme="majorBidi"/>
          <w:sz w:val="24"/>
          <w:szCs w:val="24"/>
        </w:rPr>
        <w:t>ya sebagai bentu</w:t>
      </w:r>
      <w:r w:rsidR="008B57C1" w:rsidRPr="009F77A7">
        <w:rPr>
          <w:rFonts w:asciiTheme="majorBidi" w:hAnsiTheme="majorBidi" w:cstheme="majorBidi"/>
          <w:sz w:val="24"/>
          <w:szCs w:val="24"/>
        </w:rPr>
        <w:t>k ketakwaan</w:t>
      </w:r>
      <w:r w:rsidR="00B14A51" w:rsidRPr="009F77A7">
        <w:rPr>
          <w:rFonts w:asciiTheme="majorBidi" w:hAnsiTheme="majorBidi" w:cstheme="majorBidi"/>
          <w:sz w:val="24"/>
          <w:szCs w:val="24"/>
        </w:rPr>
        <w:t xml:space="preserve"> kepada Allah </w:t>
      </w:r>
      <w:r w:rsidR="008839AA" w:rsidRPr="009F77A7">
        <w:rPr>
          <w:rFonts w:asciiTheme="majorBidi" w:hAnsiTheme="majorBidi" w:cstheme="majorBidi"/>
          <w:sz w:val="24"/>
          <w:szCs w:val="24"/>
        </w:rPr>
        <w:t>s</w:t>
      </w:r>
      <w:r w:rsidR="00B14A51" w:rsidRPr="009F77A7">
        <w:rPr>
          <w:rFonts w:asciiTheme="majorBidi" w:hAnsiTheme="majorBidi" w:cstheme="majorBidi"/>
          <w:sz w:val="24"/>
          <w:szCs w:val="24"/>
        </w:rPr>
        <w:t xml:space="preserve">wt. Demi mempertegas penjelasan </w:t>
      </w:r>
      <w:r w:rsidR="00B14A51" w:rsidRPr="009F77A7">
        <w:rPr>
          <w:rFonts w:asciiTheme="majorBidi" w:hAnsiTheme="majorBidi" w:cstheme="majorBidi"/>
          <w:i/>
          <w:iCs/>
          <w:sz w:val="24"/>
          <w:szCs w:val="24"/>
        </w:rPr>
        <w:t>as-ṣirāṭ al-mustaqīm</w:t>
      </w:r>
      <w:r w:rsidR="00B14A51" w:rsidRPr="009F77A7">
        <w:rPr>
          <w:rFonts w:asciiTheme="majorBidi" w:hAnsiTheme="majorBidi" w:cstheme="majorBidi"/>
          <w:sz w:val="24"/>
          <w:szCs w:val="24"/>
        </w:rPr>
        <w:t xml:space="preserve"> dalam Alquran, penulis akan menjelaskan diskursus </w:t>
      </w:r>
      <w:r w:rsidR="00B14A51" w:rsidRPr="009F77A7">
        <w:rPr>
          <w:rFonts w:asciiTheme="majorBidi" w:hAnsiTheme="majorBidi" w:cstheme="majorBidi"/>
          <w:i/>
          <w:iCs/>
          <w:sz w:val="24"/>
          <w:szCs w:val="24"/>
        </w:rPr>
        <w:t>as-ṣirāṭ al-mustaqīm</w:t>
      </w:r>
      <w:r w:rsidR="00B14A51" w:rsidRPr="009F77A7">
        <w:rPr>
          <w:rFonts w:asciiTheme="majorBidi" w:hAnsiTheme="majorBidi" w:cstheme="majorBidi"/>
          <w:sz w:val="24"/>
          <w:szCs w:val="24"/>
        </w:rPr>
        <w:t xml:space="preserve"> pada pembahasa</w:t>
      </w:r>
      <w:r w:rsidR="00666E9A" w:rsidRPr="009F77A7">
        <w:rPr>
          <w:rFonts w:asciiTheme="majorBidi" w:hAnsiTheme="majorBidi" w:cstheme="majorBidi"/>
          <w:sz w:val="24"/>
          <w:szCs w:val="24"/>
        </w:rPr>
        <w:t>n</w:t>
      </w:r>
      <w:r w:rsidR="00B14A51" w:rsidRPr="009F77A7">
        <w:rPr>
          <w:rFonts w:asciiTheme="majorBidi" w:hAnsiTheme="majorBidi" w:cstheme="majorBidi"/>
          <w:sz w:val="24"/>
          <w:szCs w:val="24"/>
        </w:rPr>
        <w:t xml:space="preserve"> selanjutnya.</w:t>
      </w:r>
    </w:p>
    <w:p w:rsidR="00252C9D" w:rsidRPr="00514E87" w:rsidRDefault="00252C9D" w:rsidP="00B74429">
      <w:pPr>
        <w:tabs>
          <w:tab w:val="left" w:pos="709"/>
          <w:tab w:val="left" w:pos="851"/>
          <w:tab w:val="left" w:pos="1134"/>
          <w:tab w:val="left" w:pos="1276"/>
        </w:tabs>
        <w:autoSpaceDE w:val="0"/>
        <w:autoSpaceDN w:val="0"/>
        <w:adjustRightInd w:val="0"/>
        <w:spacing w:after="120" w:line="360" w:lineRule="auto"/>
        <w:ind w:firstLine="426"/>
        <w:jc w:val="both"/>
        <w:rPr>
          <w:rFonts w:asciiTheme="majorBidi" w:hAnsiTheme="majorBidi" w:cstheme="majorBidi"/>
          <w:b/>
          <w:bCs/>
          <w:sz w:val="24"/>
          <w:szCs w:val="24"/>
        </w:rPr>
      </w:pPr>
      <w:r w:rsidRPr="00514E87">
        <w:rPr>
          <w:rFonts w:asciiTheme="majorBidi" w:hAnsiTheme="majorBidi" w:cstheme="majorBidi"/>
          <w:b/>
          <w:bCs/>
          <w:sz w:val="24"/>
          <w:szCs w:val="24"/>
        </w:rPr>
        <w:t>Diskursus Jalan yang Lurus</w:t>
      </w:r>
      <w:r w:rsidR="00CD0C22" w:rsidRPr="00514E87">
        <w:rPr>
          <w:rFonts w:asciiTheme="majorBidi" w:hAnsiTheme="majorBidi" w:cstheme="majorBidi"/>
          <w:b/>
          <w:bCs/>
          <w:sz w:val="24"/>
          <w:szCs w:val="24"/>
        </w:rPr>
        <w:t xml:space="preserve"> </w:t>
      </w:r>
    </w:p>
    <w:p w:rsidR="00DB74F6" w:rsidRPr="009F77A7" w:rsidRDefault="0033680D"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lastRenderedPageBreak/>
        <w:t>Secara diskursus</w:t>
      </w:r>
      <w:r w:rsidR="005F73E0" w:rsidRPr="009F77A7">
        <w:rPr>
          <w:rFonts w:asciiTheme="majorBidi" w:hAnsiTheme="majorBidi" w:cstheme="majorBidi"/>
          <w:sz w:val="24"/>
          <w:szCs w:val="24"/>
        </w:rPr>
        <w:t>,</w:t>
      </w:r>
      <w:r w:rsidRPr="009F77A7">
        <w:rPr>
          <w:rFonts w:asciiTheme="majorBidi" w:hAnsiTheme="majorBidi" w:cstheme="majorBidi"/>
          <w:sz w:val="24"/>
          <w:szCs w:val="24"/>
        </w:rPr>
        <w:t xml:space="preserve"> terdapat beberapa pandangan para mufasir klasik dan kontemporer yang mengkaji dan menelaah istilah jalan yang lurus</w:t>
      </w:r>
      <w:r w:rsidR="005F73E0" w:rsidRPr="009F77A7">
        <w:rPr>
          <w:rFonts w:asciiTheme="majorBidi" w:hAnsiTheme="majorBidi" w:cstheme="majorBidi"/>
          <w:sz w:val="24"/>
          <w:szCs w:val="24"/>
        </w:rPr>
        <w:t xml:space="preserve"> dalam Alquran</w:t>
      </w:r>
      <w:r w:rsidRPr="009F77A7">
        <w:rPr>
          <w:rFonts w:asciiTheme="majorBidi" w:hAnsiTheme="majorBidi" w:cstheme="majorBidi"/>
          <w:sz w:val="24"/>
          <w:szCs w:val="24"/>
        </w:rPr>
        <w:t>.</w:t>
      </w:r>
      <w:r w:rsidRPr="009F77A7">
        <w:rPr>
          <w:rStyle w:val="FootnoteReference"/>
          <w:rFonts w:asciiTheme="majorBidi" w:hAnsiTheme="majorBidi" w:cstheme="majorBidi"/>
          <w:sz w:val="24"/>
          <w:szCs w:val="24"/>
        </w:rPr>
        <w:footnoteReference w:id="29"/>
      </w:r>
      <w:r w:rsidRPr="009F77A7">
        <w:rPr>
          <w:rFonts w:asciiTheme="majorBidi" w:hAnsiTheme="majorBidi" w:cstheme="majorBidi"/>
          <w:sz w:val="24"/>
          <w:szCs w:val="24"/>
        </w:rPr>
        <w:t xml:space="preserve"> Pandangan para mufasir dapat ditelusuri melalui kitab-kitab tafsir </w:t>
      </w:r>
      <w:r w:rsidR="008B57C1" w:rsidRPr="009F77A7">
        <w:rPr>
          <w:rFonts w:asciiTheme="majorBidi" w:hAnsiTheme="majorBidi" w:cstheme="majorBidi"/>
          <w:sz w:val="24"/>
          <w:szCs w:val="24"/>
        </w:rPr>
        <w:t>dalam</w:t>
      </w:r>
      <w:r w:rsidRPr="009F77A7">
        <w:rPr>
          <w:rFonts w:asciiTheme="majorBidi" w:hAnsiTheme="majorBidi" w:cstheme="majorBidi"/>
          <w:sz w:val="24"/>
          <w:szCs w:val="24"/>
        </w:rPr>
        <w:t xml:space="preserve"> memahami dan menafsrikan seluruh kata </w:t>
      </w:r>
      <w:r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w:t>
      </w:r>
      <w:r w:rsidR="00DB74F6" w:rsidRPr="009F77A7">
        <w:rPr>
          <w:rFonts w:asciiTheme="majorBidi" w:hAnsiTheme="majorBidi" w:cstheme="majorBidi"/>
          <w:sz w:val="24"/>
          <w:szCs w:val="24"/>
        </w:rPr>
        <w:t xml:space="preserve">yang tersebar di berbagai </w:t>
      </w:r>
      <w:r w:rsidR="00107005" w:rsidRPr="009F77A7">
        <w:rPr>
          <w:rFonts w:asciiTheme="majorBidi" w:hAnsiTheme="majorBidi" w:cstheme="majorBidi"/>
          <w:sz w:val="24"/>
          <w:szCs w:val="24"/>
        </w:rPr>
        <w:t>surah</w:t>
      </w:r>
      <w:r w:rsidR="00DB74F6" w:rsidRPr="009F77A7">
        <w:rPr>
          <w:rFonts w:asciiTheme="majorBidi" w:hAnsiTheme="majorBidi" w:cstheme="majorBidi"/>
          <w:sz w:val="24"/>
          <w:szCs w:val="24"/>
        </w:rPr>
        <w:t xml:space="preserve"> dan ayat </w:t>
      </w:r>
      <w:r w:rsidRPr="009F77A7">
        <w:rPr>
          <w:rFonts w:asciiTheme="majorBidi" w:hAnsiTheme="majorBidi" w:cstheme="majorBidi"/>
          <w:sz w:val="24"/>
          <w:szCs w:val="24"/>
        </w:rPr>
        <w:t>Alquran</w:t>
      </w:r>
      <w:r w:rsidR="00160322" w:rsidRPr="009F77A7">
        <w:rPr>
          <w:rFonts w:asciiTheme="majorBidi" w:hAnsiTheme="majorBidi" w:cstheme="majorBidi"/>
          <w:sz w:val="24"/>
          <w:szCs w:val="24"/>
        </w:rPr>
        <w:t>, seperti</w:t>
      </w:r>
      <w:r w:rsidR="00DB74F6" w:rsidRPr="009F77A7">
        <w:rPr>
          <w:rFonts w:asciiTheme="majorBidi" w:hAnsiTheme="majorBidi" w:cstheme="majorBidi"/>
          <w:sz w:val="24"/>
          <w:szCs w:val="24"/>
        </w:rPr>
        <w:t>, Abū Ja’far bin Jarīr</w:t>
      </w:r>
      <w:r w:rsidR="00160322" w:rsidRPr="009F77A7">
        <w:rPr>
          <w:rFonts w:asciiTheme="majorBidi" w:hAnsiTheme="majorBidi" w:cstheme="majorBidi"/>
          <w:sz w:val="24"/>
          <w:szCs w:val="24"/>
        </w:rPr>
        <w:t xml:space="preserve"> dalam kitabnya berjudul </w:t>
      </w:r>
      <w:r w:rsidR="00160322" w:rsidRPr="009F77A7">
        <w:rPr>
          <w:rFonts w:asciiTheme="majorBidi" w:hAnsiTheme="majorBidi" w:cstheme="majorBidi"/>
          <w:i/>
          <w:iCs/>
          <w:sz w:val="24"/>
          <w:szCs w:val="24"/>
        </w:rPr>
        <w:t>at-Ṭabarī</w:t>
      </w:r>
      <w:r w:rsidR="00DB74F6" w:rsidRPr="009F77A7">
        <w:rPr>
          <w:rFonts w:asciiTheme="majorBidi" w:hAnsiTheme="majorBidi" w:cstheme="majorBidi"/>
          <w:sz w:val="24"/>
          <w:szCs w:val="24"/>
        </w:rPr>
        <w:t xml:space="preserve"> menjelaskan </w:t>
      </w:r>
      <w:r w:rsidR="00160322" w:rsidRPr="009F77A7">
        <w:rPr>
          <w:rFonts w:asciiTheme="majorBidi" w:hAnsiTheme="majorBidi" w:cstheme="majorBidi"/>
          <w:sz w:val="24"/>
          <w:szCs w:val="24"/>
        </w:rPr>
        <w:t xml:space="preserve">para ahli tafsir telah sepakat memahami istilah </w:t>
      </w:r>
      <w:r w:rsidR="00160322" w:rsidRPr="009F77A7">
        <w:rPr>
          <w:rFonts w:asciiTheme="majorBidi" w:hAnsiTheme="majorBidi" w:cstheme="majorBidi"/>
          <w:i/>
          <w:iCs/>
          <w:sz w:val="24"/>
          <w:szCs w:val="24"/>
        </w:rPr>
        <w:t>as-ṣirāṭ</w:t>
      </w:r>
      <w:r w:rsidR="00160322" w:rsidRPr="009F77A7">
        <w:rPr>
          <w:rFonts w:asciiTheme="majorBidi" w:hAnsiTheme="majorBidi" w:cstheme="majorBidi"/>
          <w:sz w:val="24"/>
          <w:szCs w:val="24"/>
        </w:rPr>
        <w:t xml:space="preserve"> </w:t>
      </w:r>
      <w:r w:rsidR="00160322" w:rsidRPr="009F77A7">
        <w:rPr>
          <w:rFonts w:asciiTheme="majorBidi" w:hAnsiTheme="majorBidi" w:cstheme="majorBidi"/>
          <w:i/>
          <w:iCs/>
          <w:sz w:val="24"/>
          <w:szCs w:val="24"/>
        </w:rPr>
        <w:t xml:space="preserve">al-mustaqīm </w:t>
      </w:r>
      <w:r w:rsidR="00160322" w:rsidRPr="009F77A7">
        <w:rPr>
          <w:rFonts w:asciiTheme="majorBidi" w:hAnsiTheme="majorBidi" w:cstheme="majorBidi"/>
          <w:sz w:val="24"/>
          <w:szCs w:val="24"/>
        </w:rPr>
        <w:t>sebagai jalan yang lurus tanpa berkelok-kelok</w:t>
      </w:r>
      <w:r w:rsidR="00001082" w:rsidRPr="009F77A7">
        <w:rPr>
          <w:rFonts w:asciiTheme="majorBidi" w:hAnsiTheme="majorBidi" w:cstheme="majorBidi"/>
          <w:sz w:val="24"/>
          <w:szCs w:val="24"/>
        </w:rPr>
        <w:t xml:space="preserve"> yang ditegaskan melalui pendekatan riwayat</w:t>
      </w:r>
      <w:r w:rsidR="008B57C1" w:rsidRPr="009F77A7">
        <w:rPr>
          <w:rFonts w:asciiTheme="majorBidi" w:hAnsiTheme="majorBidi" w:cstheme="majorBidi"/>
          <w:sz w:val="24"/>
          <w:szCs w:val="24"/>
        </w:rPr>
        <w:t>,</w:t>
      </w:r>
      <w:r w:rsidR="00001082" w:rsidRPr="009F77A7">
        <w:rPr>
          <w:rFonts w:asciiTheme="majorBidi" w:hAnsiTheme="majorBidi" w:cstheme="majorBidi"/>
          <w:sz w:val="24"/>
          <w:szCs w:val="24"/>
        </w:rPr>
        <w:t xml:space="preserve"> ialah Alquran, Islam, </w:t>
      </w:r>
      <w:r w:rsidR="00001082" w:rsidRPr="009F77A7">
        <w:rPr>
          <w:rFonts w:asciiTheme="majorBidi" w:hAnsiTheme="majorBidi" w:cstheme="majorBidi"/>
          <w:i/>
          <w:iCs/>
          <w:sz w:val="24"/>
          <w:szCs w:val="24"/>
        </w:rPr>
        <w:t>at-tariq,</w:t>
      </w:r>
      <w:r w:rsidR="00001082" w:rsidRPr="009F77A7">
        <w:rPr>
          <w:rFonts w:asciiTheme="majorBidi" w:hAnsiTheme="majorBidi" w:cstheme="majorBidi"/>
          <w:sz w:val="24"/>
          <w:szCs w:val="24"/>
        </w:rPr>
        <w:t xml:space="preserve"> dan Nabi Muhammad beserta 2 sahabatnya, Abu bakar dan Umar bin Khattab</w:t>
      </w:r>
      <w:r w:rsidR="00DB74F6" w:rsidRPr="009F77A7">
        <w:rPr>
          <w:rFonts w:asciiTheme="majorBidi" w:hAnsiTheme="majorBidi" w:cstheme="majorBidi"/>
          <w:sz w:val="24"/>
          <w:szCs w:val="24"/>
        </w:rPr>
        <w:t>.</w:t>
      </w:r>
      <w:r w:rsidR="00DB74F6" w:rsidRPr="009F77A7">
        <w:rPr>
          <w:rStyle w:val="FootnoteReference"/>
          <w:rFonts w:asciiTheme="majorBidi" w:hAnsiTheme="majorBidi" w:cstheme="majorBidi"/>
          <w:sz w:val="24"/>
          <w:szCs w:val="24"/>
        </w:rPr>
        <w:footnoteReference w:id="30"/>
      </w:r>
      <w:r w:rsidR="00DB74F6" w:rsidRPr="009F77A7">
        <w:rPr>
          <w:rFonts w:asciiTheme="majorBidi" w:hAnsiTheme="majorBidi" w:cstheme="majorBidi"/>
          <w:sz w:val="24"/>
          <w:szCs w:val="24"/>
        </w:rPr>
        <w:t xml:space="preserve"> </w:t>
      </w:r>
      <w:r w:rsidR="005F73E0" w:rsidRPr="009F77A7">
        <w:rPr>
          <w:rFonts w:asciiTheme="majorBidi" w:hAnsiTheme="majorBidi" w:cstheme="majorBidi"/>
          <w:sz w:val="24"/>
          <w:szCs w:val="24"/>
        </w:rPr>
        <w:t>Adapun ‘Abdul Ali al-Huwaizī</w:t>
      </w:r>
      <w:r w:rsidR="005F73E0" w:rsidRPr="009F77A7">
        <w:rPr>
          <w:rFonts w:asciiTheme="majorBidi" w:hAnsiTheme="majorBidi" w:cstheme="majorBidi"/>
          <w:i/>
          <w:iCs/>
          <w:sz w:val="24"/>
          <w:szCs w:val="24"/>
        </w:rPr>
        <w:t xml:space="preserve"> </w:t>
      </w:r>
      <w:r w:rsidR="005F73E0" w:rsidRPr="009F77A7">
        <w:rPr>
          <w:rFonts w:asciiTheme="majorBidi" w:hAnsiTheme="majorBidi" w:cstheme="majorBidi"/>
          <w:sz w:val="24"/>
          <w:szCs w:val="24"/>
        </w:rPr>
        <w:t xml:space="preserve">dalam </w:t>
      </w:r>
      <w:r w:rsidR="00DB74F6" w:rsidRPr="009F77A7">
        <w:rPr>
          <w:rFonts w:asciiTheme="majorBidi" w:hAnsiTheme="majorBidi" w:cstheme="majorBidi"/>
          <w:i/>
          <w:iCs/>
          <w:sz w:val="24"/>
          <w:szCs w:val="24"/>
        </w:rPr>
        <w:t>Nūr al-Thaqalain</w:t>
      </w:r>
      <w:r w:rsidR="00DB74F6" w:rsidRPr="009F77A7">
        <w:rPr>
          <w:rFonts w:asciiTheme="majorBidi" w:hAnsiTheme="majorBidi" w:cstheme="majorBidi"/>
          <w:sz w:val="24"/>
          <w:szCs w:val="24"/>
        </w:rPr>
        <w:t xml:space="preserve"> menafsirkan</w:t>
      </w:r>
      <w:r w:rsidR="005F73E0" w:rsidRPr="009F77A7">
        <w:rPr>
          <w:rFonts w:asciiTheme="majorBidi" w:hAnsiTheme="majorBidi" w:cstheme="majorBidi"/>
          <w:sz w:val="24"/>
          <w:szCs w:val="24"/>
        </w:rPr>
        <w:t xml:space="preserve"> istilah </w:t>
      </w:r>
      <w:r w:rsidR="005F73E0" w:rsidRPr="009F77A7">
        <w:rPr>
          <w:rFonts w:asciiTheme="majorBidi" w:hAnsiTheme="majorBidi" w:cstheme="majorBidi"/>
          <w:i/>
          <w:iCs/>
          <w:sz w:val="24"/>
          <w:szCs w:val="24"/>
        </w:rPr>
        <w:t>as-ṣirāṭ</w:t>
      </w:r>
      <w:r w:rsidR="005F73E0" w:rsidRPr="009F77A7">
        <w:rPr>
          <w:rFonts w:asciiTheme="majorBidi" w:hAnsiTheme="majorBidi" w:cstheme="majorBidi"/>
          <w:sz w:val="24"/>
          <w:szCs w:val="24"/>
        </w:rPr>
        <w:t xml:space="preserve"> </w:t>
      </w:r>
      <w:r w:rsidR="005F73E0" w:rsidRPr="009F77A7">
        <w:rPr>
          <w:rFonts w:asciiTheme="majorBidi" w:hAnsiTheme="majorBidi" w:cstheme="majorBidi"/>
          <w:i/>
          <w:iCs/>
          <w:sz w:val="24"/>
          <w:szCs w:val="24"/>
        </w:rPr>
        <w:t>al-mustaqīm</w:t>
      </w:r>
      <w:r w:rsidR="00DB74F6" w:rsidRPr="009F77A7">
        <w:rPr>
          <w:rFonts w:asciiTheme="majorBidi" w:hAnsiTheme="majorBidi" w:cstheme="majorBidi"/>
          <w:sz w:val="24"/>
          <w:szCs w:val="24"/>
        </w:rPr>
        <w:t xml:space="preserve"> melalui riwayat ahlulba</w:t>
      </w:r>
      <w:r w:rsidR="005F73E0" w:rsidRPr="009F77A7">
        <w:rPr>
          <w:rFonts w:asciiTheme="majorBidi" w:hAnsiTheme="majorBidi" w:cstheme="majorBidi"/>
          <w:sz w:val="24"/>
          <w:szCs w:val="24"/>
        </w:rPr>
        <w:t>i</w:t>
      </w:r>
      <w:r w:rsidR="00DB74F6" w:rsidRPr="009F77A7">
        <w:rPr>
          <w:rFonts w:asciiTheme="majorBidi" w:hAnsiTheme="majorBidi" w:cstheme="majorBidi"/>
          <w:sz w:val="24"/>
          <w:szCs w:val="24"/>
        </w:rPr>
        <w:t>t, bahwa jalan yang lurus adalah Imam Ali, Ahlulbait Nabi</w:t>
      </w:r>
      <w:r w:rsidR="005F73E0" w:rsidRPr="009F77A7">
        <w:rPr>
          <w:rFonts w:asciiTheme="majorBidi" w:hAnsiTheme="majorBidi" w:cstheme="majorBidi"/>
          <w:sz w:val="24"/>
          <w:szCs w:val="24"/>
        </w:rPr>
        <w:t>,</w:t>
      </w:r>
      <w:r w:rsidR="00DB74F6" w:rsidRPr="009F77A7">
        <w:rPr>
          <w:rFonts w:asciiTheme="majorBidi" w:hAnsiTheme="majorBidi" w:cstheme="majorBidi"/>
          <w:sz w:val="24"/>
          <w:szCs w:val="24"/>
        </w:rPr>
        <w:t xml:space="preserve"> dan dua jalan (</w:t>
      </w:r>
      <w:r w:rsidR="00DB74F6" w:rsidRPr="009F77A7">
        <w:rPr>
          <w:rFonts w:asciiTheme="majorBidi" w:hAnsiTheme="majorBidi" w:cstheme="majorBidi"/>
          <w:i/>
          <w:iCs/>
          <w:sz w:val="24"/>
          <w:szCs w:val="24"/>
        </w:rPr>
        <w:t>sirāṭ</w:t>
      </w:r>
      <w:r w:rsidR="00DB74F6" w:rsidRPr="009F77A7">
        <w:rPr>
          <w:rFonts w:asciiTheme="majorBidi" w:hAnsiTheme="majorBidi" w:cstheme="majorBidi"/>
          <w:sz w:val="24"/>
          <w:szCs w:val="24"/>
        </w:rPr>
        <w:t xml:space="preserve">); di dunia dan di akhirat, adapun jalan di dunia adalah </w:t>
      </w:r>
      <w:r w:rsidR="005F73E0" w:rsidRPr="009F77A7">
        <w:rPr>
          <w:rFonts w:asciiTheme="majorBidi" w:hAnsiTheme="majorBidi" w:cstheme="majorBidi"/>
          <w:sz w:val="24"/>
          <w:szCs w:val="24"/>
        </w:rPr>
        <w:t>I</w:t>
      </w:r>
      <w:r w:rsidR="00DB74F6" w:rsidRPr="009F77A7">
        <w:rPr>
          <w:rFonts w:asciiTheme="majorBidi" w:hAnsiTheme="majorBidi" w:cstheme="majorBidi"/>
          <w:sz w:val="24"/>
          <w:szCs w:val="24"/>
        </w:rPr>
        <w:t>mam yang harus ditaati, barang siapa yang mengenalnya di dunia maka akan mendapat petunjuk ketika melewati jembatan yang terdapat di akhirat, adapun yang tidak mengenalnya maka akan tergelincir menuju neraka.</w:t>
      </w:r>
      <w:r w:rsidR="005F73E0" w:rsidRPr="009F77A7">
        <w:rPr>
          <w:rStyle w:val="FootnoteReference"/>
          <w:rFonts w:asciiTheme="majorBidi" w:hAnsiTheme="majorBidi" w:cstheme="majorBidi"/>
          <w:sz w:val="24"/>
          <w:szCs w:val="24"/>
        </w:rPr>
        <w:footnoteReference w:id="31"/>
      </w:r>
      <w:r w:rsidR="00DB74F6" w:rsidRPr="009F77A7">
        <w:rPr>
          <w:rFonts w:asciiTheme="majorBidi" w:hAnsiTheme="majorBidi" w:cstheme="majorBidi"/>
          <w:sz w:val="24"/>
          <w:szCs w:val="24"/>
        </w:rPr>
        <w:t xml:space="preserve"> </w:t>
      </w:r>
    </w:p>
    <w:p w:rsidR="00341356" w:rsidRDefault="00882E70"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Perbedaan penafsiran antara ‘Abdul Ali al-Huwaizī dan  Abū Ja’far bin Jarīr didasari oleh perbedaan sumber tafsir, antara riwayat Ahlulsunnah dan Ahlulbait. Dalam menyikapi perbedaan tersebut,</w:t>
      </w:r>
      <w:r w:rsidR="00751C5E" w:rsidRPr="009F77A7">
        <w:rPr>
          <w:rFonts w:asciiTheme="majorBidi" w:hAnsiTheme="majorBidi" w:cstheme="majorBidi"/>
          <w:sz w:val="24"/>
          <w:szCs w:val="24"/>
        </w:rPr>
        <w:t xml:space="preserve"> Fakhr</w:t>
      </w:r>
      <w:r w:rsidRPr="009F77A7">
        <w:rPr>
          <w:rFonts w:asciiTheme="majorBidi" w:hAnsiTheme="majorBidi" w:cstheme="majorBidi"/>
          <w:sz w:val="24"/>
          <w:szCs w:val="24"/>
        </w:rPr>
        <w:t xml:space="preserve"> ar-Rāzī dalam magnum opusnya,</w:t>
      </w:r>
      <w:r w:rsidR="00751C5E" w:rsidRPr="009F77A7">
        <w:rPr>
          <w:rFonts w:asciiTheme="majorBidi" w:hAnsiTheme="majorBidi" w:cstheme="majorBidi"/>
          <w:sz w:val="24"/>
          <w:szCs w:val="24"/>
        </w:rPr>
        <w:t xml:space="preserve"> </w:t>
      </w:r>
      <w:r w:rsidR="00751C5E" w:rsidRPr="009F77A7">
        <w:rPr>
          <w:rFonts w:asciiTheme="majorBidi" w:hAnsiTheme="majorBidi" w:cstheme="majorBidi"/>
          <w:i/>
          <w:iCs/>
          <w:sz w:val="24"/>
          <w:szCs w:val="24"/>
        </w:rPr>
        <w:t>Mafātīh al-Ghaib</w:t>
      </w:r>
      <w:r w:rsidR="00751C5E" w:rsidRPr="009F77A7">
        <w:rPr>
          <w:rFonts w:asciiTheme="majorBidi" w:hAnsiTheme="majorBidi" w:cstheme="majorBidi"/>
          <w:sz w:val="24"/>
          <w:szCs w:val="24"/>
        </w:rPr>
        <w:t xml:space="preserve"> me</w:t>
      </w:r>
      <w:r w:rsidR="00D407AB" w:rsidRPr="009F77A7">
        <w:rPr>
          <w:rFonts w:asciiTheme="majorBidi" w:hAnsiTheme="majorBidi" w:cstheme="majorBidi"/>
          <w:sz w:val="24"/>
          <w:szCs w:val="24"/>
        </w:rPr>
        <w:t>maknai kembali</w:t>
      </w:r>
      <w:r w:rsidR="00751C5E" w:rsidRPr="009F77A7">
        <w:rPr>
          <w:rFonts w:asciiTheme="majorBidi" w:hAnsiTheme="majorBidi" w:cstheme="majorBidi"/>
          <w:sz w:val="24"/>
          <w:szCs w:val="24"/>
        </w:rPr>
        <w:t xml:space="preserve"> term jalan yan</w:t>
      </w:r>
      <w:r w:rsidR="00994D03" w:rsidRPr="009F77A7">
        <w:rPr>
          <w:rFonts w:asciiTheme="majorBidi" w:hAnsiTheme="majorBidi" w:cstheme="majorBidi"/>
          <w:sz w:val="24"/>
          <w:szCs w:val="24"/>
        </w:rPr>
        <w:t>g lurus melalui QS. al-An’am(6):153 adalah mukmin yang meminta kepada</w:t>
      </w:r>
      <w:r w:rsidR="00994D03" w:rsidRPr="009F77A7">
        <w:rPr>
          <w:rFonts w:asciiTheme="majorBidi" w:hAnsiTheme="majorBidi" w:cstheme="majorBidi"/>
          <w:i/>
          <w:iCs/>
          <w:sz w:val="24"/>
          <w:szCs w:val="24"/>
        </w:rPr>
        <w:t xml:space="preserve"> </w:t>
      </w:r>
      <w:r w:rsidR="00994D03" w:rsidRPr="009F77A7">
        <w:rPr>
          <w:rFonts w:asciiTheme="majorBidi" w:hAnsiTheme="majorBidi" w:cstheme="majorBidi"/>
          <w:sz w:val="24"/>
          <w:szCs w:val="24"/>
        </w:rPr>
        <w:t>Allah untuk ditunjukkan jalan lurus, sehingga ia berada  dalam posisi</w:t>
      </w:r>
      <w:r w:rsidR="00994D03" w:rsidRPr="009F77A7">
        <w:rPr>
          <w:rFonts w:asciiTheme="majorBidi" w:hAnsiTheme="majorBidi" w:cstheme="majorBidi"/>
          <w:i/>
          <w:iCs/>
          <w:sz w:val="24"/>
          <w:szCs w:val="24"/>
        </w:rPr>
        <w:t xml:space="preserve"> </w:t>
      </w:r>
      <w:r w:rsidR="00994D03" w:rsidRPr="009F77A7">
        <w:rPr>
          <w:rFonts w:asciiTheme="majorBidi" w:hAnsiTheme="majorBidi" w:cstheme="majorBidi"/>
          <w:sz w:val="24"/>
          <w:szCs w:val="24"/>
        </w:rPr>
        <w:t>tengah (</w:t>
      </w:r>
      <w:r w:rsidR="00994D03" w:rsidRPr="009F77A7">
        <w:rPr>
          <w:rFonts w:asciiTheme="majorBidi" w:hAnsiTheme="majorBidi" w:cstheme="majorBidi"/>
          <w:i/>
          <w:iCs/>
          <w:sz w:val="24"/>
          <w:szCs w:val="24"/>
        </w:rPr>
        <w:t>al-wasṭ</w:t>
      </w:r>
      <w:r w:rsidR="00994D03" w:rsidRPr="009F77A7">
        <w:rPr>
          <w:rFonts w:asciiTheme="majorBidi" w:hAnsiTheme="majorBidi" w:cstheme="majorBidi"/>
          <w:sz w:val="24"/>
          <w:szCs w:val="24"/>
        </w:rPr>
        <w:t>) antara dua sisi ekstrim dalam seluruh akhlak dan</w:t>
      </w:r>
      <w:r w:rsidR="00994D03" w:rsidRPr="009F77A7">
        <w:rPr>
          <w:rFonts w:asciiTheme="majorBidi" w:hAnsiTheme="majorBidi" w:cstheme="majorBidi"/>
          <w:i/>
          <w:iCs/>
          <w:sz w:val="24"/>
          <w:szCs w:val="24"/>
        </w:rPr>
        <w:t xml:space="preserve"> </w:t>
      </w:r>
      <w:r w:rsidR="00994D03" w:rsidRPr="009F77A7">
        <w:rPr>
          <w:rFonts w:asciiTheme="majorBidi" w:hAnsiTheme="majorBidi" w:cstheme="majorBidi"/>
          <w:sz w:val="24"/>
          <w:szCs w:val="24"/>
        </w:rPr>
        <w:t>perbuatannya.</w:t>
      </w:r>
      <w:r w:rsidR="00AA6B5B" w:rsidRPr="009F77A7">
        <w:rPr>
          <w:rFonts w:asciiTheme="majorBidi" w:hAnsiTheme="majorBidi" w:cstheme="majorBidi"/>
          <w:sz w:val="24"/>
          <w:szCs w:val="24"/>
        </w:rPr>
        <w:t xml:space="preserve"> Lebih lanjut, Fakhr ar-Rāzī mempertegas pandangannya melalui </w:t>
      </w:r>
      <w:r w:rsidR="001E2559" w:rsidRPr="009F77A7">
        <w:rPr>
          <w:rFonts w:asciiTheme="majorBidi" w:hAnsiTheme="majorBidi" w:cstheme="majorBidi"/>
          <w:sz w:val="24"/>
          <w:szCs w:val="24"/>
        </w:rPr>
        <w:t xml:space="preserve"> ayat ke</w:t>
      </w:r>
      <w:r w:rsidR="00751C5E" w:rsidRPr="009F77A7">
        <w:rPr>
          <w:rFonts w:asciiTheme="majorBidi" w:hAnsiTheme="majorBidi" w:cstheme="majorBidi"/>
          <w:sz w:val="24"/>
          <w:szCs w:val="24"/>
        </w:rPr>
        <w:t xml:space="preserve">tujuh </w:t>
      </w:r>
      <w:r w:rsidR="00107005" w:rsidRPr="009F77A7">
        <w:rPr>
          <w:rFonts w:asciiTheme="majorBidi" w:hAnsiTheme="majorBidi" w:cstheme="majorBidi"/>
          <w:sz w:val="24"/>
          <w:szCs w:val="24"/>
        </w:rPr>
        <w:t>surah</w:t>
      </w:r>
      <w:r w:rsidR="00751C5E" w:rsidRPr="009F77A7">
        <w:rPr>
          <w:rFonts w:asciiTheme="majorBidi" w:hAnsiTheme="majorBidi" w:cstheme="majorBidi"/>
          <w:sz w:val="24"/>
          <w:szCs w:val="24"/>
        </w:rPr>
        <w:t xml:space="preserve"> </w:t>
      </w:r>
      <w:r w:rsidR="00DB74F6" w:rsidRPr="009F77A7">
        <w:rPr>
          <w:rFonts w:asciiTheme="majorBidi" w:hAnsiTheme="majorBidi" w:cstheme="majorBidi"/>
          <w:sz w:val="24"/>
          <w:szCs w:val="24"/>
        </w:rPr>
        <w:t>al-fatihah</w:t>
      </w:r>
      <w:r w:rsidR="00751C5E" w:rsidRPr="009F77A7">
        <w:rPr>
          <w:rFonts w:asciiTheme="majorBidi" w:hAnsiTheme="majorBidi" w:cstheme="majorBidi"/>
          <w:sz w:val="24"/>
          <w:szCs w:val="24"/>
        </w:rPr>
        <w:t xml:space="preserve"> </w:t>
      </w:r>
      <w:r w:rsidR="00386A76" w:rsidRPr="009F77A7">
        <w:rPr>
          <w:rFonts w:asciiTheme="majorBidi" w:hAnsiTheme="majorBidi" w:cstheme="majorBidi"/>
          <w:sz w:val="24"/>
          <w:szCs w:val="24"/>
        </w:rPr>
        <w:t xml:space="preserve">merupakan </w:t>
      </w:r>
      <w:r w:rsidR="00386A76" w:rsidRPr="009F77A7">
        <w:rPr>
          <w:rFonts w:asciiTheme="majorBidi" w:hAnsiTheme="majorBidi" w:cstheme="majorBidi"/>
          <w:i/>
          <w:iCs/>
          <w:sz w:val="24"/>
          <w:szCs w:val="24"/>
        </w:rPr>
        <w:t>badal</w:t>
      </w:r>
      <w:r w:rsidR="00386A76" w:rsidRPr="009F77A7">
        <w:rPr>
          <w:rFonts w:asciiTheme="majorBidi" w:hAnsiTheme="majorBidi" w:cstheme="majorBidi"/>
          <w:sz w:val="24"/>
          <w:szCs w:val="24"/>
        </w:rPr>
        <w:t xml:space="preserve"> bagi siapa saja yang dianugrahkan oleh Allah swt sebuah nikmat tanpa kualifikasi ruang dan waktu. Artinya, setiap manusia berhak memperoleh jalan yang lurus sebagai hidayah atau petunjuk-Nya.</w:t>
      </w:r>
      <w:r w:rsidR="0046549E" w:rsidRPr="009F77A7">
        <w:rPr>
          <w:rStyle w:val="FootnoteReference"/>
          <w:rFonts w:asciiTheme="majorBidi" w:hAnsiTheme="majorBidi" w:cstheme="majorBidi"/>
          <w:sz w:val="24"/>
          <w:szCs w:val="24"/>
        </w:rPr>
        <w:footnoteReference w:id="32"/>
      </w:r>
      <w:r w:rsidR="00751C5E" w:rsidRPr="009F77A7">
        <w:rPr>
          <w:rFonts w:asciiTheme="majorBidi" w:hAnsiTheme="majorBidi" w:cstheme="majorBidi"/>
          <w:sz w:val="24"/>
          <w:szCs w:val="24"/>
        </w:rPr>
        <w:t xml:space="preserve"> </w:t>
      </w:r>
    </w:p>
    <w:p w:rsidR="00DB74F6" w:rsidRPr="009F77A7" w:rsidRDefault="00386A76"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Pandangan</w:t>
      </w:r>
      <w:r w:rsidR="00751C5E" w:rsidRPr="009F77A7">
        <w:rPr>
          <w:rFonts w:asciiTheme="majorBidi" w:hAnsiTheme="majorBidi" w:cstheme="majorBidi"/>
          <w:sz w:val="24"/>
          <w:szCs w:val="24"/>
        </w:rPr>
        <w:t xml:space="preserve"> Fakhr ar-Rāzī,</w:t>
      </w:r>
      <w:r w:rsidRPr="009F77A7">
        <w:rPr>
          <w:rFonts w:asciiTheme="majorBidi" w:hAnsiTheme="majorBidi" w:cstheme="majorBidi"/>
          <w:sz w:val="24"/>
          <w:szCs w:val="24"/>
        </w:rPr>
        <w:t xml:space="preserve"> dipertegas dan disempurnakan oleh</w:t>
      </w:r>
      <w:r w:rsidR="00751C5E" w:rsidRPr="009F77A7">
        <w:rPr>
          <w:rFonts w:asciiTheme="majorBidi" w:hAnsiTheme="majorBidi" w:cstheme="majorBidi"/>
          <w:sz w:val="24"/>
          <w:szCs w:val="24"/>
        </w:rPr>
        <w:t xml:space="preserve"> al-Maraghi</w:t>
      </w:r>
      <w:r w:rsidRPr="009F77A7">
        <w:rPr>
          <w:rFonts w:asciiTheme="majorBidi" w:hAnsiTheme="majorBidi" w:cstheme="majorBidi"/>
          <w:sz w:val="24"/>
          <w:szCs w:val="24"/>
        </w:rPr>
        <w:t xml:space="preserve"> bahwa </w:t>
      </w:r>
      <w:r w:rsidRPr="009F77A7">
        <w:rPr>
          <w:rFonts w:asciiTheme="majorBidi" w:hAnsiTheme="majorBidi" w:cstheme="majorBidi"/>
          <w:i/>
          <w:iCs/>
          <w:sz w:val="24"/>
          <w:szCs w:val="24"/>
        </w:rPr>
        <w:t>as-ṣirāṭ al-mustaqīm</w:t>
      </w:r>
      <w:r w:rsidRPr="009F77A7">
        <w:rPr>
          <w:rFonts w:asciiTheme="majorBidi" w:hAnsiTheme="majorBidi" w:cstheme="majorBidi"/>
          <w:sz w:val="24"/>
          <w:szCs w:val="24"/>
        </w:rPr>
        <w:t xml:space="preserve"> adalah agama-agama dan kitabullah yang berasal dari Allah swt yang disampaikan melalui para Rasul. Setiap agama dan kitabullah memiliki ajaran pokok yang satu, meskipun berbeda ruang dan wak</w:t>
      </w:r>
      <w:r w:rsidR="005C76C9" w:rsidRPr="009F77A7">
        <w:rPr>
          <w:rFonts w:asciiTheme="majorBidi" w:hAnsiTheme="majorBidi" w:cstheme="majorBidi"/>
          <w:sz w:val="24"/>
          <w:szCs w:val="24"/>
        </w:rPr>
        <w:t>tu</w:t>
      </w:r>
      <w:r w:rsidR="00DB74F6" w:rsidRPr="009F77A7">
        <w:rPr>
          <w:rFonts w:asciiTheme="majorBidi" w:hAnsiTheme="majorBidi" w:cstheme="majorBidi"/>
          <w:sz w:val="24"/>
          <w:szCs w:val="24"/>
        </w:rPr>
        <w:t>;</w:t>
      </w:r>
    </w:p>
    <w:p w:rsidR="00F81159" w:rsidRPr="009F77A7" w:rsidRDefault="00DB74F6" w:rsidP="00B74429">
      <w:pPr>
        <w:autoSpaceDE w:val="0"/>
        <w:autoSpaceDN w:val="0"/>
        <w:adjustRightInd w:val="0"/>
        <w:spacing w:after="120" w:line="360" w:lineRule="auto"/>
        <w:ind w:left="873"/>
        <w:jc w:val="both"/>
        <w:rPr>
          <w:rFonts w:asciiTheme="majorBidi" w:hAnsiTheme="majorBidi" w:cstheme="majorBidi"/>
          <w:sz w:val="24"/>
          <w:szCs w:val="24"/>
        </w:rPr>
      </w:pPr>
      <w:r w:rsidRPr="009F77A7">
        <w:rPr>
          <w:rFonts w:asciiTheme="majorBidi" w:hAnsiTheme="majorBidi" w:cstheme="majorBidi"/>
          <w:sz w:val="24"/>
          <w:szCs w:val="24"/>
        </w:rPr>
        <w:lastRenderedPageBreak/>
        <w:t>Kita telah diperintahkan untuk mengikuti jalan orang-orang terdahulu, karena agama Allah itu satu di setiap zaman, yaitu beriman kepada Allah dan Rasul-Nya, hari akhir, berakhlak dengan akhlak utama dan amal yang baik serta meninggalkan kejelekan. Selain dari itu adalah perkara cabang dan hukum yang berbeda sesuai dengan perbedaan jaman dan tempat.</w:t>
      </w:r>
      <w:r w:rsidRPr="009F77A7">
        <w:rPr>
          <w:rStyle w:val="FootnoteReference"/>
          <w:rFonts w:asciiTheme="majorBidi" w:hAnsiTheme="majorBidi" w:cstheme="majorBidi"/>
          <w:sz w:val="24"/>
          <w:szCs w:val="24"/>
        </w:rPr>
        <w:footnoteReference w:id="33"/>
      </w:r>
      <w:r w:rsidR="001A74A8" w:rsidRPr="009F77A7">
        <w:rPr>
          <w:rFonts w:asciiTheme="majorBidi" w:hAnsiTheme="majorBidi" w:cstheme="majorBidi"/>
          <w:sz w:val="24"/>
          <w:szCs w:val="24"/>
        </w:rPr>
        <w:t xml:space="preserve"> </w:t>
      </w:r>
    </w:p>
    <w:p w:rsidR="00931C17" w:rsidRPr="009F77A7" w:rsidRDefault="000B12B3"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Pandangan Fakhr ar-Rāzī dan al-Maraghi </w:t>
      </w:r>
      <w:r w:rsidR="00F81159" w:rsidRPr="009F77A7">
        <w:rPr>
          <w:rFonts w:asciiTheme="majorBidi" w:hAnsiTheme="majorBidi" w:cstheme="majorBidi"/>
          <w:sz w:val="24"/>
          <w:szCs w:val="24"/>
        </w:rPr>
        <w:t>diikuti</w:t>
      </w:r>
      <w:r w:rsidRPr="009F77A7">
        <w:rPr>
          <w:rFonts w:asciiTheme="majorBidi" w:hAnsiTheme="majorBidi" w:cstheme="majorBidi"/>
          <w:sz w:val="24"/>
          <w:szCs w:val="24"/>
        </w:rPr>
        <w:t xml:space="preserve"> oleh beberapa mufasir Ahlulbait, seperti</w:t>
      </w:r>
      <w:r w:rsidR="00F81159" w:rsidRPr="009F77A7">
        <w:rPr>
          <w:rFonts w:asciiTheme="majorBidi" w:hAnsiTheme="majorBidi" w:cstheme="majorBidi"/>
          <w:sz w:val="24"/>
          <w:szCs w:val="24"/>
        </w:rPr>
        <w:t xml:space="preserve"> Nāṣir Makārim ash- Shirāzī dalam tafsirnya </w:t>
      </w:r>
      <w:r w:rsidR="00F81159" w:rsidRPr="009F77A7">
        <w:rPr>
          <w:rFonts w:asciiTheme="majorBidi" w:hAnsiTheme="majorBidi" w:cstheme="majorBidi"/>
          <w:i/>
          <w:iCs/>
          <w:sz w:val="24"/>
          <w:szCs w:val="24"/>
        </w:rPr>
        <w:t xml:space="preserve">al-Amthal </w:t>
      </w:r>
      <w:r w:rsidRPr="009F77A7">
        <w:rPr>
          <w:rFonts w:asciiTheme="majorBidi" w:hAnsiTheme="majorBidi" w:cstheme="majorBidi"/>
          <w:sz w:val="24"/>
          <w:szCs w:val="24"/>
        </w:rPr>
        <w:t>menyebutkan</w:t>
      </w:r>
      <w:r w:rsidR="00F81159" w:rsidRPr="009F77A7">
        <w:rPr>
          <w:rFonts w:asciiTheme="majorBidi" w:hAnsiTheme="majorBidi" w:cstheme="majorBidi"/>
          <w:sz w:val="24"/>
          <w:szCs w:val="24"/>
        </w:rPr>
        <w:t xml:space="preserve"> jalan yang lurus adalah agama tauhid dengan melaksanakan segala apa yan</w:t>
      </w:r>
      <w:r w:rsidRPr="009F77A7">
        <w:rPr>
          <w:rFonts w:asciiTheme="majorBidi" w:hAnsiTheme="majorBidi" w:cstheme="majorBidi"/>
          <w:sz w:val="24"/>
          <w:szCs w:val="24"/>
        </w:rPr>
        <w:t xml:space="preserve">g diperintahkan oleh Allah </w:t>
      </w:r>
      <w:r w:rsidR="008839AA" w:rsidRPr="009F77A7">
        <w:rPr>
          <w:rFonts w:asciiTheme="majorBidi" w:hAnsiTheme="majorBidi" w:cstheme="majorBidi"/>
          <w:sz w:val="24"/>
          <w:szCs w:val="24"/>
        </w:rPr>
        <w:t>s</w:t>
      </w:r>
      <w:r w:rsidRPr="009F77A7">
        <w:rPr>
          <w:rFonts w:asciiTheme="majorBidi" w:hAnsiTheme="majorBidi" w:cstheme="majorBidi"/>
          <w:sz w:val="24"/>
          <w:szCs w:val="24"/>
        </w:rPr>
        <w:t>wt sebagai bentuk penyembahan murni</w:t>
      </w:r>
      <w:r w:rsidR="00D5163C" w:rsidRPr="009F77A7">
        <w:rPr>
          <w:rFonts w:asciiTheme="majorBidi" w:hAnsiTheme="majorBidi" w:cstheme="majorBidi"/>
          <w:sz w:val="24"/>
          <w:szCs w:val="24"/>
        </w:rPr>
        <w:t xml:space="preserve"> mencapai kesempurnaan derajat eksistensi.</w:t>
      </w:r>
      <w:r w:rsidR="00E57536" w:rsidRPr="009F77A7">
        <w:rPr>
          <w:rStyle w:val="FootnoteReference"/>
          <w:rFonts w:asciiTheme="majorBidi" w:hAnsiTheme="majorBidi" w:cstheme="majorBidi"/>
          <w:sz w:val="24"/>
          <w:szCs w:val="24"/>
        </w:rPr>
        <w:footnoteReference w:id="34"/>
      </w:r>
      <w:r w:rsidR="00F81159" w:rsidRPr="009F77A7">
        <w:rPr>
          <w:rFonts w:asciiTheme="majorBidi" w:hAnsiTheme="majorBidi" w:cstheme="majorBidi"/>
          <w:sz w:val="24"/>
          <w:szCs w:val="24"/>
        </w:rPr>
        <w:t xml:space="preserve"> </w:t>
      </w:r>
      <w:r w:rsidR="00D5163C" w:rsidRPr="009F77A7">
        <w:rPr>
          <w:rFonts w:asciiTheme="majorBidi" w:hAnsiTheme="majorBidi" w:cstheme="majorBidi"/>
          <w:sz w:val="24"/>
          <w:szCs w:val="24"/>
        </w:rPr>
        <w:t xml:space="preserve">Menurut Nāṣir Makārim ash- Shirāzī </w:t>
      </w:r>
      <w:r w:rsidR="00A04254" w:rsidRPr="009F77A7">
        <w:rPr>
          <w:rFonts w:asciiTheme="majorBidi" w:hAnsiTheme="majorBidi" w:cstheme="majorBidi"/>
          <w:sz w:val="24"/>
          <w:szCs w:val="24"/>
        </w:rPr>
        <w:t xml:space="preserve">setiap </w:t>
      </w:r>
      <w:r w:rsidR="00D5163C" w:rsidRPr="009F77A7">
        <w:rPr>
          <w:rFonts w:asciiTheme="majorBidi" w:hAnsiTheme="majorBidi" w:cstheme="majorBidi"/>
          <w:sz w:val="24"/>
          <w:szCs w:val="24"/>
        </w:rPr>
        <w:t xml:space="preserve">ajaran </w:t>
      </w:r>
      <w:r w:rsidR="00A04254" w:rsidRPr="009F77A7">
        <w:rPr>
          <w:rFonts w:asciiTheme="majorBidi" w:hAnsiTheme="majorBidi" w:cstheme="majorBidi"/>
          <w:sz w:val="24"/>
          <w:szCs w:val="24"/>
        </w:rPr>
        <w:t>agama, khususnya Islam</w:t>
      </w:r>
      <w:r w:rsidR="00D5163C" w:rsidRPr="009F77A7">
        <w:rPr>
          <w:rFonts w:asciiTheme="majorBidi" w:hAnsiTheme="majorBidi" w:cstheme="majorBidi"/>
          <w:sz w:val="24"/>
          <w:szCs w:val="24"/>
        </w:rPr>
        <w:t xml:space="preserve"> mengajarkan individu untuk mendekatkan diri kepada Allah swt dengan mematuhi ragam perintah dan menjauh larangan-Nya sebagai proses meningkatkan derajat, tanpa memandang penafsiran bersumber dari sahabat maupun para Imam. Sebab, para sahabat dan Imam mengajarkan ajaran Islam yang berasal dari Nabi, Alquran, dan Allah swt sebagai Sang Pemberi Petunjuk dalam kehidupan manusia.</w:t>
      </w:r>
      <w:r w:rsidR="00D5163C" w:rsidRPr="009F77A7">
        <w:rPr>
          <w:rStyle w:val="FootnoteReference"/>
          <w:rFonts w:asciiTheme="majorBidi" w:hAnsiTheme="majorBidi" w:cstheme="majorBidi"/>
          <w:sz w:val="24"/>
          <w:szCs w:val="24"/>
        </w:rPr>
        <w:footnoteReference w:id="35"/>
      </w:r>
      <w:r w:rsidR="00D5163C" w:rsidRPr="009F77A7">
        <w:rPr>
          <w:rFonts w:asciiTheme="majorBidi" w:hAnsiTheme="majorBidi" w:cstheme="majorBidi"/>
          <w:sz w:val="24"/>
          <w:szCs w:val="24"/>
        </w:rPr>
        <w:t xml:space="preserve">  </w:t>
      </w:r>
    </w:p>
    <w:p w:rsidR="00341356" w:rsidRDefault="00931C17"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Berdasarkan ragam penjelasan di atas, dapat dipahami bahwa perbedaan pandangan menafsirkan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didasari oleh perbedaan sanad dan periwayatan dalam memahami keberadaan jalan yang lurus. Meskipun, beberapa mufasir kontemporer, seperti Nāṣir Makārim ash- Shirāzī memaknai kembali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sebagai agama tauhid, setelah merujuk kembali pada penafsiran para pemikir sebelumnya, seperti Fakhr ar-Rāzī dan al-Maraghi tanpa harus mempermasalahan sumber dan sosok jalan yang lurus. </w:t>
      </w:r>
      <w:r w:rsidR="00A04254" w:rsidRPr="009F77A7">
        <w:rPr>
          <w:rFonts w:asciiTheme="majorBidi" w:hAnsiTheme="majorBidi" w:cstheme="majorBidi"/>
          <w:sz w:val="24"/>
          <w:szCs w:val="24"/>
        </w:rPr>
        <w:t xml:space="preserve">Adapun, </w:t>
      </w:r>
      <w:r w:rsidR="002B7CD7" w:rsidRPr="009F77A7">
        <w:rPr>
          <w:rFonts w:asciiTheme="majorBidi" w:hAnsiTheme="majorBidi" w:cstheme="majorBidi"/>
          <w:sz w:val="24"/>
          <w:szCs w:val="24"/>
        </w:rPr>
        <w:t>Quraish Shihab me</w:t>
      </w:r>
      <w:r w:rsidRPr="009F77A7">
        <w:rPr>
          <w:rFonts w:asciiTheme="majorBidi" w:hAnsiTheme="majorBidi" w:cstheme="majorBidi"/>
          <w:sz w:val="24"/>
          <w:szCs w:val="24"/>
        </w:rPr>
        <w:t>mandang</w:t>
      </w:r>
      <w:r w:rsidR="002B7CD7" w:rsidRPr="009F77A7">
        <w:rPr>
          <w:rFonts w:asciiTheme="majorBidi" w:hAnsiTheme="majorBidi" w:cstheme="majorBidi"/>
          <w:sz w:val="24"/>
          <w:szCs w:val="24"/>
        </w:rPr>
        <w:t xml:space="preserve"> jalan yang lurus hanya satu dan selalu bersifat benar</w:t>
      </w:r>
      <w:r w:rsidRPr="009F77A7">
        <w:rPr>
          <w:rFonts w:asciiTheme="majorBidi" w:hAnsiTheme="majorBidi" w:cstheme="majorBidi"/>
          <w:sz w:val="24"/>
          <w:szCs w:val="24"/>
        </w:rPr>
        <w:t xml:space="preserve"> serta</w:t>
      </w:r>
      <w:r w:rsidR="002B7CD7" w:rsidRPr="009F77A7">
        <w:rPr>
          <w:rFonts w:asciiTheme="majorBidi" w:hAnsiTheme="majorBidi" w:cstheme="majorBidi"/>
          <w:sz w:val="24"/>
          <w:szCs w:val="24"/>
        </w:rPr>
        <w:t xml:space="preserve"> luas, sehingga </w:t>
      </w:r>
      <w:r w:rsidR="005E7B21" w:rsidRPr="009F77A7">
        <w:rPr>
          <w:rFonts w:asciiTheme="majorBidi" w:hAnsiTheme="majorBidi" w:cstheme="majorBidi"/>
          <w:sz w:val="24"/>
          <w:szCs w:val="24"/>
        </w:rPr>
        <w:t xml:space="preserve">setiap individu dapat berlapang dada menghadapi perbedaan mengenai penafsiran </w:t>
      </w:r>
      <w:r w:rsidR="005E7B21" w:rsidRPr="009F77A7">
        <w:rPr>
          <w:rFonts w:asciiTheme="majorBidi" w:hAnsiTheme="majorBidi" w:cstheme="majorBidi"/>
          <w:i/>
          <w:iCs/>
          <w:sz w:val="24"/>
          <w:szCs w:val="24"/>
        </w:rPr>
        <w:t>as-ṣirāṭ</w:t>
      </w:r>
      <w:r w:rsidR="005E7B21" w:rsidRPr="009F77A7">
        <w:rPr>
          <w:rFonts w:asciiTheme="majorBidi" w:hAnsiTheme="majorBidi" w:cstheme="majorBidi"/>
          <w:sz w:val="24"/>
          <w:szCs w:val="24"/>
        </w:rPr>
        <w:t xml:space="preserve"> </w:t>
      </w:r>
      <w:r w:rsidR="005E7B21" w:rsidRPr="009F77A7">
        <w:rPr>
          <w:rFonts w:asciiTheme="majorBidi" w:hAnsiTheme="majorBidi" w:cstheme="majorBidi"/>
          <w:i/>
          <w:iCs/>
          <w:sz w:val="24"/>
          <w:szCs w:val="24"/>
        </w:rPr>
        <w:t>al-mustaqīm.</w:t>
      </w:r>
      <w:r w:rsidR="005E7B21" w:rsidRPr="009F77A7">
        <w:rPr>
          <w:rStyle w:val="FootnoteReference"/>
          <w:rFonts w:asciiTheme="majorBidi" w:hAnsiTheme="majorBidi" w:cstheme="majorBidi"/>
          <w:i/>
          <w:iCs/>
          <w:sz w:val="24"/>
          <w:szCs w:val="24"/>
        </w:rPr>
        <w:footnoteReference w:id="36"/>
      </w:r>
      <w:r w:rsidR="002B2008" w:rsidRPr="009F77A7">
        <w:rPr>
          <w:rFonts w:asciiTheme="majorBidi" w:hAnsiTheme="majorBidi" w:cstheme="majorBidi"/>
          <w:i/>
          <w:iCs/>
          <w:sz w:val="24"/>
          <w:szCs w:val="24"/>
        </w:rPr>
        <w:t xml:space="preserve"> </w:t>
      </w:r>
      <w:r w:rsidR="002B2008" w:rsidRPr="009F77A7">
        <w:rPr>
          <w:rFonts w:asciiTheme="majorBidi" w:hAnsiTheme="majorBidi" w:cstheme="majorBidi"/>
          <w:sz w:val="24"/>
          <w:szCs w:val="24"/>
        </w:rPr>
        <w:t xml:space="preserve">Berlapang dada menghadapi perbedaan akan mengantarkan paradigma umat Muslim untuk membangun relasi masyarakat </w:t>
      </w:r>
      <w:r w:rsidR="002B7CD7" w:rsidRPr="009F77A7">
        <w:rPr>
          <w:rFonts w:asciiTheme="majorBidi" w:hAnsiTheme="majorBidi" w:cstheme="majorBidi"/>
          <w:sz w:val="24"/>
          <w:szCs w:val="24"/>
        </w:rPr>
        <w:t>yang mengedepankan toleransi, keterbukaan</w:t>
      </w:r>
      <w:r w:rsidR="002B2008" w:rsidRPr="009F77A7">
        <w:rPr>
          <w:rFonts w:asciiTheme="majorBidi" w:hAnsiTheme="majorBidi" w:cstheme="majorBidi"/>
          <w:sz w:val="24"/>
          <w:szCs w:val="24"/>
        </w:rPr>
        <w:t>,</w:t>
      </w:r>
      <w:r w:rsidR="002B7CD7" w:rsidRPr="009F77A7">
        <w:rPr>
          <w:rFonts w:asciiTheme="majorBidi" w:hAnsiTheme="majorBidi" w:cstheme="majorBidi"/>
          <w:sz w:val="24"/>
          <w:szCs w:val="24"/>
        </w:rPr>
        <w:t xml:space="preserve"> dan mencari berbagai persamaa</w:t>
      </w:r>
      <w:r w:rsidR="002B2008" w:rsidRPr="009F77A7">
        <w:rPr>
          <w:rFonts w:asciiTheme="majorBidi" w:hAnsiTheme="majorBidi" w:cstheme="majorBidi"/>
          <w:sz w:val="24"/>
          <w:szCs w:val="24"/>
        </w:rPr>
        <w:t xml:space="preserve">n menciptakan perdamaian </w:t>
      </w:r>
      <w:r w:rsidR="002B7CD7" w:rsidRPr="009F77A7">
        <w:rPr>
          <w:rFonts w:asciiTheme="majorBidi" w:hAnsiTheme="majorBidi" w:cstheme="majorBidi"/>
          <w:sz w:val="24"/>
          <w:szCs w:val="24"/>
        </w:rPr>
        <w:t xml:space="preserve">dan </w:t>
      </w:r>
      <w:r w:rsidR="002B2008" w:rsidRPr="009F77A7">
        <w:rPr>
          <w:rFonts w:asciiTheme="majorBidi" w:hAnsiTheme="majorBidi" w:cstheme="majorBidi"/>
          <w:sz w:val="24"/>
          <w:szCs w:val="24"/>
        </w:rPr>
        <w:t>menghindari</w:t>
      </w:r>
      <w:r w:rsidR="002B7CD7" w:rsidRPr="009F77A7">
        <w:rPr>
          <w:rFonts w:asciiTheme="majorBidi" w:hAnsiTheme="majorBidi" w:cstheme="majorBidi"/>
          <w:sz w:val="24"/>
          <w:szCs w:val="24"/>
        </w:rPr>
        <w:t xml:space="preserve"> permusuhan</w:t>
      </w:r>
      <w:r w:rsidR="002B2008" w:rsidRPr="009F77A7">
        <w:rPr>
          <w:rFonts w:asciiTheme="majorBidi" w:hAnsiTheme="majorBidi" w:cstheme="majorBidi"/>
          <w:sz w:val="24"/>
          <w:szCs w:val="24"/>
        </w:rPr>
        <w:t xml:space="preserve"> dalam konteks sosial</w:t>
      </w:r>
      <w:r w:rsidR="002B7CD7" w:rsidRPr="009F77A7">
        <w:rPr>
          <w:rFonts w:asciiTheme="majorBidi" w:hAnsiTheme="majorBidi" w:cstheme="majorBidi"/>
          <w:sz w:val="24"/>
          <w:szCs w:val="24"/>
        </w:rPr>
        <w:t>.</w:t>
      </w:r>
      <w:r w:rsidR="002B7CD7" w:rsidRPr="009F77A7">
        <w:rPr>
          <w:rStyle w:val="FootnoteReference"/>
          <w:rFonts w:asciiTheme="majorBidi" w:hAnsiTheme="majorBidi" w:cstheme="majorBidi"/>
          <w:sz w:val="24"/>
          <w:szCs w:val="24"/>
        </w:rPr>
        <w:footnoteReference w:id="37"/>
      </w:r>
      <w:r w:rsidR="00762BCE" w:rsidRPr="009F77A7">
        <w:rPr>
          <w:rFonts w:asciiTheme="majorBidi" w:hAnsiTheme="majorBidi" w:cstheme="majorBidi"/>
          <w:sz w:val="24"/>
          <w:szCs w:val="24"/>
        </w:rPr>
        <w:t xml:space="preserve"> </w:t>
      </w:r>
    </w:p>
    <w:p w:rsidR="00762BCE" w:rsidRPr="009F77A7" w:rsidRDefault="002B2008"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lastRenderedPageBreak/>
        <w:t xml:space="preserve">Dengan demikian, dapat dipahami bahwa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00666E9A" w:rsidRPr="009F77A7">
        <w:rPr>
          <w:rFonts w:asciiTheme="majorBidi" w:hAnsiTheme="majorBidi" w:cstheme="majorBidi"/>
          <w:i/>
          <w:iCs/>
          <w:sz w:val="24"/>
          <w:szCs w:val="24"/>
        </w:rPr>
        <w:t xml:space="preserve"> </w:t>
      </w:r>
      <w:r w:rsidR="00666E9A" w:rsidRPr="009F77A7">
        <w:rPr>
          <w:rFonts w:asciiTheme="majorBidi" w:hAnsiTheme="majorBidi" w:cstheme="majorBidi"/>
          <w:sz w:val="24"/>
          <w:szCs w:val="24"/>
        </w:rPr>
        <w:t xml:space="preserve">dalam pandangan para mufasir berusaha </w:t>
      </w:r>
      <w:r w:rsidR="00762BCE" w:rsidRPr="009F77A7">
        <w:rPr>
          <w:rFonts w:asciiTheme="majorBidi" w:hAnsiTheme="majorBidi" w:cstheme="majorBidi"/>
          <w:sz w:val="24"/>
          <w:szCs w:val="24"/>
        </w:rPr>
        <w:t xml:space="preserve">membimbing manusia menuju kesempurnaan universal, melingkupi sosial dan keagamaan yang memiliki peran penting dalam perjalanan kehidupan manusia.     </w:t>
      </w:r>
      <w:r w:rsidR="00666E9A"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 </w:t>
      </w:r>
      <w:r w:rsidR="00762BCE" w:rsidRPr="009F77A7">
        <w:rPr>
          <w:rFonts w:asciiTheme="majorBidi" w:hAnsiTheme="majorBidi" w:cstheme="majorBidi"/>
          <w:sz w:val="24"/>
          <w:szCs w:val="24"/>
        </w:rPr>
        <w:t xml:space="preserve">Akan tetapi, perlu menjadi catatan penting bahwa penafsiran para mufasir mengenai term </w:t>
      </w:r>
      <w:r w:rsidR="00762BCE" w:rsidRPr="009F77A7">
        <w:rPr>
          <w:rFonts w:asciiTheme="majorBidi" w:hAnsiTheme="majorBidi" w:cstheme="majorBidi"/>
          <w:i/>
          <w:iCs/>
          <w:sz w:val="24"/>
          <w:szCs w:val="24"/>
        </w:rPr>
        <w:t>as-ṣirāṭ</w:t>
      </w:r>
      <w:r w:rsidR="00762BCE" w:rsidRPr="009F77A7">
        <w:rPr>
          <w:rFonts w:asciiTheme="majorBidi" w:hAnsiTheme="majorBidi" w:cstheme="majorBidi"/>
          <w:sz w:val="24"/>
          <w:szCs w:val="24"/>
        </w:rPr>
        <w:t xml:space="preserve"> </w:t>
      </w:r>
      <w:r w:rsidR="00762BCE" w:rsidRPr="009F77A7">
        <w:rPr>
          <w:rFonts w:asciiTheme="majorBidi" w:hAnsiTheme="majorBidi" w:cstheme="majorBidi"/>
          <w:i/>
          <w:iCs/>
          <w:sz w:val="24"/>
          <w:szCs w:val="24"/>
        </w:rPr>
        <w:t xml:space="preserve">al-mustaqīm </w:t>
      </w:r>
      <w:r w:rsidR="00762BCE" w:rsidRPr="009F77A7">
        <w:rPr>
          <w:rFonts w:asciiTheme="majorBidi" w:hAnsiTheme="majorBidi" w:cstheme="majorBidi"/>
          <w:sz w:val="24"/>
          <w:szCs w:val="24"/>
        </w:rPr>
        <w:t>tidak menjelaskan proses manusia mencapai kesempurnaan universal dalam diri</w:t>
      </w:r>
      <w:r w:rsidR="005E0A37" w:rsidRPr="009F77A7">
        <w:rPr>
          <w:rFonts w:asciiTheme="majorBidi" w:hAnsiTheme="majorBidi" w:cstheme="majorBidi"/>
          <w:sz w:val="24"/>
          <w:szCs w:val="24"/>
        </w:rPr>
        <w:t>nya</w:t>
      </w:r>
      <w:r w:rsidR="00762BCE" w:rsidRPr="009F77A7">
        <w:rPr>
          <w:rFonts w:asciiTheme="majorBidi" w:hAnsiTheme="majorBidi" w:cstheme="majorBidi"/>
          <w:sz w:val="24"/>
          <w:szCs w:val="24"/>
        </w:rPr>
        <w:t>. Salah satu akar permasalahan, ialah para mufasir terlalu berfokus pada perbedaan pandangan antara riwayat Ahlulsunnah dan Ahlulbait daripada membahas proses mencapai kesempurnaan universal</w:t>
      </w:r>
      <w:r w:rsidR="005E0A37" w:rsidRPr="009F77A7">
        <w:rPr>
          <w:rFonts w:asciiTheme="majorBidi" w:hAnsiTheme="majorBidi" w:cstheme="majorBidi"/>
          <w:sz w:val="24"/>
          <w:szCs w:val="24"/>
        </w:rPr>
        <w:t xml:space="preserve"> yang dipandang dapat memicu perbedaan pandangan dalam konteks paradigma maupun sosial</w:t>
      </w:r>
      <w:r w:rsidR="00762BCE" w:rsidRPr="009F77A7">
        <w:rPr>
          <w:rFonts w:asciiTheme="majorBidi" w:hAnsiTheme="majorBidi" w:cstheme="majorBidi"/>
          <w:sz w:val="24"/>
          <w:szCs w:val="24"/>
        </w:rPr>
        <w:t xml:space="preserve">, sehingga penafsiran para mufasir dari masa klasik hingga kontemporer belum menjelaskan makna dan hakikat </w:t>
      </w:r>
      <w:r w:rsidR="00762BCE" w:rsidRPr="009F77A7">
        <w:rPr>
          <w:rFonts w:asciiTheme="majorBidi" w:hAnsiTheme="majorBidi" w:cstheme="majorBidi"/>
          <w:i/>
          <w:iCs/>
          <w:sz w:val="24"/>
          <w:szCs w:val="24"/>
        </w:rPr>
        <w:t>as-ṣirāṭ</w:t>
      </w:r>
      <w:r w:rsidR="00762BCE" w:rsidRPr="009F77A7">
        <w:rPr>
          <w:rFonts w:asciiTheme="majorBidi" w:hAnsiTheme="majorBidi" w:cstheme="majorBidi"/>
          <w:sz w:val="24"/>
          <w:szCs w:val="24"/>
        </w:rPr>
        <w:t xml:space="preserve"> </w:t>
      </w:r>
      <w:r w:rsidR="00762BCE" w:rsidRPr="009F77A7">
        <w:rPr>
          <w:rFonts w:asciiTheme="majorBidi" w:hAnsiTheme="majorBidi" w:cstheme="majorBidi"/>
          <w:i/>
          <w:iCs/>
          <w:sz w:val="24"/>
          <w:szCs w:val="24"/>
        </w:rPr>
        <w:t>al-mustaqīm.</w:t>
      </w:r>
      <w:r w:rsidR="00762BCE" w:rsidRPr="009F77A7">
        <w:rPr>
          <w:rFonts w:asciiTheme="majorBidi" w:hAnsiTheme="majorBidi" w:cstheme="majorBidi"/>
          <w:sz w:val="24"/>
          <w:szCs w:val="24"/>
        </w:rPr>
        <w:t xml:space="preserve"> Di satu sisi penafsiran secara riwayat hanya menjelaskan urgensi dari riwayat daripada objek penafsiran. Demi mengatasi permasalahan tersebut, penulis akan membahas metode takwil </w:t>
      </w:r>
      <w:r w:rsidR="00762BCE" w:rsidRPr="009F77A7">
        <w:rPr>
          <w:rFonts w:asciiTheme="majorBidi" w:hAnsiTheme="majorBidi" w:cstheme="majorBidi"/>
          <w:i/>
          <w:iCs/>
          <w:sz w:val="24"/>
          <w:szCs w:val="24"/>
        </w:rPr>
        <w:t>as-ṣirāṭ</w:t>
      </w:r>
      <w:r w:rsidR="00762BCE" w:rsidRPr="009F77A7">
        <w:rPr>
          <w:rFonts w:asciiTheme="majorBidi" w:hAnsiTheme="majorBidi" w:cstheme="majorBidi"/>
          <w:sz w:val="24"/>
          <w:szCs w:val="24"/>
        </w:rPr>
        <w:t xml:space="preserve"> </w:t>
      </w:r>
      <w:r w:rsidR="00762BCE" w:rsidRPr="009F77A7">
        <w:rPr>
          <w:rFonts w:asciiTheme="majorBidi" w:hAnsiTheme="majorBidi" w:cstheme="majorBidi"/>
          <w:i/>
          <w:iCs/>
          <w:sz w:val="24"/>
          <w:szCs w:val="24"/>
        </w:rPr>
        <w:t xml:space="preserve">al-mustaqīm </w:t>
      </w:r>
      <w:r w:rsidR="00762BCE" w:rsidRPr="009F77A7">
        <w:rPr>
          <w:rFonts w:asciiTheme="majorBidi" w:hAnsiTheme="majorBidi" w:cstheme="majorBidi"/>
          <w:sz w:val="24"/>
          <w:szCs w:val="24"/>
        </w:rPr>
        <w:t>dalam penafsiran Mulla Sadra pada pembahsan selanjutnya.</w:t>
      </w:r>
    </w:p>
    <w:p w:rsidR="00762BCE" w:rsidRPr="009F77A7" w:rsidRDefault="00762BCE" w:rsidP="00347F5F">
      <w:pPr>
        <w:autoSpaceDE w:val="0"/>
        <w:autoSpaceDN w:val="0"/>
        <w:adjustRightInd w:val="0"/>
        <w:spacing w:after="120" w:line="240" w:lineRule="auto"/>
        <w:ind w:firstLine="426"/>
        <w:jc w:val="both"/>
        <w:rPr>
          <w:rFonts w:asciiTheme="majorBidi" w:hAnsiTheme="majorBidi" w:cstheme="majorBidi"/>
          <w:b/>
          <w:bCs/>
          <w:sz w:val="24"/>
          <w:szCs w:val="24"/>
        </w:rPr>
      </w:pPr>
      <w:r w:rsidRPr="009F77A7">
        <w:rPr>
          <w:rFonts w:asciiTheme="majorBidi" w:hAnsiTheme="majorBidi" w:cstheme="majorBidi"/>
          <w:b/>
          <w:bCs/>
          <w:sz w:val="24"/>
          <w:szCs w:val="24"/>
        </w:rPr>
        <w:t xml:space="preserve">Metode Penakwilan Mulla Sadra </w:t>
      </w:r>
    </w:p>
    <w:p w:rsidR="00341356" w:rsidRPr="009F77A7" w:rsidRDefault="009751CB" w:rsidP="00B74429">
      <w:pPr>
        <w:autoSpaceDE w:val="0"/>
        <w:autoSpaceDN w:val="0"/>
        <w:adjustRightInd w:val="0"/>
        <w:spacing w:after="120" w:line="360" w:lineRule="auto"/>
        <w:ind w:left="426" w:firstLine="294"/>
        <w:jc w:val="both"/>
        <w:rPr>
          <w:rFonts w:asciiTheme="majorBidi" w:hAnsiTheme="majorBidi" w:cstheme="majorBidi"/>
          <w:sz w:val="24"/>
          <w:szCs w:val="24"/>
        </w:rPr>
      </w:pPr>
      <w:r w:rsidRPr="009F77A7">
        <w:rPr>
          <w:rFonts w:asciiTheme="majorBidi" w:hAnsiTheme="majorBidi" w:cstheme="majorBidi"/>
          <w:sz w:val="24"/>
          <w:szCs w:val="24"/>
        </w:rPr>
        <w:t>Dalam melakukan penakwilan</w:t>
      </w:r>
      <w:r w:rsidR="00E95C20" w:rsidRPr="009F77A7">
        <w:rPr>
          <w:rFonts w:asciiTheme="majorBidi" w:hAnsiTheme="majorBidi" w:cstheme="majorBidi"/>
          <w:sz w:val="24"/>
          <w:szCs w:val="24"/>
        </w:rPr>
        <w:t xml:space="preserve"> ayat-ayat Alquran, Mulla Sadra menggunakan </w:t>
      </w:r>
      <w:r w:rsidR="00CD075A" w:rsidRPr="009F77A7">
        <w:rPr>
          <w:rFonts w:asciiTheme="majorBidi" w:hAnsiTheme="majorBidi" w:cstheme="majorBidi"/>
          <w:sz w:val="24"/>
          <w:szCs w:val="24"/>
        </w:rPr>
        <w:t>dua</w:t>
      </w:r>
      <w:r w:rsidR="00E95C20" w:rsidRPr="009F77A7">
        <w:rPr>
          <w:rFonts w:asciiTheme="majorBidi" w:hAnsiTheme="majorBidi" w:cstheme="majorBidi"/>
          <w:sz w:val="24"/>
          <w:szCs w:val="24"/>
        </w:rPr>
        <w:t xml:space="preserve"> metode utama, yaitu metode analisis teks untuk memahami makna lahiriah dan metode penyingkapan untuk memahami makna batin.</w:t>
      </w:r>
      <w:r w:rsidR="00E95C20" w:rsidRPr="009F77A7">
        <w:rPr>
          <w:rStyle w:val="FootnoteReference"/>
          <w:rFonts w:asciiTheme="majorBidi" w:hAnsiTheme="majorBidi" w:cstheme="majorBidi"/>
          <w:sz w:val="24"/>
          <w:szCs w:val="24"/>
        </w:rPr>
        <w:footnoteReference w:id="38"/>
      </w:r>
      <w:r w:rsidR="00E95C20" w:rsidRPr="009F77A7">
        <w:rPr>
          <w:rFonts w:asciiTheme="majorBidi" w:hAnsiTheme="majorBidi" w:cstheme="majorBidi"/>
          <w:sz w:val="24"/>
          <w:szCs w:val="24"/>
        </w:rPr>
        <w:t xml:space="preserve"> </w:t>
      </w:r>
      <w:r w:rsidR="00CD075A" w:rsidRPr="009F77A7">
        <w:rPr>
          <w:rFonts w:asciiTheme="majorBidi" w:hAnsiTheme="majorBidi" w:cstheme="majorBidi"/>
          <w:sz w:val="24"/>
          <w:szCs w:val="24"/>
        </w:rPr>
        <w:t>Berikut ini, penulis akan menjelaskan metode-metode tersebut secara terpisah agar dapat dipahami dengan baik</w:t>
      </w:r>
      <w:r w:rsidR="00E95C20" w:rsidRPr="009F77A7">
        <w:rPr>
          <w:rFonts w:asciiTheme="majorBidi" w:hAnsiTheme="majorBidi" w:cstheme="majorBidi"/>
          <w:sz w:val="24"/>
          <w:szCs w:val="24"/>
        </w:rPr>
        <w:t>;</w:t>
      </w:r>
    </w:p>
    <w:p w:rsidR="00762BCE" w:rsidRPr="009F77A7" w:rsidRDefault="00E95C20" w:rsidP="00347F5F">
      <w:pPr>
        <w:pStyle w:val="ListParagraph"/>
        <w:autoSpaceDE w:val="0"/>
        <w:autoSpaceDN w:val="0"/>
        <w:adjustRightInd w:val="0"/>
        <w:spacing w:after="120" w:line="240" w:lineRule="auto"/>
        <w:ind w:left="1134"/>
        <w:jc w:val="both"/>
        <w:rPr>
          <w:rFonts w:asciiTheme="majorBidi" w:hAnsiTheme="majorBidi" w:cstheme="majorBidi"/>
          <w:b/>
          <w:bCs/>
          <w:sz w:val="24"/>
          <w:szCs w:val="24"/>
        </w:rPr>
      </w:pPr>
      <w:r w:rsidRPr="009F77A7">
        <w:rPr>
          <w:rFonts w:asciiTheme="majorBidi" w:hAnsiTheme="majorBidi" w:cstheme="majorBidi"/>
          <w:b/>
          <w:bCs/>
          <w:sz w:val="24"/>
          <w:szCs w:val="24"/>
        </w:rPr>
        <w:t>Metode Analisis Teks</w:t>
      </w:r>
    </w:p>
    <w:p w:rsidR="00775A6A" w:rsidRPr="009F77A7" w:rsidRDefault="00775A6A" w:rsidP="00B74429">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 xml:space="preserve">Metode analisi teks merupakan </w:t>
      </w:r>
      <w:r w:rsidR="00960A35" w:rsidRPr="009F77A7">
        <w:rPr>
          <w:rFonts w:asciiTheme="majorBidi" w:hAnsiTheme="majorBidi" w:cstheme="majorBidi"/>
          <w:sz w:val="24"/>
          <w:szCs w:val="24"/>
        </w:rPr>
        <w:t>salah satu cara yang dilakukan oleh Mulla Sadra untuk menakwilkan ayat-ayat-Nya dengan mengkaji dan menelaah akar kata, bahasa, dan susunan kalimat. Menurut Mulla Sadra, metode analisis teks bertujuan untuk mem</w:t>
      </w:r>
      <w:r w:rsidR="002F45BF" w:rsidRPr="009F77A7">
        <w:rPr>
          <w:rFonts w:asciiTheme="majorBidi" w:hAnsiTheme="majorBidi" w:cstheme="majorBidi"/>
          <w:sz w:val="24"/>
          <w:szCs w:val="24"/>
        </w:rPr>
        <w:t>ahami makna lahiriah suatu ayat sebagai pengetahuan dasar untuk memperoleh makna</w:t>
      </w:r>
      <w:r w:rsidR="006A082A" w:rsidRPr="009F77A7">
        <w:rPr>
          <w:rFonts w:asciiTheme="majorBidi" w:hAnsiTheme="majorBidi" w:cstheme="majorBidi"/>
          <w:sz w:val="24"/>
          <w:szCs w:val="24"/>
        </w:rPr>
        <w:t xml:space="preserve"> batin</w:t>
      </w:r>
      <w:r w:rsidR="002F45BF" w:rsidRPr="009F77A7">
        <w:rPr>
          <w:rFonts w:asciiTheme="majorBidi" w:hAnsiTheme="majorBidi" w:cstheme="majorBidi"/>
          <w:sz w:val="24"/>
          <w:szCs w:val="24"/>
        </w:rPr>
        <w:t xml:space="preserve"> suatu term</w:t>
      </w:r>
      <w:r w:rsidR="006A082A" w:rsidRPr="009F77A7">
        <w:rPr>
          <w:rFonts w:asciiTheme="majorBidi" w:hAnsiTheme="majorBidi" w:cstheme="majorBidi"/>
          <w:sz w:val="24"/>
          <w:szCs w:val="24"/>
        </w:rPr>
        <w:t xml:space="preserve"> dengan melibatkan kaidah </w:t>
      </w:r>
      <w:r w:rsidRPr="009F77A7">
        <w:rPr>
          <w:rFonts w:asciiTheme="majorBidi" w:hAnsiTheme="majorBidi" w:cstheme="majorBidi"/>
          <w:i/>
          <w:iCs/>
          <w:sz w:val="24"/>
          <w:szCs w:val="24"/>
        </w:rPr>
        <w:t>rūḥ al-ma’nā</w:t>
      </w:r>
      <w:r w:rsidR="00F42237" w:rsidRPr="009F77A7">
        <w:rPr>
          <w:rFonts w:asciiTheme="majorBidi" w:hAnsiTheme="majorBidi" w:cstheme="majorBidi"/>
          <w:i/>
          <w:iCs/>
          <w:sz w:val="24"/>
          <w:szCs w:val="24"/>
        </w:rPr>
        <w:t>.</w:t>
      </w:r>
      <w:r w:rsidR="001E0278" w:rsidRPr="009F77A7">
        <w:rPr>
          <w:rStyle w:val="FootnoteReference"/>
          <w:rFonts w:asciiTheme="majorBidi" w:hAnsiTheme="majorBidi" w:cstheme="majorBidi"/>
          <w:i/>
          <w:iCs/>
          <w:sz w:val="24"/>
          <w:szCs w:val="24"/>
        </w:rPr>
        <w:footnoteReference w:id="39"/>
      </w:r>
      <w:r w:rsidR="006A082A" w:rsidRPr="009F77A7">
        <w:rPr>
          <w:rFonts w:asciiTheme="majorBidi" w:hAnsiTheme="majorBidi" w:cstheme="majorBidi"/>
          <w:sz w:val="24"/>
          <w:szCs w:val="24"/>
        </w:rPr>
        <w:t xml:space="preserve"> K</w:t>
      </w:r>
      <w:r w:rsidRPr="009F77A7">
        <w:rPr>
          <w:rFonts w:asciiTheme="majorBidi" w:hAnsiTheme="majorBidi" w:cstheme="majorBidi"/>
          <w:sz w:val="24"/>
          <w:szCs w:val="24"/>
        </w:rPr>
        <w:t xml:space="preserve">aidah </w:t>
      </w:r>
      <w:r w:rsidRPr="009F77A7">
        <w:rPr>
          <w:rFonts w:asciiTheme="majorBidi" w:hAnsiTheme="majorBidi" w:cstheme="majorBidi"/>
          <w:i/>
          <w:iCs/>
          <w:sz w:val="24"/>
          <w:szCs w:val="24"/>
        </w:rPr>
        <w:t xml:space="preserve">rūḥ al-ma’nā </w:t>
      </w:r>
      <w:r w:rsidR="006A082A" w:rsidRPr="009F77A7">
        <w:rPr>
          <w:rFonts w:asciiTheme="majorBidi" w:hAnsiTheme="majorBidi" w:cstheme="majorBidi"/>
          <w:sz w:val="24"/>
          <w:szCs w:val="24"/>
        </w:rPr>
        <w:t>merupakan pondasi penakwilan Mulla Sadra yang bertujuan untuk</w:t>
      </w:r>
      <w:r w:rsidRPr="009F77A7">
        <w:rPr>
          <w:rFonts w:asciiTheme="majorBidi" w:hAnsiTheme="majorBidi" w:cstheme="majorBidi"/>
          <w:sz w:val="24"/>
          <w:szCs w:val="24"/>
        </w:rPr>
        <w:t xml:space="preserve"> </w:t>
      </w:r>
      <w:r w:rsidR="006A082A" w:rsidRPr="009F77A7">
        <w:rPr>
          <w:rFonts w:asciiTheme="majorBidi" w:hAnsiTheme="majorBidi" w:cstheme="majorBidi"/>
          <w:sz w:val="24"/>
          <w:szCs w:val="24"/>
        </w:rPr>
        <w:t xml:space="preserve">mengetahui </w:t>
      </w:r>
      <w:r w:rsidRPr="009F77A7">
        <w:rPr>
          <w:rFonts w:asciiTheme="majorBidi" w:hAnsiTheme="majorBidi" w:cstheme="majorBidi"/>
          <w:sz w:val="24"/>
          <w:szCs w:val="24"/>
        </w:rPr>
        <w:t xml:space="preserve">ketunggalan makna sebuah kata pada setiap eksistensinya. </w:t>
      </w:r>
      <w:r w:rsidR="00910307" w:rsidRPr="009F77A7">
        <w:rPr>
          <w:rFonts w:asciiTheme="majorBidi" w:hAnsiTheme="majorBidi" w:cstheme="majorBidi"/>
          <w:sz w:val="24"/>
          <w:szCs w:val="24"/>
        </w:rPr>
        <w:t xml:space="preserve">Berdasarkan kaidah </w:t>
      </w:r>
      <w:r w:rsidR="00910307" w:rsidRPr="009F77A7">
        <w:rPr>
          <w:rFonts w:asciiTheme="majorBidi" w:hAnsiTheme="majorBidi" w:cstheme="majorBidi"/>
          <w:i/>
          <w:iCs/>
          <w:sz w:val="24"/>
          <w:szCs w:val="24"/>
        </w:rPr>
        <w:t xml:space="preserve">rūḥ al-ma’nā, </w:t>
      </w:r>
      <w:r w:rsidR="00910307" w:rsidRPr="009F77A7">
        <w:rPr>
          <w:rFonts w:asciiTheme="majorBidi" w:hAnsiTheme="majorBidi" w:cstheme="majorBidi"/>
          <w:sz w:val="24"/>
          <w:szCs w:val="24"/>
        </w:rPr>
        <w:t xml:space="preserve">dapat diketahui bahwa Mulla Sadra berusaha </w:t>
      </w:r>
      <w:r w:rsidR="00910307" w:rsidRPr="009F77A7">
        <w:rPr>
          <w:rFonts w:asciiTheme="majorBidi" w:hAnsiTheme="majorBidi" w:cstheme="majorBidi"/>
          <w:sz w:val="24"/>
          <w:szCs w:val="24"/>
        </w:rPr>
        <w:lastRenderedPageBreak/>
        <w:t>menerapkan dua pendekatan pada satu kaidah yang bertujuan untuk menjaga kesucian teks Alquran dan juga memperoleh hakikat suatu ayat dalam teks Alquran tanpa mengabaikan makna lahiriah dan batin.</w:t>
      </w:r>
      <w:r w:rsidR="00910307" w:rsidRPr="009F77A7">
        <w:rPr>
          <w:rStyle w:val="FootnoteReference"/>
          <w:rFonts w:asciiTheme="majorBidi" w:hAnsiTheme="majorBidi" w:cstheme="majorBidi"/>
          <w:sz w:val="24"/>
          <w:szCs w:val="24"/>
        </w:rPr>
        <w:footnoteReference w:id="40"/>
      </w:r>
      <w:r w:rsidR="00910307" w:rsidRPr="009F77A7">
        <w:rPr>
          <w:rFonts w:asciiTheme="majorBidi" w:hAnsiTheme="majorBidi" w:cstheme="majorBidi"/>
          <w:sz w:val="24"/>
          <w:szCs w:val="24"/>
        </w:rPr>
        <w:t xml:space="preserve">   </w:t>
      </w:r>
    </w:p>
    <w:p w:rsidR="00843A5F" w:rsidRPr="009F77A7" w:rsidRDefault="00303932" w:rsidP="00B74429">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Dengan demikian dapat diketahui bahwa</w:t>
      </w:r>
      <w:r w:rsidR="00910307" w:rsidRPr="009F77A7">
        <w:rPr>
          <w:rFonts w:asciiTheme="majorBidi" w:hAnsiTheme="majorBidi" w:cstheme="majorBidi"/>
          <w:sz w:val="24"/>
          <w:szCs w:val="24"/>
        </w:rPr>
        <w:t xml:space="preserve"> meto</w:t>
      </w:r>
      <w:r w:rsidRPr="009F77A7">
        <w:rPr>
          <w:rFonts w:asciiTheme="majorBidi" w:hAnsiTheme="majorBidi" w:cstheme="majorBidi"/>
          <w:sz w:val="24"/>
          <w:szCs w:val="24"/>
        </w:rPr>
        <w:t>d</w:t>
      </w:r>
      <w:r w:rsidR="00910307" w:rsidRPr="009F77A7">
        <w:rPr>
          <w:rFonts w:asciiTheme="majorBidi" w:hAnsiTheme="majorBidi" w:cstheme="majorBidi"/>
          <w:sz w:val="24"/>
          <w:szCs w:val="24"/>
        </w:rPr>
        <w:t xml:space="preserve">e analisis teks dengan melibatkan kaidah </w:t>
      </w:r>
      <w:r w:rsidR="00910307" w:rsidRPr="009F77A7">
        <w:rPr>
          <w:rFonts w:asciiTheme="majorBidi" w:hAnsiTheme="majorBidi" w:cstheme="majorBidi"/>
          <w:i/>
          <w:iCs/>
          <w:sz w:val="24"/>
          <w:szCs w:val="24"/>
        </w:rPr>
        <w:t xml:space="preserve">rūḥ al-ma’nā </w:t>
      </w:r>
      <w:r w:rsidR="00910307" w:rsidRPr="009F77A7">
        <w:rPr>
          <w:rFonts w:asciiTheme="majorBidi" w:hAnsiTheme="majorBidi" w:cstheme="majorBidi"/>
          <w:sz w:val="24"/>
          <w:szCs w:val="24"/>
        </w:rPr>
        <w:t>dalam penakwilan Mulla Sadra bermaksud untuk menyelaraskan dua makna pada setiap ayat-ayat Alquran dengan tujuan menyelami makna yang terka</w:t>
      </w:r>
      <w:r w:rsidR="00202CF3" w:rsidRPr="009F77A7">
        <w:rPr>
          <w:rFonts w:asciiTheme="majorBidi" w:hAnsiTheme="majorBidi" w:cstheme="majorBidi"/>
          <w:sz w:val="24"/>
          <w:szCs w:val="24"/>
        </w:rPr>
        <w:t>n</w:t>
      </w:r>
      <w:r w:rsidR="00910307" w:rsidRPr="009F77A7">
        <w:rPr>
          <w:rFonts w:asciiTheme="majorBidi" w:hAnsiTheme="majorBidi" w:cstheme="majorBidi"/>
          <w:sz w:val="24"/>
          <w:szCs w:val="24"/>
        </w:rPr>
        <w:t xml:space="preserve">dung. Proses penyelaman makna ayat-ayat Alquran diawali dengan mengkaji dan menganalisis ayat </w:t>
      </w:r>
      <w:r w:rsidR="00202CF3" w:rsidRPr="009F77A7">
        <w:rPr>
          <w:rFonts w:asciiTheme="majorBidi" w:hAnsiTheme="majorBidi" w:cstheme="majorBidi"/>
          <w:sz w:val="24"/>
          <w:szCs w:val="24"/>
        </w:rPr>
        <w:t>yang terdiri dari</w:t>
      </w:r>
      <w:r w:rsidR="00910307" w:rsidRPr="009F77A7">
        <w:rPr>
          <w:rFonts w:asciiTheme="majorBidi" w:hAnsiTheme="majorBidi" w:cstheme="majorBidi"/>
          <w:sz w:val="24"/>
          <w:szCs w:val="24"/>
        </w:rPr>
        <w:t xml:space="preserve"> akar kata, bahasa, dan susunan kalimat untuk memperoleh pemahaman secara tekstual sebagai </w:t>
      </w:r>
      <w:r w:rsidRPr="009F77A7">
        <w:rPr>
          <w:rFonts w:asciiTheme="majorBidi" w:hAnsiTheme="majorBidi" w:cstheme="majorBidi"/>
          <w:sz w:val="24"/>
          <w:szCs w:val="24"/>
        </w:rPr>
        <w:t xml:space="preserve">langkah awal melakukan penakwilan untuk melangkah pada metode penyingkapan batin atau </w:t>
      </w:r>
      <w:r w:rsidRPr="009F77A7">
        <w:rPr>
          <w:rFonts w:asciiTheme="majorBidi" w:hAnsiTheme="majorBidi" w:cstheme="majorBidi"/>
          <w:i/>
          <w:iCs/>
          <w:sz w:val="24"/>
          <w:szCs w:val="24"/>
        </w:rPr>
        <w:t>mukashāfah</w:t>
      </w:r>
      <w:r w:rsidRPr="009F77A7">
        <w:rPr>
          <w:rFonts w:asciiTheme="majorBidi" w:hAnsiTheme="majorBidi" w:cstheme="majorBidi"/>
          <w:sz w:val="24"/>
          <w:szCs w:val="24"/>
        </w:rPr>
        <w:t xml:space="preserve"> terhadap ayat-ayat Alquran.</w:t>
      </w:r>
      <w:r w:rsidRPr="009F77A7">
        <w:rPr>
          <w:rStyle w:val="FootnoteReference"/>
          <w:rFonts w:asciiTheme="majorBidi" w:hAnsiTheme="majorBidi" w:cstheme="majorBidi"/>
          <w:sz w:val="24"/>
          <w:szCs w:val="24"/>
        </w:rPr>
        <w:footnoteReference w:id="41"/>
      </w:r>
      <w:r w:rsidRPr="009F77A7">
        <w:rPr>
          <w:rFonts w:asciiTheme="majorBidi" w:hAnsiTheme="majorBidi" w:cstheme="majorBidi"/>
          <w:sz w:val="24"/>
          <w:szCs w:val="24"/>
        </w:rPr>
        <w:t xml:space="preserve"> </w:t>
      </w:r>
      <w:r w:rsidR="00910307" w:rsidRPr="009F77A7">
        <w:rPr>
          <w:rFonts w:asciiTheme="majorBidi" w:hAnsiTheme="majorBidi" w:cstheme="majorBidi"/>
          <w:sz w:val="24"/>
          <w:szCs w:val="24"/>
        </w:rPr>
        <w:t xml:space="preserve"> </w:t>
      </w:r>
      <w:r w:rsidR="00FB4B99" w:rsidRPr="009F77A7">
        <w:rPr>
          <w:rFonts w:asciiTheme="majorBidi" w:hAnsiTheme="majorBidi" w:cstheme="majorBidi"/>
          <w:sz w:val="24"/>
          <w:szCs w:val="24"/>
        </w:rPr>
        <w:t xml:space="preserve"> </w:t>
      </w:r>
    </w:p>
    <w:p w:rsidR="001E0278" w:rsidRPr="009F77A7" w:rsidRDefault="00657C05" w:rsidP="00347F5F">
      <w:pPr>
        <w:pStyle w:val="ListParagraph"/>
        <w:autoSpaceDE w:val="0"/>
        <w:autoSpaceDN w:val="0"/>
        <w:adjustRightInd w:val="0"/>
        <w:spacing w:after="120" w:line="240" w:lineRule="auto"/>
        <w:ind w:left="1134"/>
        <w:jc w:val="both"/>
        <w:rPr>
          <w:rFonts w:asciiTheme="majorBidi" w:hAnsiTheme="majorBidi" w:cstheme="majorBidi"/>
          <w:b/>
          <w:bCs/>
          <w:sz w:val="24"/>
          <w:szCs w:val="24"/>
        </w:rPr>
      </w:pPr>
      <w:r w:rsidRPr="009F77A7">
        <w:rPr>
          <w:rFonts w:asciiTheme="majorBidi" w:hAnsiTheme="majorBidi" w:cstheme="majorBidi"/>
          <w:b/>
          <w:bCs/>
          <w:sz w:val="24"/>
          <w:szCs w:val="24"/>
        </w:rPr>
        <w:t>Metode Penyingkapan Batin (</w:t>
      </w:r>
      <w:r w:rsidRPr="009F77A7">
        <w:rPr>
          <w:rFonts w:asciiTheme="majorBidi" w:hAnsiTheme="majorBidi" w:cstheme="majorBidi"/>
          <w:b/>
          <w:bCs/>
          <w:i/>
          <w:iCs/>
          <w:sz w:val="24"/>
          <w:szCs w:val="24"/>
        </w:rPr>
        <w:t>Mukāshafah)</w:t>
      </w:r>
    </w:p>
    <w:p w:rsidR="007873FA" w:rsidRPr="009F77A7" w:rsidRDefault="00303932" w:rsidP="00B74429">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 xml:space="preserve">Pada pembahasan sebelumnya, telah dijelaskan bahwa metode </w:t>
      </w:r>
      <w:r w:rsidRPr="009F77A7">
        <w:rPr>
          <w:rFonts w:asciiTheme="majorBidi" w:hAnsiTheme="majorBidi" w:cstheme="majorBidi"/>
          <w:i/>
          <w:iCs/>
          <w:sz w:val="24"/>
          <w:szCs w:val="24"/>
        </w:rPr>
        <w:t xml:space="preserve">mukashāfah </w:t>
      </w:r>
      <w:r w:rsidRPr="009F77A7">
        <w:rPr>
          <w:rFonts w:asciiTheme="majorBidi" w:hAnsiTheme="majorBidi" w:cstheme="majorBidi"/>
          <w:sz w:val="24"/>
          <w:szCs w:val="24"/>
        </w:rPr>
        <w:t>merupakan langkah selanjutnya memahami ayat-ayat Alquran setelah metode analisis teks dalam penakwilan Mulla Sadra.</w:t>
      </w:r>
      <w:r w:rsidR="00F8376D" w:rsidRPr="009F77A7">
        <w:rPr>
          <w:rFonts w:asciiTheme="majorBidi" w:hAnsiTheme="majorBidi" w:cstheme="majorBidi"/>
          <w:sz w:val="24"/>
          <w:szCs w:val="24"/>
        </w:rPr>
        <w:t xml:space="preserve"> Metode </w:t>
      </w:r>
      <w:r w:rsidR="00F8376D" w:rsidRPr="009F77A7">
        <w:rPr>
          <w:rFonts w:asciiTheme="majorBidi" w:hAnsiTheme="majorBidi" w:cstheme="majorBidi"/>
          <w:i/>
          <w:iCs/>
          <w:sz w:val="24"/>
          <w:szCs w:val="24"/>
        </w:rPr>
        <w:t xml:space="preserve">mukashāfah </w:t>
      </w:r>
      <w:r w:rsidR="00F8376D" w:rsidRPr="009F77A7">
        <w:rPr>
          <w:rFonts w:asciiTheme="majorBidi" w:hAnsiTheme="majorBidi" w:cstheme="majorBidi"/>
          <w:sz w:val="24"/>
          <w:szCs w:val="24"/>
        </w:rPr>
        <w:t>dalam pandangan Mulla Sadra haru</w:t>
      </w:r>
      <w:r w:rsidR="008F6CB7" w:rsidRPr="009F77A7">
        <w:rPr>
          <w:rFonts w:asciiTheme="majorBidi" w:hAnsiTheme="majorBidi" w:cstheme="majorBidi"/>
          <w:sz w:val="24"/>
          <w:szCs w:val="24"/>
        </w:rPr>
        <w:t>s</w:t>
      </w:r>
      <w:r w:rsidR="00F8376D" w:rsidRPr="009F77A7">
        <w:rPr>
          <w:rFonts w:asciiTheme="majorBidi" w:hAnsiTheme="majorBidi" w:cstheme="majorBidi"/>
          <w:sz w:val="24"/>
          <w:szCs w:val="24"/>
        </w:rPr>
        <w:t xml:space="preserve"> dilandasi oleh penyucian jiwa atau </w:t>
      </w:r>
      <w:r w:rsidR="00F8376D" w:rsidRPr="009F77A7">
        <w:rPr>
          <w:rFonts w:asciiTheme="majorBidi" w:hAnsiTheme="majorBidi" w:cstheme="majorBidi"/>
          <w:i/>
          <w:iCs/>
          <w:sz w:val="24"/>
          <w:szCs w:val="24"/>
        </w:rPr>
        <w:t>tazkiyyah a</w:t>
      </w:r>
      <w:r w:rsidR="00F42237" w:rsidRPr="009F77A7">
        <w:rPr>
          <w:rFonts w:asciiTheme="majorBidi" w:hAnsiTheme="majorBidi" w:cstheme="majorBidi"/>
          <w:i/>
          <w:iCs/>
          <w:sz w:val="24"/>
          <w:szCs w:val="24"/>
        </w:rPr>
        <w:t>l</w:t>
      </w:r>
      <w:r w:rsidR="00F8376D" w:rsidRPr="009F77A7">
        <w:rPr>
          <w:rFonts w:asciiTheme="majorBidi" w:hAnsiTheme="majorBidi" w:cstheme="majorBidi"/>
          <w:i/>
          <w:iCs/>
          <w:sz w:val="24"/>
          <w:szCs w:val="24"/>
        </w:rPr>
        <w:t xml:space="preserve">-nafs </w:t>
      </w:r>
      <w:r w:rsidR="00F8376D" w:rsidRPr="009F77A7">
        <w:rPr>
          <w:rFonts w:asciiTheme="majorBidi" w:hAnsiTheme="majorBidi" w:cstheme="majorBidi"/>
          <w:sz w:val="24"/>
          <w:szCs w:val="24"/>
        </w:rPr>
        <w:t xml:space="preserve">sebagai jalan utama untuk memahami ilmu </w:t>
      </w:r>
      <w:r w:rsidR="00F8376D" w:rsidRPr="009F77A7">
        <w:rPr>
          <w:rFonts w:asciiTheme="majorBidi" w:hAnsiTheme="majorBidi" w:cstheme="majorBidi"/>
          <w:i/>
          <w:iCs/>
          <w:sz w:val="24"/>
          <w:szCs w:val="24"/>
        </w:rPr>
        <w:t>kashf</w:t>
      </w:r>
      <w:r w:rsidR="00F8376D" w:rsidRPr="009F77A7">
        <w:rPr>
          <w:rFonts w:asciiTheme="majorBidi" w:hAnsiTheme="majorBidi" w:cstheme="majorBidi"/>
          <w:sz w:val="24"/>
          <w:szCs w:val="24"/>
        </w:rPr>
        <w:t>, makam ‘</w:t>
      </w:r>
      <w:r w:rsidR="00F8376D" w:rsidRPr="009F77A7">
        <w:rPr>
          <w:rFonts w:asciiTheme="majorBidi" w:hAnsiTheme="majorBidi" w:cstheme="majorBidi"/>
          <w:i/>
          <w:iCs/>
          <w:sz w:val="24"/>
          <w:szCs w:val="24"/>
        </w:rPr>
        <w:t xml:space="preserve">ain al-yaqīn </w:t>
      </w:r>
      <w:r w:rsidR="00F8376D" w:rsidRPr="009F77A7">
        <w:rPr>
          <w:rFonts w:asciiTheme="majorBidi" w:hAnsiTheme="majorBidi" w:cstheme="majorBidi"/>
          <w:sz w:val="24"/>
          <w:szCs w:val="24"/>
        </w:rPr>
        <w:t xml:space="preserve">dan makam </w:t>
      </w:r>
      <w:r w:rsidR="00F8376D" w:rsidRPr="009F77A7">
        <w:rPr>
          <w:rFonts w:asciiTheme="majorBidi" w:hAnsiTheme="majorBidi" w:cstheme="majorBidi"/>
          <w:i/>
          <w:iCs/>
          <w:sz w:val="24"/>
          <w:szCs w:val="24"/>
        </w:rPr>
        <w:t>haq al-yaqīn</w:t>
      </w:r>
      <w:r w:rsidR="00F8376D" w:rsidRPr="009F77A7">
        <w:rPr>
          <w:rFonts w:asciiTheme="majorBidi" w:hAnsiTheme="majorBidi" w:cstheme="majorBidi"/>
          <w:sz w:val="24"/>
          <w:szCs w:val="24"/>
        </w:rPr>
        <w:t>.</w:t>
      </w:r>
      <w:r w:rsidR="00F8376D" w:rsidRPr="009F77A7">
        <w:rPr>
          <w:rStyle w:val="FootnoteReference"/>
          <w:rFonts w:asciiTheme="majorBidi" w:hAnsiTheme="majorBidi" w:cstheme="majorBidi"/>
          <w:sz w:val="24"/>
          <w:szCs w:val="24"/>
        </w:rPr>
        <w:footnoteReference w:id="42"/>
      </w:r>
      <w:r w:rsidR="00F8376D" w:rsidRPr="009F77A7">
        <w:rPr>
          <w:rFonts w:asciiTheme="majorBidi" w:hAnsiTheme="majorBidi" w:cstheme="majorBidi"/>
          <w:sz w:val="24"/>
          <w:szCs w:val="24"/>
        </w:rPr>
        <w:t xml:space="preserve"> Menurut Mulla Sadra Alquran merupakan firman Tuhan yang suci, sehingga untuk memahaminya diperlukan kesucian hati, pikiran, dan keyakinan.</w:t>
      </w:r>
      <w:r w:rsidR="00FA0E56" w:rsidRPr="009F77A7">
        <w:rPr>
          <w:rStyle w:val="FootnoteReference"/>
          <w:rFonts w:asciiTheme="majorBidi" w:hAnsiTheme="majorBidi" w:cstheme="majorBidi"/>
          <w:sz w:val="24"/>
          <w:szCs w:val="24"/>
        </w:rPr>
        <w:footnoteReference w:id="43"/>
      </w:r>
      <w:r w:rsidR="00CA646D" w:rsidRPr="009F77A7">
        <w:rPr>
          <w:rFonts w:asciiTheme="majorBidi" w:hAnsiTheme="majorBidi" w:cstheme="majorBidi"/>
          <w:sz w:val="24"/>
          <w:szCs w:val="24"/>
        </w:rPr>
        <w:t xml:space="preserve"> Kesucian hati, pikiran, dan keyakinan akan mempengaruhi jiwa manusia untuk menyingkap seluruh tirai-tirai penghalang penyaksian, sehingga individu dapat memahami kedalaman suatu makna secara langsung atau </w:t>
      </w:r>
      <w:r w:rsidR="00CA646D" w:rsidRPr="009F77A7">
        <w:rPr>
          <w:rFonts w:asciiTheme="majorBidi" w:hAnsiTheme="majorBidi" w:cstheme="majorBidi"/>
          <w:i/>
          <w:iCs/>
          <w:sz w:val="24"/>
          <w:szCs w:val="24"/>
        </w:rPr>
        <w:t xml:space="preserve">mushāhadah </w:t>
      </w:r>
      <w:r w:rsidR="00CA646D" w:rsidRPr="009F77A7">
        <w:rPr>
          <w:rFonts w:asciiTheme="majorBidi" w:hAnsiTheme="majorBidi" w:cstheme="majorBidi"/>
          <w:sz w:val="24"/>
          <w:szCs w:val="24"/>
        </w:rPr>
        <w:t xml:space="preserve">sebagai proses terakhir mengetahui makna batin suatu ayat. Pada proses </w:t>
      </w:r>
      <w:r w:rsidR="00CA646D" w:rsidRPr="009F77A7">
        <w:rPr>
          <w:rFonts w:asciiTheme="majorBidi" w:hAnsiTheme="majorBidi" w:cstheme="majorBidi"/>
          <w:i/>
          <w:iCs/>
          <w:sz w:val="24"/>
          <w:szCs w:val="24"/>
        </w:rPr>
        <w:t xml:space="preserve">mushāhadah, </w:t>
      </w:r>
      <w:r w:rsidR="00CA646D" w:rsidRPr="009F77A7">
        <w:rPr>
          <w:rFonts w:asciiTheme="majorBidi" w:hAnsiTheme="majorBidi" w:cstheme="majorBidi"/>
          <w:sz w:val="24"/>
          <w:szCs w:val="24"/>
        </w:rPr>
        <w:t xml:space="preserve">para sufi maupun arif meraih berbagai tingkatan eksistensi dan menyaksikan segala bentuk hakikat dalam setiap tingkatan dan kedalaman ayat-ayat Alquran yang menjadi rahasia bagi setiap individu yang tidak mencapai proses </w:t>
      </w:r>
      <w:r w:rsidR="00CA646D" w:rsidRPr="009F77A7">
        <w:rPr>
          <w:rFonts w:asciiTheme="majorBidi" w:hAnsiTheme="majorBidi" w:cstheme="majorBidi"/>
          <w:i/>
          <w:iCs/>
          <w:sz w:val="24"/>
          <w:szCs w:val="24"/>
        </w:rPr>
        <w:t xml:space="preserve">mushāhadah </w:t>
      </w:r>
      <w:r w:rsidR="00CA646D" w:rsidRPr="009F77A7">
        <w:rPr>
          <w:rFonts w:asciiTheme="majorBidi" w:hAnsiTheme="majorBidi" w:cstheme="majorBidi"/>
          <w:sz w:val="24"/>
          <w:szCs w:val="24"/>
        </w:rPr>
        <w:t xml:space="preserve">untuk memahami realias batin </w:t>
      </w:r>
      <w:r w:rsidR="00CA646D" w:rsidRPr="009F77A7">
        <w:rPr>
          <w:rFonts w:asciiTheme="majorBidi" w:hAnsiTheme="majorBidi" w:cstheme="majorBidi"/>
          <w:sz w:val="24"/>
          <w:szCs w:val="24"/>
        </w:rPr>
        <w:lastRenderedPageBreak/>
        <w:t>ayat-ayat Alquran.</w:t>
      </w:r>
      <w:r w:rsidR="00FA0E56" w:rsidRPr="009F77A7">
        <w:rPr>
          <w:rStyle w:val="FootnoteReference"/>
          <w:rFonts w:asciiTheme="majorBidi" w:hAnsiTheme="majorBidi" w:cstheme="majorBidi"/>
          <w:sz w:val="24"/>
          <w:szCs w:val="24"/>
        </w:rPr>
        <w:footnoteReference w:id="44"/>
      </w:r>
      <w:r w:rsidR="00CA646D" w:rsidRPr="009F77A7">
        <w:rPr>
          <w:rFonts w:asciiTheme="majorBidi" w:hAnsiTheme="majorBidi" w:cstheme="majorBidi"/>
          <w:sz w:val="24"/>
          <w:szCs w:val="24"/>
        </w:rPr>
        <w:t xml:space="preserve"> Dengan demikian, dapat dipahami bahwa metode </w:t>
      </w:r>
      <w:r w:rsidR="00CA646D" w:rsidRPr="009F77A7">
        <w:rPr>
          <w:rFonts w:asciiTheme="majorBidi" w:hAnsiTheme="majorBidi" w:cstheme="majorBidi"/>
          <w:i/>
          <w:iCs/>
          <w:sz w:val="24"/>
          <w:szCs w:val="24"/>
        </w:rPr>
        <w:t>mukashāfah</w:t>
      </w:r>
      <w:r w:rsidR="007873FA" w:rsidRPr="009F77A7">
        <w:rPr>
          <w:rFonts w:asciiTheme="majorBidi" w:hAnsiTheme="majorBidi" w:cstheme="majorBidi"/>
          <w:i/>
          <w:iCs/>
          <w:sz w:val="24"/>
          <w:szCs w:val="24"/>
        </w:rPr>
        <w:t xml:space="preserve">i </w:t>
      </w:r>
      <w:r w:rsidR="007873FA" w:rsidRPr="009F77A7">
        <w:rPr>
          <w:rFonts w:asciiTheme="majorBidi" w:hAnsiTheme="majorBidi" w:cstheme="majorBidi"/>
          <w:sz w:val="24"/>
          <w:szCs w:val="24"/>
        </w:rPr>
        <w:t>ialah cara untuk memahami kedalaman makna suatu ayat-ayat Alquran yang diperoleh melalui proses analisis teks dan penyucian diri sebagai basis penerapannya.</w:t>
      </w:r>
    </w:p>
    <w:p w:rsidR="00CA646D" w:rsidRPr="009F77A7" w:rsidRDefault="007873FA" w:rsidP="00B74429">
      <w:pPr>
        <w:autoSpaceDE w:val="0"/>
        <w:autoSpaceDN w:val="0"/>
        <w:adjustRightInd w:val="0"/>
        <w:spacing w:after="24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 xml:space="preserve">Dalam kaitannya dengan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Pr="009F77A7">
        <w:rPr>
          <w:rFonts w:asciiTheme="majorBidi" w:hAnsiTheme="majorBidi" w:cstheme="majorBidi"/>
          <w:sz w:val="24"/>
          <w:szCs w:val="24"/>
        </w:rPr>
        <w:t xml:space="preserve"> penakwilan Mulla Sadra berusaha menyingkap makna lahiriah dengan melibatkan metode analisis teks. Metode teks memahami setiap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yang tersebar di 32 </w:t>
      </w:r>
      <w:r w:rsidR="00107005" w:rsidRPr="009F77A7">
        <w:rPr>
          <w:rFonts w:asciiTheme="majorBidi" w:hAnsiTheme="majorBidi" w:cstheme="majorBidi"/>
          <w:sz w:val="24"/>
          <w:szCs w:val="24"/>
        </w:rPr>
        <w:t>surah</w:t>
      </w:r>
      <w:r w:rsidRPr="009F77A7">
        <w:rPr>
          <w:rFonts w:asciiTheme="majorBidi" w:hAnsiTheme="majorBidi" w:cstheme="majorBidi"/>
          <w:sz w:val="24"/>
          <w:szCs w:val="24"/>
        </w:rPr>
        <w:t xml:space="preserve"> Alquran yang dianalisis </w:t>
      </w:r>
      <w:r w:rsidR="003E28D1" w:rsidRPr="009F77A7">
        <w:rPr>
          <w:rFonts w:asciiTheme="majorBidi" w:hAnsiTheme="majorBidi" w:cstheme="majorBidi"/>
          <w:sz w:val="24"/>
          <w:szCs w:val="24"/>
        </w:rPr>
        <w:t>dari</w:t>
      </w:r>
      <w:r w:rsidRPr="009F77A7">
        <w:rPr>
          <w:rFonts w:asciiTheme="majorBidi" w:hAnsiTheme="majorBidi" w:cstheme="majorBidi"/>
          <w:sz w:val="24"/>
          <w:szCs w:val="24"/>
        </w:rPr>
        <w:t xml:space="preserve"> akar kata, bahasa, dan kalimat. Analisis secara akar kata, bahasa, dan kalimat akan membangun sebuah pemahaman individu terhadap nilai-nilai tekstual, sehingga penakwilan bersifat batin tidak akan </w:t>
      </w:r>
      <w:r w:rsidR="005C2056" w:rsidRPr="009F77A7">
        <w:rPr>
          <w:rFonts w:asciiTheme="majorBidi" w:hAnsiTheme="majorBidi" w:cstheme="majorBidi"/>
          <w:sz w:val="24"/>
          <w:szCs w:val="24"/>
        </w:rPr>
        <w:t xml:space="preserve">keluar dari pemahaman lahirah terhadap istilah </w:t>
      </w:r>
      <w:r w:rsidR="005C2056" w:rsidRPr="009F77A7">
        <w:rPr>
          <w:rFonts w:asciiTheme="majorBidi" w:hAnsiTheme="majorBidi" w:cstheme="majorBidi"/>
          <w:i/>
          <w:iCs/>
          <w:sz w:val="24"/>
          <w:szCs w:val="24"/>
        </w:rPr>
        <w:t>as-ṣirāṭ</w:t>
      </w:r>
      <w:r w:rsidR="005C2056" w:rsidRPr="009F77A7">
        <w:rPr>
          <w:rFonts w:asciiTheme="majorBidi" w:hAnsiTheme="majorBidi" w:cstheme="majorBidi"/>
          <w:sz w:val="24"/>
          <w:szCs w:val="24"/>
        </w:rPr>
        <w:t xml:space="preserve"> </w:t>
      </w:r>
      <w:r w:rsidR="005C2056" w:rsidRPr="009F77A7">
        <w:rPr>
          <w:rFonts w:asciiTheme="majorBidi" w:hAnsiTheme="majorBidi" w:cstheme="majorBidi"/>
          <w:i/>
          <w:iCs/>
          <w:sz w:val="24"/>
          <w:szCs w:val="24"/>
        </w:rPr>
        <w:t>al-mustaqīm</w:t>
      </w:r>
      <w:r w:rsidRPr="009F77A7">
        <w:rPr>
          <w:rFonts w:asciiTheme="majorBidi" w:hAnsiTheme="majorBidi" w:cstheme="majorBidi"/>
          <w:sz w:val="24"/>
          <w:szCs w:val="24"/>
        </w:rPr>
        <w:t>.</w:t>
      </w:r>
      <w:r w:rsidR="00BB078F" w:rsidRPr="009F77A7">
        <w:rPr>
          <w:rStyle w:val="FootnoteReference"/>
          <w:rFonts w:asciiTheme="majorBidi" w:hAnsiTheme="majorBidi" w:cstheme="majorBidi"/>
          <w:sz w:val="24"/>
          <w:szCs w:val="24"/>
        </w:rPr>
        <w:footnoteReference w:id="45"/>
      </w:r>
      <w:r w:rsidRPr="009F77A7">
        <w:rPr>
          <w:rFonts w:asciiTheme="majorBidi" w:hAnsiTheme="majorBidi" w:cstheme="majorBidi"/>
          <w:sz w:val="24"/>
          <w:szCs w:val="24"/>
        </w:rPr>
        <w:t xml:space="preserve"> </w:t>
      </w:r>
      <w:r w:rsidR="005C2056" w:rsidRPr="009F77A7">
        <w:rPr>
          <w:rFonts w:asciiTheme="majorBidi" w:hAnsiTheme="majorBidi" w:cstheme="majorBidi"/>
          <w:sz w:val="24"/>
          <w:szCs w:val="24"/>
        </w:rPr>
        <w:t>Sedangkan, metode</w:t>
      </w:r>
      <w:r w:rsidR="00BB078F" w:rsidRPr="009F77A7">
        <w:rPr>
          <w:rFonts w:asciiTheme="majorBidi" w:hAnsiTheme="majorBidi" w:cstheme="majorBidi"/>
          <w:sz w:val="24"/>
          <w:szCs w:val="24"/>
        </w:rPr>
        <w:t xml:space="preserve"> </w:t>
      </w:r>
      <w:r w:rsidR="00BB078F" w:rsidRPr="009F77A7">
        <w:rPr>
          <w:rFonts w:asciiTheme="majorBidi" w:hAnsiTheme="majorBidi" w:cstheme="majorBidi"/>
          <w:i/>
          <w:iCs/>
          <w:sz w:val="24"/>
          <w:szCs w:val="24"/>
        </w:rPr>
        <w:t xml:space="preserve">mukashāfah </w:t>
      </w:r>
      <w:r w:rsidR="00BB078F" w:rsidRPr="009F77A7">
        <w:rPr>
          <w:rFonts w:asciiTheme="majorBidi" w:hAnsiTheme="majorBidi" w:cstheme="majorBidi"/>
          <w:sz w:val="24"/>
          <w:szCs w:val="24"/>
        </w:rPr>
        <w:t xml:space="preserve">dalam penakwilan Mulla Sadra merupakan proses penyingkapan makna lahiriah sehingga pemahaman individu mengenai </w:t>
      </w:r>
      <w:r w:rsidR="00BB078F" w:rsidRPr="009F77A7">
        <w:rPr>
          <w:rFonts w:asciiTheme="majorBidi" w:hAnsiTheme="majorBidi" w:cstheme="majorBidi"/>
          <w:i/>
          <w:iCs/>
          <w:sz w:val="24"/>
          <w:szCs w:val="24"/>
        </w:rPr>
        <w:t>as-ṣirāṭ</w:t>
      </w:r>
      <w:r w:rsidR="00BB078F" w:rsidRPr="009F77A7">
        <w:rPr>
          <w:rFonts w:asciiTheme="majorBidi" w:hAnsiTheme="majorBidi" w:cstheme="majorBidi"/>
          <w:sz w:val="24"/>
          <w:szCs w:val="24"/>
        </w:rPr>
        <w:t xml:space="preserve"> </w:t>
      </w:r>
      <w:r w:rsidR="00BB078F" w:rsidRPr="009F77A7">
        <w:rPr>
          <w:rFonts w:asciiTheme="majorBidi" w:hAnsiTheme="majorBidi" w:cstheme="majorBidi"/>
          <w:i/>
          <w:iCs/>
          <w:sz w:val="24"/>
          <w:szCs w:val="24"/>
        </w:rPr>
        <w:t xml:space="preserve">al-mustaqīm </w:t>
      </w:r>
      <w:r w:rsidR="00BB078F" w:rsidRPr="009F77A7">
        <w:rPr>
          <w:rFonts w:asciiTheme="majorBidi" w:hAnsiTheme="majorBidi" w:cstheme="majorBidi"/>
          <w:sz w:val="24"/>
          <w:szCs w:val="24"/>
        </w:rPr>
        <w:t>akan disempurnakan melalui ragam penyingkapan yang melibatkan penyucian jiwa.</w:t>
      </w:r>
      <w:r w:rsidR="00BB078F" w:rsidRPr="009F77A7">
        <w:rPr>
          <w:rStyle w:val="FootnoteReference"/>
          <w:rFonts w:asciiTheme="majorBidi" w:hAnsiTheme="majorBidi" w:cstheme="majorBidi"/>
          <w:sz w:val="24"/>
          <w:szCs w:val="24"/>
        </w:rPr>
        <w:footnoteReference w:id="46"/>
      </w:r>
      <w:r w:rsidR="00BB078F" w:rsidRPr="009F77A7">
        <w:rPr>
          <w:rFonts w:asciiTheme="majorBidi" w:hAnsiTheme="majorBidi" w:cstheme="majorBidi"/>
          <w:sz w:val="24"/>
          <w:szCs w:val="24"/>
        </w:rPr>
        <w:t xml:space="preserve"> Dari kedua metode tersebut, dipahami bahwa Mulla Sadra melibatkan aspek lahiriah dan batin sebagai metode penakwilan untuk menyingkap makna</w:t>
      </w:r>
      <w:r w:rsidR="00603717" w:rsidRPr="009F77A7">
        <w:rPr>
          <w:rFonts w:asciiTheme="majorBidi" w:hAnsiTheme="majorBidi" w:cstheme="majorBidi"/>
          <w:sz w:val="24"/>
          <w:szCs w:val="24"/>
        </w:rPr>
        <w:t xml:space="preserve"> dan hakikat</w:t>
      </w:r>
      <w:r w:rsidR="00BB078F" w:rsidRPr="009F77A7">
        <w:rPr>
          <w:rFonts w:asciiTheme="majorBidi" w:hAnsiTheme="majorBidi" w:cstheme="majorBidi"/>
          <w:sz w:val="24"/>
          <w:szCs w:val="24"/>
        </w:rPr>
        <w:t xml:space="preserve"> term </w:t>
      </w:r>
      <w:r w:rsidR="00BB078F" w:rsidRPr="009F77A7">
        <w:rPr>
          <w:rFonts w:asciiTheme="majorBidi" w:hAnsiTheme="majorBidi" w:cstheme="majorBidi"/>
          <w:i/>
          <w:iCs/>
          <w:sz w:val="24"/>
          <w:szCs w:val="24"/>
        </w:rPr>
        <w:t>as-ṣirāṭ</w:t>
      </w:r>
      <w:r w:rsidR="00BB078F" w:rsidRPr="009F77A7">
        <w:rPr>
          <w:rFonts w:asciiTheme="majorBidi" w:hAnsiTheme="majorBidi" w:cstheme="majorBidi"/>
          <w:sz w:val="24"/>
          <w:szCs w:val="24"/>
        </w:rPr>
        <w:t xml:space="preserve"> </w:t>
      </w:r>
      <w:r w:rsidR="00BB078F" w:rsidRPr="009F77A7">
        <w:rPr>
          <w:rFonts w:asciiTheme="majorBidi" w:hAnsiTheme="majorBidi" w:cstheme="majorBidi"/>
          <w:i/>
          <w:iCs/>
          <w:sz w:val="24"/>
          <w:szCs w:val="24"/>
        </w:rPr>
        <w:t xml:space="preserve">al-mustaqīm </w:t>
      </w:r>
      <w:r w:rsidR="00BB078F" w:rsidRPr="009F77A7">
        <w:rPr>
          <w:rFonts w:asciiTheme="majorBidi" w:hAnsiTheme="majorBidi" w:cstheme="majorBidi"/>
          <w:sz w:val="24"/>
          <w:szCs w:val="24"/>
        </w:rPr>
        <w:t xml:space="preserve">di </w:t>
      </w:r>
      <w:r w:rsidR="00FB4300" w:rsidRPr="009F77A7">
        <w:rPr>
          <w:rFonts w:asciiTheme="majorBidi" w:hAnsiTheme="majorBidi" w:cstheme="majorBidi"/>
          <w:sz w:val="24"/>
          <w:szCs w:val="24"/>
        </w:rPr>
        <w:t xml:space="preserve">dalam </w:t>
      </w:r>
      <w:r w:rsidR="00BB078F" w:rsidRPr="009F77A7">
        <w:rPr>
          <w:rFonts w:asciiTheme="majorBidi" w:hAnsiTheme="majorBidi" w:cstheme="majorBidi"/>
          <w:sz w:val="24"/>
          <w:szCs w:val="24"/>
        </w:rPr>
        <w:t xml:space="preserve">Alquran. Demi mempertegas dua metode penakwilan tersebut, penulis akan menjelaskan takwil </w:t>
      </w:r>
      <w:r w:rsidR="00BB078F" w:rsidRPr="009F77A7">
        <w:rPr>
          <w:rFonts w:asciiTheme="majorBidi" w:hAnsiTheme="majorBidi" w:cstheme="majorBidi"/>
          <w:i/>
          <w:iCs/>
          <w:sz w:val="24"/>
          <w:szCs w:val="24"/>
        </w:rPr>
        <w:t>as-ṣirāṭ</w:t>
      </w:r>
      <w:r w:rsidR="00BB078F" w:rsidRPr="009F77A7">
        <w:rPr>
          <w:rFonts w:asciiTheme="majorBidi" w:hAnsiTheme="majorBidi" w:cstheme="majorBidi"/>
          <w:sz w:val="24"/>
          <w:szCs w:val="24"/>
        </w:rPr>
        <w:t xml:space="preserve"> </w:t>
      </w:r>
      <w:r w:rsidR="00BB078F" w:rsidRPr="009F77A7">
        <w:rPr>
          <w:rFonts w:asciiTheme="majorBidi" w:hAnsiTheme="majorBidi" w:cstheme="majorBidi"/>
          <w:i/>
          <w:iCs/>
          <w:sz w:val="24"/>
          <w:szCs w:val="24"/>
        </w:rPr>
        <w:t>al-mustaqīm</w:t>
      </w:r>
      <w:r w:rsidR="00BB078F" w:rsidRPr="009F77A7">
        <w:rPr>
          <w:rFonts w:asciiTheme="majorBidi" w:hAnsiTheme="majorBidi" w:cstheme="majorBidi"/>
          <w:sz w:val="24"/>
          <w:szCs w:val="24"/>
        </w:rPr>
        <w:t xml:space="preserve"> dalam </w:t>
      </w:r>
      <w:r w:rsidR="00A62473" w:rsidRPr="009F77A7">
        <w:rPr>
          <w:rFonts w:asciiTheme="majorBidi" w:hAnsiTheme="majorBidi" w:cstheme="majorBidi"/>
          <w:sz w:val="24"/>
          <w:szCs w:val="24"/>
        </w:rPr>
        <w:t>pandangan</w:t>
      </w:r>
      <w:r w:rsidR="00BB078F" w:rsidRPr="009F77A7">
        <w:rPr>
          <w:rFonts w:asciiTheme="majorBidi" w:hAnsiTheme="majorBidi" w:cstheme="majorBidi"/>
          <w:sz w:val="24"/>
          <w:szCs w:val="24"/>
        </w:rPr>
        <w:t xml:space="preserve"> Mulla Sadra pada pembahasan selanjutnya.</w:t>
      </w:r>
      <w:r w:rsidR="00BB078F" w:rsidRPr="009F77A7">
        <w:rPr>
          <w:rFonts w:asciiTheme="majorBidi" w:hAnsiTheme="majorBidi" w:cstheme="majorBidi"/>
          <w:i/>
          <w:iCs/>
          <w:sz w:val="24"/>
          <w:szCs w:val="24"/>
        </w:rPr>
        <w:t xml:space="preserve"> </w:t>
      </w:r>
      <w:r w:rsidR="00BB078F" w:rsidRPr="009F77A7">
        <w:rPr>
          <w:rFonts w:asciiTheme="majorBidi" w:hAnsiTheme="majorBidi" w:cstheme="majorBidi"/>
          <w:sz w:val="24"/>
          <w:szCs w:val="24"/>
        </w:rPr>
        <w:t xml:space="preserve">   </w:t>
      </w:r>
      <w:r w:rsidR="005C2056" w:rsidRPr="009F77A7">
        <w:rPr>
          <w:rFonts w:asciiTheme="majorBidi" w:hAnsiTheme="majorBidi" w:cstheme="majorBidi"/>
          <w:sz w:val="24"/>
          <w:szCs w:val="24"/>
        </w:rPr>
        <w:t xml:space="preserve">  </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  </w:t>
      </w:r>
      <w:r w:rsidR="00CA646D" w:rsidRPr="009F77A7">
        <w:rPr>
          <w:rFonts w:asciiTheme="majorBidi" w:hAnsiTheme="majorBidi" w:cstheme="majorBidi"/>
          <w:i/>
          <w:iCs/>
          <w:sz w:val="24"/>
          <w:szCs w:val="24"/>
        </w:rPr>
        <w:t xml:space="preserve"> </w:t>
      </w:r>
      <w:r w:rsidR="00CA646D" w:rsidRPr="009F77A7">
        <w:rPr>
          <w:rFonts w:asciiTheme="majorBidi" w:hAnsiTheme="majorBidi" w:cstheme="majorBidi"/>
          <w:sz w:val="24"/>
          <w:szCs w:val="24"/>
        </w:rPr>
        <w:t xml:space="preserve"> </w:t>
      </w:r>
    </w:p>
    <w:p w:rsidR="00BB078F" w:rsidRPr="009F77A7" w:rsidRDefault="00A62473" w:rsidP="00062CDB">
      <w:pPr>
        <w:autoSpaceDE w:val="0"/>
        <w:autoSpaceDN w:val="0"/>
        <w:adjustRightInd w:val="0"/>
        <w:spacing w:after="120" w:line="240" w:lineRule="auto"/>
        <w:ind w:firstLine="426"/>
        <w:jc w:val="both"/>
        <w:rPr>
          <w:rFonts w:asciiTheme="majorBidi" w:hAnsiTheme="majorBidi" w:cstheme="majorBidi"/>
          <w:b/>
          <w:bCs/>
          <w:sz w:val="24"/>
          <w:szCs w:val="24"/>
        </w:rPr>
      </w:pPr>
      <w:r w:rsidRPr="009F77A7">
        <w:rPr>
          <w:rFonts w:asciiTheme="majorBidi" w:hAnsiTheme="majorBidi" w:cstheme="majorBidi"/>
          <w:b/>
          <w:bCs/>
          <w:sz w:val="24"/>
          <w:szCs w:val="24"/>
        </w:rPr>
        <w:t>Term</w:t>
      </w:r>
      <w:r w:rsidR="00BB078F" w:rsidRPr="009F77A7">
        <w:rPr>
          <w:rFonts w:asciiTheme="majorBidi" w:hAnsiTheme="majorBidi" w:cstheme="majorBidi"/>
          <w:b/>
          <w:bCs/>
          <w:sz w:val="24"/>
          <w:szCs w:val="24"/>
        </w:rPr>
        <w:t xml:space="preserve"> </w:t>
      </w:r>
      <w:r w:rsidR="00BB078F" w:rsidRPr="009F77A7">
        <w:rPr>
          <w:rFonts w:asciiTheme="majorBidi" w:hAnsiTheme="majorBidi" w:cstheme="majorBidi"/>
          <w:b/>
          <w:bCs/>
          <w:i/>
          <w:iCs/>
          <w:sz w:val="24"/>
          <w:szCs w:val="24"/>
        </w:rPr>
        <w:t>As-ṣirāṭ</w:t>
      </w:r>
      <w:r w:rsidR="00BB078F" w:rsidRPr="009F77A7">
        <w:rPr>
          <w:rFonts w:asciiTheme="majorBidi" w:hAnsiTheme="majorBidi" w:cstheme="majorBidi"/>
          <w:b/>
          <w:bCs/>
          <w:sz w:val="24"/>
          <w:szCs w:val="24"/>
        </w:rPr>
        <w:t xml:space="preserve"> </w:t>
      </w:r>
      <w:r w:rsidR="00BB078F" w:rsidRPr="009F77A7">
        <w:rPr>
          <w:rFonts w:asciiTheme="majorBidi" w:hAnsiTheme="majorBidi" w:cstheme="majorBidi"/>
          <w:b/>
          <w:bCs/>
          <w:i/>
          <w:iCs/>
          <w:sz w:val="24"/>
          <w:szCs w:val="24"/>
        </w:rPr>
        <w:t xml:space="preserve">Al-Mustaqīm </w:t>
      </w:r>
      <w:r w:rsidRPr="009F77A7">
        <w:rPr>
          <w:rFonts w:asciiTheme="majorBidi" w:hAnsiTheme="majorBidi" w:cstheme="majorBidi"/>
          <w:b/>
          <w:bCs/>
          <w:sz w:val="24"/>
          <w:szCs w:val="24"/>
        </w:rPr>
        <w:t>Menurut Takwil</w:t>
      </w:r>
      <w:r w:rsidR="00BB078F" w:rsidRPr="009F77A7">
        <w:rPr>
          <w:rFonts w:asciiTheme="majorBidi" w:hAnsiTheme="majorBidi" w:cstheme="majorBidi"/>
          <w:b/>
          <w:bCs/>
          <w:sz w:val="24"/>
          <w:szCs w:val="24"/>
        </w:rPr>
        <w:t xml:space="preserve"> Mulla Sadra</w:t>
      </w:r>
    </w:p>
    <w:p w:rsidR="00DE6CD1" w:rsidRPr="009F77A7" w:rsidRDefault="00B51FF0"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Mulla Sadra men</w:t>
      </w:r>
      <w:r w:rsidR="003052DE" w:rsidRPr="009F77A7">
        <w:rPr>
          <w:rFonts w:asciiTheme="majorBidi" w:hAnsiTheme="majorBidi" w:cstheme="majorBidi"/>
          <w:sz w:val="24"/>
          <w:szCs w:val="24"/>
        </w:rPr>
        <w:t xml:space="preserve">jelaskan </w:t>
      </w:r>
      <w:r w:rsidR="0008042D" w:rsidRPr="009F77A7">
        <w:rPr>
          <w:rFonts w:asciiTheme="majorBidi" w:hAnsiTheme="majorBidi" w:cstheme="majorBidi"/>
          <w:i/>
          <w:iCs/>
          <w:sz w:val="24"/>
          <w:szCs w:val="24"/>
        </w:rPr>
        <w:t>as-ṣirāṭ</w:t>
      </w:r>
      <w:r w:rsidR="0008042D" w:rsidRPr="009F77A7">
        <w:rPr>
          <w:rFonts w:asciiTheme="majorBidi" w:hAnsiTheme="majorBidi" w:cstheme="majorBidi"/>
          <w:sz w:val="24"/>
          <w:szCs w:val="24"/>
        </w:rPr>
        <w:t xml:space="preserve"> </w:t>
      </w:r>
      <w:r w:rsidR="0008042D" w:rsidRPr="009F77A7">
        <w:rPr>
          <w:rFonts w:asciiTheme="majorBidi" w:hAnsiTheme="majorBidi" w:cstheme="majorBidi"/>
          <w:i/>
          <w:iCs/>
          <w:sz w:val="24"/>
          <w:szCs w:val="24"/>
        </w:rPr>
        <w:t>al-mustaqīm</w:t>
      </w:r>
      <w:r w:rsidR="003052DE" w:rsidRPr="009F77A7">
        <w:rPr>
          <w:rFonts w:asciiTheme="majorBidi" w:hAnsiTheme="majorBidi" w:cstheme="majorBidi"/>
          <w:sz w:val="24"/>
          <w:szCs w:val="24"/>
        </w:rPr>
        <w:t xml:space="preserve"> merupakan salah satu pengetahuan Alquran (</w:t>
      </w:r>
      <w:r w:rsidR="003052DE" w:rsidRPr="009F77A7">
        <w:rPr>
          <w:rFonts w:asciiTheme="majorBidi" w:hAnsiTheme="majorBidi" w:cstheme="majorBidi"/>
          <w:i/>
          <w:iCs/>
          <w:sz w:val="24"/>
          <w:szCs w:val="24"/>
        </w:rPr>
        <w:t>al-ma’ārif al-Qur’āniyyah</w:t>
      </w:r>
      <w:r w:rsidR="003052DE" w:rsidRPr="009F77A7">
        <w:rPr>
          <w:rFonts w:asciiTheme="majorBidi" w:hAnsiTheme="majorBidi" w:cstheme="majorBidi"/>
          <w:sz w:val="24"/>
          <w:szCs w:val="24"/>
        </w:rPr>
        <w:t>) yang hakikatnya hanya dikhususkan untuk para ahli penyingkapan dan ahli penyaksian (</w:t>
      </w:r>
      <w:r w:rsidR="003052DE" w:rsidRPr="009F77A7">
        <w:rPr>
          <w:rFonts w:asciiTheme="majorBidi" w:hAnsiTheme="majorBidi" w:cstheme="majorBidi"/>
          <w:i/>
          <w:iCs/>
          <w:sz w:val="24"/>
          <w:szCs w:val="24"/>
        </w:rPr>
        <w:t>ahl al-mukāshafah wa ahl al-mushāhadah</w:t>
      </w:r>
      <w:r w:rsidR="003052DE" w:rsidRPr="009F77A7">
        <w:rPr>
          <w:rFonts w:asciiTheme="majorBidi" w:hAnsiTheme="majorBidi" w:cstheme="majorBidi"/>
          <w:sz w:val="24"/>
          <w:szCs w:val="24"/>
        </w:rPr>
        <w:t>).</w:t>
      </w:r>
      <w:r w:rsidR="003052DE" w:rsidRPr="009F77A7">
        <w:rPr>
          <w:rStyle w:val="FootnoteReference"/>
          <w:rFonts w:asciiTheme="majorBidi" w:hAnsiTheme="majorBidi" w:cstheme="majorBidi"/>
          <w:sz w:val="24"/>
          <w:szCs w:val="24"/>
        </w:rPr>
        <w:footnoteReference w:id="47"/>
      </w:r>
      <w:r w:rsidRPr="009F77A7">
        <w:rPr>
          <w:rFonts w:asciiTheme="majorBidi" w:hAnsiTheme="majorBidi" w:cstheme="majorBidi"/>
          <w:sz w:val="24"/>
          <w:szCs w:val="24"/>
        </w:rPr>
        <w:t xml:space="preserve"> </w:t>
      </w:r>
      <w:r w:rsidR="003052DE" w:rsidRPr="009F77A7">
        <w:rPr>
          <w:rFonts w:asciiTheme="majorBidi" w:hAnsiTheme="majorBidi" w:cstheme="majorBidi"/>
          <w:sz w:val="24"/>
          <w:szCs w:val="24"/>
        </w:rPr>
        <w:t xml:space="preserve">Hakikat jalan yang lurus </w:t>
      </w:r>
      <w:r w:rsidR="00DE6CD1" w:rsidRPr="009F77A7">
        <w:rPr>
          <w:rFonts w:asciiTheme="majorBidi" w:hAnsiTheme="majorBidi" w:cstheme="majorBidi"/>
          <w:sz w:val="24"/>
          <w:szCs w:val="24"/>
        </w:rPr>
        <w:t xml:space="preserve">dalam pandangan </w:t>
      </w:r>
      <w:r w:rsidR="00DE6CD1" w:rsidRPr="009F77A7">
        <w:rPr>
          <w:rFonts w:asciiTheme="majorBidi" w:hAnsiTheme="majorBidi" w:cstheme="majorBidi"/>
          <w:i/>
          <w:iCs/>
          <w:sz w:val="24"/>
          <w:szCs w:val="24"/>
        </w:rPr>
        <w:t>ahl al-mukāshafah wa ahl al-mushāhadah</w:t>
      </w:r>
      <w:r w:rsidR="00DE6CD1" w:rsidRPr="009F77A7">
        <w:rPr>
          <w:rFonts w:asciiTheme="majorBidi" w:hAnsiTheme="majorBidi" w:cstheme="majorBidi"/>
          <w:sz w:val="24"/>
          <w:szCs w:val="24"/>
        </w:rPr>
        <w:t xml:space="preserve"> </w:t>
      </w:r>
      <w:r w:rsidR="003052DE" w:rsidRPr="009F77A7">
        <w:rPr>
          <w:rFonts w:asciiTheme="majorBidi" w:hAnsiTheme="majorBidi" w:cstheme="majorBidi"/>
          <w:sz w:val="24"/>
          <w:szCs w:val="24"/>
        </w:rPr>
        <w:t>memiliki kedudukan penting dalam perjalanan manusia menuju kesempurnaannya, yaitu menjadi poros penentu keadaan manusia di akhirat kelak; bahagia atau menderita yang menghubungkan antara titik awal (</w:t>
      </w:r>
      <w:r w:rsidR="003052DE" w:rsidRPr="009F77A7">
        <w:rPr>
          <w:rFonts w:asciiTheme="majorBidi" w:hAnsiTheme="majorBidi" w:cstheme="majorBidi"/>
          <w:i/>
          <w:iCs/>
          <w:sz w:val="24"/>
          <w:szCs w:val="24"/>
        </w:rPr>
        <w:t>mabda’</w:t>
      </w:r>
      <w:r w:rsidR="003052DE" w:rsidRPr="009F77A7">
        <w:rPr>
          <w:rFonts w:asciiTheme="majorBidi" w:hAnsiTheme="majorBidi" w:cstheme="majorBidi"/>
          <w:sz w:val="24"/>
          <w:szCs w:val="24"/>
        </w:rPr>
        <w:t>) dan titik akhir (</w:t>
      </w:r>
      <w:r w:rsidR="003052DE" w:rsidRPr="009F77A7">
        <w:rPr>
          <w:rFonts w:asciiTheme="majorBidi" w:hAnsiTheme="majorBidi" w:cstheme="majorBidi"/>
          <w:i/>
          <w:iCs/>
          <w:sz w:val="24"/>
          <w:szCs w:val="24"/>
        </w:rPr>
        <w:t>ma’ād</w:t>
      </w:r>
      <w:r w:rsidR="003052DE" w:rsidRPr="009F77A7">
        <w:rPr>
          <w:rFonts w:asciiTheme="majorBidi" w:hAnsiTheme="majorBidi" w:cstheme="majorBidi"/>
          <w:sz w:val="24"/>
          <w:szCs w:val="24"/>
        </w:rPr>
        <w:t>).</w:t>
      </w:r>
      <w:r w:rsidR="003052DE" w:rsidRPr="009F77A7">
        <w:rPr>
          <w:rStyle w:val="FootnoteReference"/>
          <w:rFonts w:asciiTheme="majorBidi" w:hAnsiTheme="majorBidi" w:cstheme="majorBidi"/>
          <w:sz w:val="24"/>
          <w:szCs w:val="24"/>
        </w:rPr>
        <w:footnoteReference w:id="48"/>
      </w:r>
      <w:r w:rsidR="003052DE" w:rsidRPr="009F77A7">
        <w:rPr>
          <w:rFonts w:asciiTheme="majorBidi" w:hAnsiTheme="majorBidi" w:cstheme="majorBidi"/>
          <w:sz w:val="24"/>
          <w:szCs w:val="24"/>
        </w:rPr>
        <w:t xml:space="preserve"> </w:t>
      </w:r>
      <w:r w:rsidR="00DE6CD1" w:rsidRPr="009F77A7">
        <w:rPr>
          <w:rFonts w:asciiTheme="majorBidi" w:hAnsiTheme="majorBidi" w:cstheme="majorBidi"/>
          <w:sz w:val="24"/>
          <w:szCs w:val="24"/>
        </w:rPr>
        <w:t xml:space="preserve">Adapun </w:t>
      </w:r>
      <w:r w:rsidR="003052DE" w:rsidRPr="009F77A7">
        <w:rPr>
          <w:rFonts w:asciiTheme="majorBidi" w:hAnsiTheme="majorBidi" w:cstheme="majorBidi"/>
          <w:sz w:val="24"/>
          <w:szCs w:val="24"/>
        </w:rPr>
        <w:t xml:space="preserve">secara </w:t>
      </w:r>
      <w:r w:rsidR="003052DE" w:rsidRPr="009F77A7">
        <w:rPr>
          <w:rFonts w:asciiTheme="majorBidi" w:hAnsiTheme="majorBidi" w:cstheme="majorBidi"/>
          <w:sz w:val="24"/>
          <w:szCs w:val="24"/>
        </w:rPr>
        <w:lastRenderedPageBreak/>
        <w:t>kebahasaan,</w:t>
      </w:r>
      <w:r w:rsidR="00DE6CD1" w:rsidRPr="009F77A7">
        <w:rPr>
          <w:rFonts w:asciiTheme="majorBidi" w:hAnsiTheme="majorBidi" w:cstheme="majorBidi"/>
          <w:sz w:val="24"/>
          <w:szCs w:val="24"/>
        </w:rPr>
        <w:t xml:space="preserve"> Mulla</w:t>
      </w:r>
      <w:r w:rsidR="003052DE" w:rsidRPr="009F77A7">
        <w:rPr>
          <w:rFonts w:asciiTheme="majorBidi" w:hAnsiTheme="majorBidi" w:cstheme="majorBidi"/>
          <w:sz w:val="24"/>
          <w:szCs w:val="24"/>
        </w:rPr>
        <w:t xml:space="preserve"> Ṣadrā </w:t>
      </w:r>
      <w:r w:rsidR="00DE6CD1" w:rsidRPr="009F77A7">
        <w:rPr>
          <w:rFonts w:asciiTheme="majorBidi" w:hAnsiTheme="majorBidi" w:cstheme="majorBidi"/>
          <w:sz w:val="24"/>
          <w:szCs w:val="24"/>
        </w:rPr>
        <w:t xml:space="preserve">memaknai term </w:t>
      </w:r>
      <w:r w:rsidR="00DE6CD1" w:rsidRPr="009F77A7">
        <w:rPr>
          <w:rFonts w:asciiTheme="majorBidi" w:hAnsiTheme="majorBidi" w:cstheme="majorBidi"/>
          <w:i/>
          <w:iCs/>
          <w:sz w:val="24"/>
          <w:szCs w:val="24"/>
        </w:rPr>
        <w:t>as-ṣirāṭ</w:t>
      </w:r>
      <w:r w:rsidR="00DE6CD1" w:rsidRPr="009F77A7">
        <w:rPr>
          <w:rFonts w:asciiTheme="majorBidi" w:hAnsiTheme="majorBidi" w:cstheme="majorBidi"/>
          <w:sz w:val="24"/>
          <w:szCs w:val="24"/>
        </w:rPr>
        <w:t xml:space="preserve"> </w:t>
      </w:r>
      <w:r w:rsidR="00DE6CD1" w:rsidRPr="009F77A7">
        <w:rPr>
          <w:rFonts w:asciiTheme="majorBidi" w:hAnsiTheme="majorBidi" w:cstheme="majorBidi"/>
          <w:i/>
          <w:iCs/>
          <w:sz w:val="24"/>
          <w:szCs w:val="24"/>
        </w:rPr>
        <w:t>al-mustaqīm</w:t>
      </w:r>
      <w:r w:rsidR="003052DE" w:rsidRPr="009F77A7">
        <w:rPr>
          <w:rFonts w:asciiTheme="majorBidi" w:hAnsiTheme="majorBidi" w:cstheme="majorBidi"/>
          <w:sz w:val="24"/>
          <w:szCs w:val="24"/>
        </w:rPr>
        <w:t xml:space="preserve"> </w:t>
      </w:r>
      <w:r w:rsidR="00DE6CD1" w:rsidRPr="009F77A7">
        <w:rPr>
          <w:rFonts w:asciiTheme="majorBidi" w:hAnsiTheme="majorBidi" w:cstheme="majorBidi"/>
          <w:sz w:val="24"/>
          <w:szCs w:val="24"/>
        </w:rPr>
        <w:t>melalui</w:t>
      </w:r>
      <w:r w:rsidR="003052DE" w:rsidRPr="009F77A7">
        <w:rPr>
          <w:rFonts w:asciiTheme="majorBidi" w:hAnsiTheme="majorBidi" w:cstheme="majorBidi"/>
          <w:sz w:val="24"/>
          <w:szCs w:val="24"/>
        </w:rPr>
        <w:t xml:space="preserve"> kata </w:t>
      </w:r>
      <w:r w:rsidR="003052DE" w:rsidRPr="009F77A7">
        <w:rPr>
          <w:rFonts w:asciiTheme="majorBidi" w:hAnsiTheme="majorBidi" w:cstheme="majorBidi"/>
          <w:i/>
          <w:iCs/>
          <w:sz w:val="24"/>
          <w:szCs w:val="24"/>
        </w:rPr>
        <w:t>ṣirāṭ</w:t>
      </w:r>
      <w:r w:rsidR="00DE6CD1" w:rsidRPr="009F77A7">
        <w:rPr>
          <w:rFonts w:asciiTheme="majorBidi" w:hAnsiTheme="majorBidi" w:cstheme="majorBidi"/>
          <w:i/>
          <w:iCs/>
          <w:sz w:val="24"/>
          <w:szCs w:val="24"/>
        </w:rPr>
        <w:t>,</w:t>
      </w:r>
      <w:r w:rsidR="003052DE" w:rsidRPr="009F77A7">
        <w:rPr>
          <w:rFonts w:asciiTheme="majorBidi" w:hAnsiTheme="majorBidi" w:cstheme="majorBidi"/>
          <w:i/>
          <w:iCs/>
          <w:sz w:val="24"/>
          <w:szCs w:val="24"/>
        </w:rPr>
        <w:t xml:space="preserve"> </w:t>
      </w:r>
      <w:r w:rsidR="003052DE" w:rsidRPr="009F77A7">
        <w:rPr>
          <w:rFonts w:asciiTheme="majorBidi" w:hAnsiTheme="majorBidi" w:cstheme="majorBidi"/>
          <w:sz w:val="24"/>
          <w:szCs w:val="24"/>
        </w:rPr>
        <w:t xml:space="preserve">yaitu jalan yang jelas dan luas, mengingat akar kata dari </w:t>
      </w:r>
      <w:r w:rsidR="003052DE" w:rsidRPr="009F77A7">
        <w:rPr>
          <w:rFonts w:asciiTheme="majorBidi" w:hAnsiTheme="majorBidi" w:cstheme="majorBidi"/>
          <w:i/>
          <w:iCs/>
          <w:sz w:val="24"/>
          <w:szCs w:val="24"/>
        </w:rPr>
        <w:t xml:space="preserve">sa-ra-ṭa </w:t>
      </w:r>
      <w:r w:rsidR="003052DE" w:rsidRPr="009F77A7">
        <w:rPr>
          <w:rFonts w:asciiTheme="majorBidi" w:hAnsiTheme="majorBidi" w:cstheme="majorBidi"/>
          <w:sz w:val="24"/>
          <w:szCs w:val="24"/>
        </w:rPr>
        <w:t>adalah bermakna menelan. Dalam artian, sedemikian luasnya jalan tersebut (</w:t>
      </w:r>
      <w:r w:rsidR="003052DE" w:rsidRPr="009F77A7">
        <w:rPr>
          <w:rFonts w:asciiTheme="majorBidi" w:hAnsiTheme="majorBidi" w:cstheme="majorBidi"/>
          <w:i/>
          <w:iCs/>
          <w:sz w:val="24"/>
          <w:szCs w:val="24"/>
        </w:rPr>
        <w:t>ṣirāṭ</w:t>
      </w:r>
      <w:r w:rsidR="003052DE" w:rsidRPr="009F77A7">
        <w:rPr>
          <w:rFonts w:asciiTheme="majorBidi" w:hAnsiTheme="majorBidi" w:cstheme="majorBidi"/>
          <w:sz w:val="24"/>
          <w:szCs w:val="24"/>
        </w:rPr>
        <w:t>) seakan menelan para pejalan yang berjalan di atasnya.</w:t>
      </w:r>
      <w:r w:rsidR="003052DE" w:rsidRPr="009F77A7">
        <w:rPr>
          <w:rStyle w:val="FootnoteReference"/>
          <w:rFonts w:asciiTheme="majorBidi" w:hAnsiTheme="majorBidi" w:cstheme="majorBidi"/>
          <w:sz w:val="24"/>
          <w:szCs w:val="24"/>
        </w:rPr>
        <w:footnoteReference w:id="49"/>
      </w:r>
      <w:r w:rsidR="00DE6CD1" w:rsidRPr="009F77A7">
        <w:rPr>
          <w:rFonts w:asciiTheme="majorBidi" w:hAnsiTheme="majorBidi" w:cstheme="majorBidi"/>
          <w:sz w:val="24"/>
          <w:szCs w:val="24"/>
        </w:rPr>
        <w:t xml:space="preserve"> </w:t>
      </w:r>
    </w:p>
    <w:p w:rsidR="009B436D" w:rsidRPr="009F77A7" w:rsidRDefault="00F31BC9"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Lebih lanjut, p</w:t>
      </w:r>
      <w:r w:rsidR="00DE6CD1" w:rsidRPr="009F77A7">
        <w:rPr>
          <w:rFonts w:asciiTheme="majorBidi" w:hAnsiTheme="majorBidi" w:cstheme="majorBidi"/>
          <w:sz w:val="24"/>
          <w:szCs w:val="24"/>
        </w:rPr>
        <w:t>emaknaan secara akar kata dikaji dan ditelaah oleh Mulla Sadra melalui</w:t>
      </w:r>
      <w:r w:rsidR="003052DE" w:rsidRPr="009F77A7">
        <w:rPr>
          <w:rFonts w:asciiTheme="majorBidi" w:hAnsiTheme="majorBidi" w:cstheme="majorBidi"/>
          <w:sz w:val="24"/>
          <w:szCs w:val="24"/>
        </w:rPr>
        <w:t xml:space="preserve"> kaidah </w:t>
      </w:r>
      <w:r w:rsidR="003052DE" w:rsidRPr="009F77A7">
        <w:rPr>
          <w:rFonts w:asciiTheme="majorBidi" w:hAnsiTheme="majorBidi" w:cstheme="majorBidi"/>
          <w:i/>
          <w:iCs/>
          <w:sz w:val="24"/>
          <w:szCs w:val="24"/>
        </w:rPr>
        <w:t xml:space="preserve">rūḥ al-ma’nā </w:t>
      </w:r>
      <w:r w:rsidR="003052DE" w:rsidRPr="009F77A7">
        <w:rPr>
          <w:rFonts w:asciiTheme="majorBidi" w:hAnsiTheme="majorBidi" w:cstheme="majorBidi"/>
          <w:sz w:val="24"/>
          <w:szCs w:val="24"/>
        </w:rPr>
        <w:t>sebagai metode analisis teks</w:t>
      </w:r>
      <w:r w:rsidR="00DE6CD1" w:rsidRPr="009F77A7">
        <w:rPr>
          <w:rFonts w:asciiTheme="majorBidi" w:hAnsiTheme="majorBidi" w:cstheme="majorBidi"/>
          <w:sz w:val="24"/>
          <w:szCs w:val="24"/>
        </w:rPr>
        <w:t xml:space="preserve"> dengan tujuan mengetahui</w:t>
      </w:r>
      <w:r w:rsidR="003052DE" w:rsidRPr="009F77A7">
        <w:rPr>
          <w:rFonts w:asciiTheme="majorBidi" w:hAnsiTheme="majorBidi" w:cstheme="majorBidi"/>
          <w:sz w:val="24"/>
          <w:szCs w:val="24"/>
        </w:rPr>
        <w:t xml:space="preserve"> berbagai referen </w:t>
      </w:r>
      <w:r w:rsidR="008701F5" w:rsidRPr="009F77A7">
        <w:rPr>
          <w:rFonts w:asciiTheme="majorBidi" w:hAnsiTheme="majorBidi" w:cstheme="majorBidi"/>
          <w:sz w:val="24"/>
          <w:szCs w:val="24"/>
        </w:rPr>
        <w:t xml:space="preserve">sebelum memaknai term </w:t>
      </w:r>
      <w:r w:rsidR="008701F5" w:rsidRPr="009F77A7">
        <w:rPr>
          <w:rFonts w:asciiTheme="majorBidi" w:hAnsiTheme="majorBidi" w:cstheme="majorBidi"/>
          <w:i/>
          <w:iCs/>
          <w:sz w:val="24"/>
          <w:szCs w:val="24"/>
        </w:rPr>
        <w:t>as-ṣirāṭ</w:t>
      </w:r>
      <w:r w:rsidR="008701F5" w:rsidRPr="009F77A7">
        <w:rPr>
          <w:rFonts w:asciiTheme="majorBidi" w:hAnsiTheme="majorBidi" w:cstheme="majorBidi"/>
          <w:sz w:val="24"/>
          <w:szCs w:val="24"/>
        </w:rPr>
        <w:t xml:space="preserve"> </w:t>
      </w:r>
      <w:r w:rsidR="008701F5" w:rsidRPr="009F77A7">
        <w:rPr>
          <w:rFonts w:asciiTheme="majorBidi" w:hAnsiTheme="majorBidi" w:cstheme="majorBidi"/>
          <w:i/>
          <w:iCs/>
          <w:sz w:val="24"/>
          <w:szCs w:val="24"/>
        </w:rPr>
        <w:t xml:space="preserve">al-mustaqīm </w:t>
      </w:r>
      <w:r w:rsidR="008701F5" w:rsidRPr="009F77A7">
        <w:rPr>
          <w:rFonts w:asciiTheme="majorBidi" w:hAnsiTheme="majorBidi" w:cstheme="majorBidi"/>
          <w:sz w:val="24"/>
          <w:szCs w:val="24"/>
        </w:rPr>
        <w:t>secara batin</w:t>
      </w:r>
      <w:r w:rsidR="003052DE" w:rsidRPr="009F77A7">
        <w:rPr>
          <w:rFonts w:asciiTheme="majorBidi" w:hAnsiTheme="majorBidi" w:cstheme="majorBidi"/>
          <w:sz w:val="24"/>
          <w:szCs w:val="24"/>
        </w:rPr>
        <w:t>.</w:t>
      </w:r>
      <w:r w:rsidR="008701F5" w:rsidRPr="009F77A7">
        <w:rPr>
          <w:rFonts w:asciiTheme="majorBidi" w:hAnsiTheme="majorBidi" w:cstheme="majorBidi"/>
          <w:sz w:val="24"/>
          <w:szCs w:val="24"/>
        </w:rPr>
        <w:t xml:space="preserve"> Berdasarkan kaidah </w:t>
      </w:r>
      <w:r w:rsidR="008701F5" w:rsidRPr="009F77A7">
        <w:rPr>
          <w:rFonts w:asciiTheme="majorBidi" w:hAnsiTheme="majorBidi" w:cstheme="majorBidi"/>
          <w:i/>
          <w:iCs/>
          <w:sz w:val="24"/>
          <w:szCs w:val="24"/>
        </w:rPr>
        <w:t xml:space="preserve">rūḥ al-ma’nā </w:t>
      </w:r>
      <w:r w:rsidR="008701F5" w:rsidRPr="009F77A7">
        <w:rPr>
          <w:rFonts w:asciiTheme="majorBidi" w:hAnsiTheme="majorBidi" w:cstheme="majorBidi"/>
          <w:sz w:val="24"/>
          <w:szCs w:val="24"/>
        </w:rPr>
        <w:t xml:space="preserve">memandang term </w:t>
      </w:r>
      <w:r w:rsidR="008701F5" w:rsidRPr="009F77A7">
        <w:rPr>
          <w:rFonts w:asciiTheme="majorBidi" w:hAnsiTheme="majorBidi" w:cstheme="majorBidi"/>
          <w:i/>
          <w:iCs/>
          <w:sz w:val="24"/>
          <w:szCs w:val="24"/>
        </w:rPr>
        <w:t>as-ṣirāṭ</w:t>
      </w:r>
      <w:r w:rsidR="008701F5" w:rsidRPr="009F77A7">
        <w:rPr>
          <w:rFonts w:asciiTheme="majorBidi" w:hAnsiTheme="majorBidi" w:cstheme="majorBidi"/>
          <w:sz w:val="24"/>
          <w:szCs w:val="24"/>
        </w:rPr>
        <w:t xml:space="preserve"> </w:t>
      </w:r>
      <w:r w:rsidR="008701F5" w:rsidRPr="009F77A7">
        <w:rPr>
          <w:rFonts w:asciiTheme="majorBidi" w:hAnsiTheme="majorBidi" w:cstheme="majorBidi"/>
          <w:i/>
          <w:iCs/>
          <w:sz w:val="24"/>
          <w:szCs w:val="24"/>
        </w:rPr>
        <w:t>al-mustaqīm</w:t>
      </w:r>
      <w:r w:rsidR="008701F5" w:rsidRPr="009F77A7">
        <w:rPr>
          <w:rFonts w:asciiTheme="majorBidi" w:hAnsiTheme="majorBidi" w:cstheme="majorBidi"/>
          <w:b/>
          <w:bCs/>
          <w:sz w:val="24"/>
          <w:szCs w:val="24"/>
        </w:rPr>
        <w:t xml:space="preserve"> </w:t>
      </w:r>
      <w:r w:rsidR="008701F5" w:rsidRPr="009F77A7">
        <w:rPr>
          <w:rFonts w:asciiTheme="majorBidi" w:hAnsiTheme="majorBidi" w:cstheme="majorBidi"/>
          <w:sz w:val="24"/>
          <w:szCs w:val="24"/>
        </w:rPr>
        <w:t>merupakan sebuah hidayah atau petunjuk yang diberikan Allah swt kepada setiap manusia, sehingga ia dapat menjaga ragam perilaku dan perbuatannya.</w:t>
      </w:r>
      <w:r w:rsidR="00603717" w:rsidRPr="009F77A7">
        <w:rPr>
          <w:rStyle w:val="FootnoteReference"/>
          <w:rFonts w:asciiTheme="majorBidi" w:hAnsiTheme="majorBidi" w:cstheme="majorBidi"/>
          <w:sz w:val="24"/>
          <w:szCs w:val="24"/>
        </w:rPr>
        <w:footnoteReference w:id="50"/>
      </w:r>
      <w:r w:rsidR="008701F5" w:rsidRPr="009F77A7">
        <w:rPr>
          <w:rFonts w:asciiTheme="majorBidi" w:hAnsiTheme="majorBidi" w:cstheme="majorBidi"/>
          <w:sz w:val="24"/>
          <w:szCs w:val="24"/>
        </w:rPr>
        <w:t xml:space="preserve"> Hidayah sebagai penakwilan term </w:t>
      </w:r>
      <w:r w:rsidR="008701F5" w:rsidRPr="009F77A7">
        <w:rPr>
          <w:rFonts w:asciiTheme="majorBidi" w:hAnsiTheme="majorBidi" w:cstheme="majorBidi"/>
          <w:i/>
          <w:iCs/>
          <w:sz w:val="24"/>
          <w:szCs w:val="24"/>
        </w:rPr>
        <w:t>as-ṣirāṭ</w:t>
      </w:r>
      <w:r w:rsidR="008701F5" w:rsidRPr="009F77A7">
        <w:rPr>
          <w:rFonts w:asciiTheme="majorBidi" w:hAnsiTheme="majorBidi" w:cstheme="majorBidi"/>
          <w:sz w:val="24"/>
          <w:szCs w:val="24"/>
        </w:rPr>
        <w:t xml:space="preserve"> </w:t>
      </w:r>
      <w:r w:rsidR="008701F5" w:rsidRPr="009F77A7">
        <w:rPr>
          <w:rFonts w:asciiTheme="majorBidi" w:hAnsiTheme="majorBidi" w:cstheme="majorBidi"/>
          <w:i/>
          <w:iCs/>
          <w:sz w:val="24"/>
          <w:szCs w:val="24"/>
        </w:rPr>
        <w:t xml:space="preserve">al-mustaqīm </w:t>
      </w:r>
      <w:r w:rsidR="008701F5" w:rsidRPr="009F77A7">
        <w:rPr>
          <w:rFonts w:asciiTheme="majorBidi" w:hAnsiTheme="majorBidi" w:cstheme="majorBidi"/>
          <w:sz w:val="24"/>
          <w:szCs w:val="24"/>
        </w:rPr>
        <w:t xml:space="preserve">terbagi menjadi dua bagian berdasarkan pemaknaannya, </w:t>
      </w:r>
      <w:r w:rsidR="008701F5" w:rsidRPr="009F77A7">
        <w:rPr>
          <w:rFonts w:asciiTheme="majorBidi" w:hAnsiTheme="majorBidi" w:cstheme="majorBidi"/>
          <w:i/>
          <w:iCs/>
          <w:sz w:val="24"/>
          <w:szCs w:val="24"/>
        </w:rPr>
        <w:t>pertama</w:t>
      </w:r>
      <w:r w:rsidR="008701F5" w:rsidRPr="009F77A7">
        <w:rPr>
          <w:rFonts w:asciiTheme="majorBidi" w:hAnsiTheme="majorBidi" w:cstheme="majorBidi"/>
          <w:sz w:val="24"/>
          <w:szCs w:val="24"/>
        </w:rPr>
        <w:t xml:space="preserve"> </w:t>
      </w:r>
      <w:r w:rsidR="003052DE" w:rsidRPr="009F77A7">
        <w:rPr>
          <w:rFonts w:asciiTheme="majorBidi" w:hAnsiTheme="majorBidi" w:cstheme="majorBidi"/>
          <w:sz w:val="24"/>
          <w:szCs w:val="24"/>
        </w:rPr>
        <w:t>hidayah yang upaya untuk menunjukan atau memperlihatkan jalan (</w:t>
      </w:r>
      <w:r w:rsidR="003052DE" w:rsidRPr="009F77A7">
        <w:rPr>
          <w:rFonts w:asciiTheme="majorBidi" w:hAnsiTheme="majorBidi" w:cstheme="majorBidi"/>
          <w:i/>
          <w:iCs/>
          <w:sz w:val="24"/>
          <w:szCs w:val="24"/>
        </w:rPr>
        <w:t>irā’ah at-ṭarīq</w:t>
      </w:r>
      <w:r w:rsidR="003052DE" w:rsidRPr="009F77A7">
        <w:rPr>
          <w:rFonts w:asciiTheme="majorBidi" w:hAnsiTheme="majorBidi" w:cstheme="majorBidi"/>
          <w:sz w:val="24"/>
          <w:szCs w:val="24"/>
        </w:rPr>
        <w:t xml:space="preserve">) dan yang </w:t>
      </w:r>
      <w:r w:rsidR="003052DE" w:rsidRPr="009F77A7">
        <w:rPr>
          <w:rFonts w:asciiTheme="majorBidi" w:hAnsiTheme="majorBidi" w:cstheme="majorBidi"/>
          <w:i/>
          <w:iCs/>
          <w:sz w:val="24"/>
          <w:szCs w:val="24"/>
        </w:rPr>
        <w:t xml:space="preserve">kedua, </w:t>
      </w:r>
      <w:r w:rsidR="003052DE" w:rsidRPr="009F77A7">
        <w:rPr>
          <w:rFonts w:asciiTheme="majorBidi" w:hAnsiTheme="majorBidi" w:cstheme="majorBidi"/>
          <w:sz w:val="24"/>
          <w:szCs w:val="24"/>
        </w:rPr>
        <w:t>adalah hidayah yang mengantarkan</w:t>
      </w:r>
      <w:r w:rsidR="008701F5" w:rsidRPr="009F77A7">
        <w:rPr>
          <w:rFonts w:asciiTheme="majorBidi" w:hAnsiTheme="majorBidi" w:cstheme="majorBidi"/>
          <w:sz w:val="24"/>
          <w:szCs w:val="24"/>
        </w:rPr>
        <w:t xml:space="preserve"> manusia</w:t>
      </w:r>
      <w:r w:rsidR="003052DE" w:rsidRPr="009F77A7">
        <w:rPr>
          <w:rFonts w:asciiTheme="majorBidi" w:hAnsiTheme="majorBidi" w:cstheme="majorBidi"/>
          <w:sz w:val="24"/>
          <w:szCs w:val="24"/>
        </w:rPr>
        <w:t xml:space="preserve"> </w:t>
      </w:r>
      <w:r w:rsidR="008701F5" w:rsidRPr="009F77A7">
        <w:rPr>
          <w:rFonts w:asciiTheme="majorBidi" w:hAnsiTheme="majorBidi" w:cstheme="majorBidi"/>
          <w:sz w:val="24"/>
          <w:szCs w:val="24"/>
        </w:rPr>
        <w:t>pada kesempurnaan eksistensinya</w:t>
      </w:r>
      <w:r w:rsidR="003052DE" w:rsidRPr="009F77A7">
        <w:rPr>
          <w:rFonts w:asciiTheme="majorBidi" w:hAnsiTheme="majorBidi" w:cstheme="majorBidi"/>
          <w:sz w:val="24"/>
          <w:szCs w:val="24"/>
        </w:rPr>
        <w:t xml:space="preserve"> (</w:t>
      </w:r>
      <w:r w:rsidR="003052DE" w:rsidRPr="009F77A7">
        <w:rPr>
          <w:rFonts w:asciiTheme="majorBidi" w:hAnsiTheme="majorBidi" w:cstheme="majorBidi"/>
          <w:i/>
          <w:iCs/>
          <w:sz w:val="24"/>
          <w:szCs w:val="24"/>
        </w:rPr>
        <w:t>al-‘īṣāl ila al-maṭlūb</w:t>
      </w:r>
      <w:r w:rsidR="003052DE" w:rsidRPr="009F77A7">
        <w:rPr>
          <w:rFonts w:asciiTheme="majorBidi" w:hAnsiTheme="majorBidi" w:cstheme="majorBidi"/>
          <w:sz w:val="24"/>
          <w:szCs w:val="24"/>
        </w:rPr>
        <w:t>).</w:t>
      </w:r>
      <w:r w:rsidR="003052DE" w:rsidRPr="009F77A7">
        <w:rPr>
          <w:rStyle w:val="FootnoteReference"/>
          <w:rFonts w:asciiTheme="majorBidi" w:hAnsiTheme="majorBidi" w:cstheme="majorBidi"/>
          <w:sz w:val="24"/>
          <w:szCs w:val="24"/>
        </w:rPr>
        <w:footnoteReference w:id="51"/>
      </w:r>
      <w:r w:rsidR="003052DE" w:rsidRPr="009F77A7">
        <w:rPr>
          <w:rFonts w:asciiTheme="majorBidi" w:hAnsiTheme="majorBidi" w:cstheme="majorBidi"/>
          <w:sz w:val="24"/>
          <w:szCs w:val="24"/>
        </w:rPr>
        <w:t xml:space="preserve"> </w:t>
      </w:r>
      <w:r w:rsidR="008701F5" w:rsidRPr="009F77A7">
        <w:rPr>
          <w:rFonts w:asciiTheme="majorBidi" w:hAnsiTheme="majorBidi" w:cstheme="majorBidi"/>
          <w:sz w:val="24"/>
          <w:szCs w:val="24"/>
        </w:rPr>
        <w:t xml:space="preserve">Mulla Sadra mempertegas </w:t>
      </w:r>
      <w:r w:rsidR="009B436D" w:rsidRPr="009F77A7">
        <w:rPr>
          <w:rFonts w:asciiTheme="majorBidi" w:hAnsiTheme="majorBidi" w:cstheme="majorBidi"/>
          <w:sz w:val="24"/>
          <w:szCs w:val="24"/>
        </w:rPr>
        <w:t xml:space="preserve">takwil </w:t>
      </w:r>
      <w:r w:rsidR="009B436D" w:rsidRPr="009F77A7">
        <w:rPr>
          <w:rFonts w:asciiTheme="majorBidi" w:hAnsiTheme="majorBidi" w:cstheme="majorBidi"/>
          <w:i/>
          <w:iCs/>
          <w:sz w:val="24"/>
          <w:szCs w:val="24"/>
        </w:rPr>
        <w:t>as-ṣirāṭ</w:t>
      </w:r>
      <w:r w:rsidR="009B436D" w:rsidRPr="009F77A7">
        <w:rPr>
          <w:rFonts w:asciiTheme="majorBidi" w:hAnsiTheme="majorBidi" w:cstheme="majorBidi"/>
          <w:sz w:val="24"/>
          <w:szCs w:val="24"/>
        </w:rPr>
        <w:t xml:space="preserve"> </w:t>
      </w:r>
      <w:r w:rsidR="009B436D" w:rsidRPr="009F77A7">
        <w:rPr>
          <w:rFonts w:asciiTheme="majorBidi" w:hAnsiTheme="majorBidi" w:cstheme="majorBidi"/>
          <w:i/>
          <w:iCs/>
          <w:sz w:val="24"/>
          <w:szCs w:val="24"/>
        </w:rPr>
        <w:t xml:space="preserve">al-mustaqīm </w:t>
      </w:r>
      <w:r w:rsidR="009B436D" w:rsidRPr="009F77A7">
        <w:rPr>
          <w:rFonts w:asciiTheme="majorBidi" w:hAnsiTheme="majorBidi" w:cstheme="majorBidi"/>
          <w:sz w:val="24"/>
          <w:szCs w:val="24"/>
        </w:rPr>
        <w:t xml:space="preserve">dengan menukil beberapa riwayat </w:t>
      </w:r>
      <w:r w:rsidR="003946DE" w:rsidRPr="009F77A7">
        <w:rPr>
          <w:rFonts w:asciiTheme="majorBidi" w:hAnsiTheme="majorBidi" w:cstheme="majorBidi"/>
          <w:sz w:val="24"/>
          <w:szCs w:val="24"/>
        </w:rPr>
        <w:t>seperti –yang datang dari- : Nabi Muhammad saw, Jābir bin Abbās, Muhammad al-Hanafiyyah</w:t>
      </w:r>
      <w:r w:rsidR="009B436D" w:rsidRPr="009F77A7">
        <w:rPr>
          <w:rFonts w:asciiTheme="majorBidi" w:hAnsiTheme="majorBidi" w:cstheme="majorBidi"/>
          <w:sz w:val="24"/>
          <w:szCs w:val="24"/>
        </w:rPr>
        <w:t>,</w:t>
      </w:r>
      <w:r w:rsidR="003946DE" w:rsidRPr="009F77A7">
        <w:rPr>
          <w:rFonts w:asciiTheme="majorBidi" w:hAnsiTheme="majorBidi" w:cstheme="majorBidi"/>
          <w:sz w:val="24"/>
          <w:szCs w:val="24"/>
        </w:rPr>
        <w:t xml:space="preserve"> dan para Imam maksum</w:t>
      </w:r>
      <w:r w:rsidR="009B436D" w:rsidRPr="009F77A7">
        <w:rPr>
          <w:rFonts w:asciiTheme="majorBidi" w:hAnsiTheme="majorBidi" w:cstheme="majorBidi"/>
          <w:sz w:val="24"/>
          <w:szCs w:val="24"/>
        </w:rPr>
        <w:t xml:space="preserve"> yang menghasilkan</w:t>
      </w:r>
      <w:r w:rsidR="003946DE" w:rsidRPr="009F77A7">
        <w:rPr>
          <w:rFonts w:asciiTheme="majorBidi" w:hAnsiTheme="majorBidi" w:cstheme="majorBidi"/>
          <w:sz w:val="24"/>
          <w:szCs w:val="24"/>
        </w:rPr>
        <w:t xml:space="preserve"> empat referen </w:t>
      </w:r>
      <w:r w:rsidR="009B436D" w:rsidRPr="009F77A7">
        <w:rPr>
          <w:rFonts w:asciiTheme="majorBidi" w:hAnsiTheme="majorBidi" w:cstheme="majorBidi"/>
          <w:sz w:val="24"/>
          <w:szCs w:val="24"/>
        </w:rPr>
        <w:t xml:space="preserve">mengenai </w:t>
      </w:r>
      <w:r w:rsidR="009B436D" w:rsidRPr="009F77A7">
        <w:rPr>
          <w:rFonts w:asciiTheme="majorBidi" w:hAnsiTheme="majorBidi" w:cstheme="majorBidi"/>
          <w:i/>
          <w:iCs/>
          <w:sz w:val="24"/>
          <w:szCs w:val="24"/>
        </w:rPr>
        <w:t>as-ṣirāṭ</w:t>
      </w:r>
      <w:r w:rsidR="009B436D" w:rsidRPr="009F77A7">
        <w:rPr>
          <w:rFonts w:asciiTheme="majorBidi" w:hAnsiTheme="majorBidi" w:cstheme="majorBidi"/>
          <w:sz w:val="24"/>
          <w:szCs w:val="24"/>
        </w:rPr>
        <w:t xml:space="preserve"> </w:t>
      </w:r>
      <w:r w:rsidR="009B436D" w:rsidRPr="009F77A7">
        <w:rPr>
          <w:rFonts w:asciiTheme="majorBidi" w:hAnsiTheme="majorBidi" w:cstheme="majorBidi"/>
          <w:i/>
          <w:iCs/>
          <w:sz w:val="24"/>
          <w:szCs w:val="24"/>
        </w:rPr>
        <w:t>al-mustaqīm</w:t>
      </w:r>
      <w:r w:rsidR="009B436D" w:rsidRPr="009F77A7">
        <w:rPr>
          <w:rFonts w:asciiTheme="majorBidi" w:hAnsiTheme="majorBidi" w:cstheme="majorBidi"/>
          <w:sz w:val="24"/>
          <w:szCs w:val="24"/>
        </w:rPr>
        <w:t>, antara lain</w:t>
      </w:r>
      <w:r w:rsidR="003946DE" w:rsidRPr="009F77A7">
        <w:rPr>
          <w:rFonts w:asciiTheme="majorBidi" w:hAnsiTheme="majorBidi" w:cstheme="majorBidi"/>
          <w:sz w:val="24"/>
          <w:szCs w:val="24"/>
        </w:rPr>
        <w:t xml:space="preserve"> kitāb Allah, Islam</w:t>
      </w:r>
      <w:r w:rsidR="003946DE" w:rsidRPr="009F77A7">
        <w:rPr>
          <w:rFonts w:asciiTheme="majorBidi" w:hAnsiTheme="majorBidi" w:cstheme="majorBidi"/>
          <w:i/>
          <w:iCs/>
          <w:sz w:val="24"/>
          <w:szCs w:val="24"/>
        </w:rPr>
        <w:t xml:space="preserve">, </w:t>
      </w:r>
      <w:r w:rsidR="003946DE" w:rsidRPr="009F77A7">
        <w:rPr>
          <w:rFonts w:asciiTheme="majorBidi" w:hAnsiTheme="majorBidi" w:cstheme="majorBidi"/>
          <w:sz w:val="24"/>
          <w:szCs w:val="24"/>
        </w:rPr>
        <w:t>agama Allah yang tidak diterima selainnya,</w:t>
      </w:r>
      <w:r w:rsidR="009B436D" w:rsidRPr="009F77A7">
        <w:rPr>
          <w:rFonts w:asciiTheme="majorBidi" w:hAnsiTheme="majorBidi" w:cstheme="majorBidi"/>
          <w:sz w:val="24"/>
          <w:szCs w:val="24"/>
        </w:rPr>
        <w:t xml:space="preserve"> dan</w:t>
      </w:r>
      <w:r w:rsidR="003946DE" w:rsidRPr="009F77A7">
        <w:rPr>
          <w:rFonts w:asciiTheme="majorBidi" w:hAnsiTheme="majorBidi" w:cstheme="majorBidi"/>
          <w:i/>
          <w:iCs/>
          <w:sz w:val="24"/>
          <w:szCs w:val="24"/>
        </w:rPr>
        <w:t xml:space="preserve"> </w:t>
      </w:r>
      <w:r w:rsidR="003946DE" w:rsidRPr="009F77A7">
        <w:rPr>
          <w:rFonts w:asciiTheme="majorBidi" w:hAnsiTheme="majorBidi" w:cstheme="majorBidi"/>
          <w:sz w:val="24"/>
          <w:szCs w:val="24"/>
        </w:rPr>
        <w:t xml:space="preserve">Nabi </w:t>
      </w:r>
      <w:r w:rsidR="009B436D" w:rsidRPr="009F77A7">
        <w:rPr>
          <w:rFonts w:asciiTheme="majorBidi" w:hAnsiTheme="majorBidi" w:cstheme="majorBidi"/>
          <w:sz w:val="24"/>
          <w:szCs w:val="24"/>
        </w:rPr>
        <w:t>beserta</w:t>
      </w:r>
      <w:r w:rsidR="003946DE" w:rsidRPr="009F77A7">
        <w:rPr>
          <w:rFonts w:asciiTheme="majorBidi" w:hAnsiTheme="majorBidi" w:cstheme="majorBidi"/>
          <w:sz w:val="24"/>
          <w:szCs w:val="24"/>
        </w:rPr>
        <w:t xml:space="preserve"> para Imam </w:t>
      </w:r>
      <w:r w:rsidR="009B436D" w:rsidRPr="009F77A7">
        <w:rPr>
          <w:rFonts w:asciiTheme="majorBidi" w:hAnsiTheme="majorBidi" w:cstheme="majorBidi"/>
          <w:sz w:val="24"/>
          <w:szCs w:val="24"/>
        </w:rPr>
        <w:t>suci</w:t>
      </w:r>
      <w:r w:rsidR="003946DE" w:rsidRPr="009F77A7">
        <w:rPr>
          <w:rFonts w:asciiTheme="majorBidi" w:hAnsiTheme="majorBidi" w:cstheme="majorBidi"/>
          <w:sz w:val="24"/>
          <w:szCs w:val="24"/>
        </w:rPr>
        <w:t>.</w:t>
      </w:r>
      <w:r w:rsidR="003946DE" w:rsidRPr="009F77A7">
        <w:rPr>
          <w:rStyle w:val="FootnoteReference"/>
          <w:rFonts w:asciiTheme="majorBidi" w:hAnsiTheme="majorBidi" w:cstheme="majorBidi"/>
          <w:sz w:val="24"/>
          <w:szCs w:val="24"/>
        </w:rPr>
        <w:footnoteReference w:id="52"/>
      </w:r>
    </w:p>
    <w:p w:rsidR="00A63048" w:rsidRDefault="00465987" w:rsidP="00B74429">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Kemudian, Mulla Sadra mengkaji makna hidayah </w:t>
      </w:r>
      <w:r w:rsidR="009B436D" w:rsidRPr="009F77A7">
        <w:rPr>
          <w:rFonts w:asciiTheme="majorBidi" w:hAnsiTheme="majorBidi" w:cstheme="majorBidi"/>
          <w:sz w:val="24"/>
          <w:szCs w:val="24"/>
        </w:rPr>
        <w:t>melalui pendekatan ijtihad atau penyingkapan untuk mempero</w:t>
      </w:r>
      <w:r w:rsidRPr="009F77A7">
        <w:rPr>
          <w:rFonts w:asciiTheme="majorBidi" w:hAnsiTheme="majorBidi" w:cstheme="majorBidi"/>
          <w:sz w:val="24"/>
          <w:szCs w:val="24"/>
        </w:rPr>
        <w:t xml:space="preserve">leh makna batin terhadap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009B436D" w:rsidRPr="009F77A7">
        <w:rPr>
          <w:rFonts w:asciiTheme="majorBidi" w:hAnsiTheme="majorBidi" w:cstheme="majorBidi"/>
          <w:sz w:val="24"/>
          <w:szCs w:val="24"/>
        </w:rPr>
        <w:t xml:space="preserve">. Secara ijtihad </w:t>
      </w:r>
      <w:r w:rsidR="00A64752" w:rsidRPr="009F77A7">
        <w:rPr>
          <w:rFonts w:asciiTheme="majorBidi" w:hAnsiTheme="majorBidi" w:cstheme="majorBidi"/>
          <w:sz w:val="24"/>
          <w:szCs w:val="24"/>
        </w:rPr>
        <w:t xml:space="preserve">Mulla Sadra memahami dan </w:t>
      </w:r>
      <w:r w:rsidR="003946DE" w:rsidRPr="009F77A7">
        <w:rPr>
          <w:rFonts w:asciiTheme="majorBidi" w:hAnsiTheme="majorBidi" w:cstheme="majorBidi"/>
          <w:sz w:val="24"/>
          <w:szCs w:val="24"/>
        </w:rPr>
        <w:t>menghayati jalan yang lurus merupakan perkara yang agung</w:t>
      </w:r>
      <w:r w:rsidR="00A64752" w:rsidRPr="009F77A7">
        <w:rPr>
          <w:rFonts w:asciiTheme="majorBidi" w:hAnsiTheme="majorBidi" w:cstheme="majorBidi"/>
          <w:sz w:val="24"/>
          <w:szCs w:val="24"/>
        </w:rPr>
        <w:t>, hal ini</w:t>
      </w:r>
      <w:r w:rsidRPr="009F77A7">
        <w:rPr>
          <w:rFonts w:asciiTheme="majorBidi" w:hAnsiTheme="majorBidi" w:cstheme="majorBidi"/>
          <w:sz w:val="24"/>
          <w:szCs w:val="24"/>
        </w:rPr>
        <w:t xml:space="preserve"> juga</w:t>
      </w:r>
      <w:r w:rsidR="00A64752" w:rsidRPr="009F77A7">
        <w:rPr>
          <w:rFonts w:asciiTheme="majorBidi" w:hAnsiTheme="majorBidi" w:cstheme="majorBidi"/>
          <w:sz w:val="24"/>
          <w:szCs w:val="24"/>
        </w:rPr>
        <w:t xml:space="preserve"> </w:t>
      </w:r>
      <w:r w:rsidR="003946DE" w:rsidRPr="009F77A7">
        <w:rPr>
          <w:rFonts w:asciiTheme="majorBidi" w:hAnsiTheme="majorBidi" w:cstheme="majorBidi"/>
          <w:sz w:val="24"/>
          <w:szCs w:val="24"/>
        </w:rPr>
        <w:t>ditegaskan oleh</w:t>
      </w:r>
      <w:r w:rsidRPr="009F77A7">
        <w:rPr>
          <w:rFonts w:asciiTheme="majorBidi" w:hAnsiTheme="majorBidi" w:cstheme="majorBidi"/>
          <w:sz w:val="24"/>
          <w:szCs w:val="24"/>
        </w:rPr>
        <w:t xml:space="preserve"> Mulla</w:t>
      </w:r>
      <w:r w:rsidR="003946DE" w:rsidRPr="009F77A7">
        <w:rPr>
          <w:rFonts w:asciiTheme="majorBidi" w:hAnsiTheme="majorBidi" w:cstheme="majorBidi"/>
          <w:sz w:val="24"/>
          <w:szCs w:val="24"/>
        </w:rPr>
        <w:t xml:space="preserve"> </w:t>
      </w:r>
      <w:r w:rsidRPr="009F77A7">
        <w:rPr>
          <w:rFonts w:asciiTheme="majorBidi" w:hAnsiTheme="majorBidi" w:cstheme="majorBidi"/>
          <w:sz w:val="24"/>
          <w:szCs w:val="24"/>
        </w:rPr>
        <w:t>S</w:t>
      </w:r>
      <w:r w:rsidR="003946DE" w:rsidRPr="009F77A7">
        <w:rPr>
          <w:rFonts w:asciiTheme="majorBidi" w:hAnsiTheme="majorBidi" w:cstheme="majorBidi"/>
          <w:sz w:val="24"/>
          <w:szCs w:val="24"/>
        </w:rPr>
        <w:t>adr</w:t>
      </w:r>
      <w:r w:rsidRPr="009F77A7">
        <w:rPr>
          <w:rFonts w:asciiTheme="majorBidi" w:hAnsiTheme="majorBidi" w:cstheme="majorBidi"/>
          <w:sz w:val="24"/>
          <w:szCs w:val="24"/>
        </w:rPr>
        <w:t>a</w:t>
      </w:r>
      <w:r w:rsidR="003946DE" w:rsidRPr="009F77A7">
        <w:rPr>
          <w:rFonts w:asciiTheme="majorBidi" w:hAnsiTheme="majorBidi" w:cstheme="majorBidi"/>
          <w:sz w:val="24"/>
          <w:szCs w:val="24"/>
        </w:rPr>
        <w:t xml:space="preserve"> </w:t>
      </w:r>
      <w:r w:rsidR="00A64752" w:rsidRPr="009F77A7">
        <w:rPr>
          <w:rFonts w:asciiTheme="majorBidi" w:hAnsiTheme="majorBidi" w:cstheme="majorBidi"/>
          <w:sz w:val="24"/>
          <w:szCs w:val="24"/>
        </w:rPr>
        <w:t xml:space="preserve">berkali-kali dalam kitabnya, </w:t>
      </w:r>
      <w:r w:rsidR="003946DE" w:rsidRPr="009F77A7">
        <w:rPr>
          <w:rFonts w:asciiTheme="majorBidi" w:hAnsiTheme="majorBidi" w:cstheme="majorBidi"/>
          <w:sz w:val="24"/>
          <w:szCs w:val="24"/>
        </w:rPr>
        <w:t>sehingga ia memasukkan jala</w:t>
      </w:r>
      <w:r w:rsidR="00A64752" w:rsidRPr="009F77A7">
        <w:rPr>
          <w:rFonts w:asciiTheme="majorBidi" w:hAnsiTheme="majorBidi" w:cstheme="majorBidi"/>
          <w:sz w:val="24"/>
          <w:szCs w:val="24"/>
        </w:rPr>
        <w:t xml:space="preserve">n yang lurus sebagai tiga pokok </w:t>
      </w:r>
      <w:r w:rsidR="003946DE" w:rsidRPr="009F77A7">
        <w:rPr>
          <w:rFonts w:asciiTheme="majorBidi" w:hAnsiTheme="majorBidi" w:cstheme="majorBidi"/>
          <w:sz w:val="24"/>
          <w:szCs w:val="24"/>
        </w:rPr>
        <w:t>penting (</w:t>
      </w:r>
      <w:r w:rsidR="003946DE" w:rsidRPr="009F77A7">
        <w:rPr>
          <w:rFonts w:asciiTheme="majorBidi" w:hAnsiTheme="majorBidi" w:cstheme="majorBidi"/>
          <w:i/>
          <w:iCs/>
          <w:sz w:val="24"/>
          <w:szCs w:val="24"/>
        </w:rPr>
        <w:t>al-thalāthah al-muhimmah</w:t>
      </w:r>
      <w:r w:rsidR="00A64752" w:rsidRPr="009F77A7">
        <w:rPr>
          <w:rFonts w:asciiTheme="majorBidi" w:hAnsiTheme="majorBidi" w:cstheme="majorBidi"/>
          <w:sz w:val="24"/>
          <w:szCs w:val="24"/>
        </w:rPr>
        <w:t xml:space="preserve">) yang wajib diketahui oleh manusia </w:t>
      </w:r>
      <w:r w:rsidR="003946DE" w:rsidRPr="009F77A7">
        <w:rPr>
          <w:rFonts w:asciiTheme="majorBidi" w:hAnsiTheme="majorBidi" w:cstheme="majorBidi"/>
          <w:sz w:val="24"/>
          <w:szCs w:val="24"/>
        </w:rPr>
        <w:t>sebagai salah</w:t>
      </w:r>
      <w:r w:rsidR="00A64752" w:rsidRPr="009F77A7">
        <w:rPr>
          <w:rFonts w:asciiTheme="majorBidi" w:hAnsiTheme="majorBidi" w:cstheme="majorBidi"/>
          <w:sz w:val="24"/>
          <w:szCs w:val="24"/>
        </w:rPr>
        <w:t xml:space="preserve"> satu bekal untuk </w:t>
      </w:r>
      <w:r w:rsidRPr="009F77A7">
        <w:rPr>
          <w:rFonts w:asciiTheme="majorBidi" w:hAnsiTheme="majorBidi" w:cstheme="majorBidi"/>
          <w:sz w:val="24"/>
          <w:szCs w:val="24"/>
        </w:rPr>
        <w:t>mencapai</w:t>
      </w:r>
      <w:r w:rsidR="00A64752" w:rsidRPr="009F77A7">
        <w:rPr>
          <w:rFonts w:asciiTheme="majorBidi" w:hAnsiTheme="majorBidi" w:cstheme="majorBidi"/>
          <w:sz w:val="24"/>
          <w:szCs w:val="24"/>
        </w:rPr>
        <w:t xml:space="preserve"> </w:t>
      </w:r>
      <w:r w:rsidRPr="009F77A7">
        <w:rPr>
          <w:rFonts w:asciiTheme="majorBidi" w:hAnsiTheme="majorBidi" w:cstheme="majorBidi"/>
          <w:sz w:val="24"/>
          <w:szCs w:val="24"/>
        </w:rPr>
        <w:t>proses kesempurnaan</w:t>
      </w:r>
      <w:r w:rsidR="00A63048" w:rsidRPr="009F77A7">
        <w:rPr>
          <w:rFonts w:asciiTheme="majorBidi" w:hAnsiTheme="majorBidi" w:cstheme="majorBidi"/>
          <w:sz w:val="24"/>
          <w:szCs w:val="24"/>
        </w:rPr>
        <w:t>.</w:t>
      </w:r>
      <w:r w:rsidR="003B20E6" w:rsidRPr="009F77A7">
        <w:rPr>
          <w:rStyle w:val="FootnoteReference"/>
          <w:rFonts w:asciiTheme="majorBidi" w:hAnsiTheme="majorBidi" w:cstheme="majorBidi"/>
          <w:sz w:val="24"/>
          <w:szCs w:val="24"/>
        </w:rPr>
        <w:footnoteReference w:id="53"/>
      </w:r>
      <w:r w:rsidR="00A63048" w:rsidRPr="009F77A7">
        <w:rPr>
          <w:rFonts w:asciiTheme="majorBidi" w:hAnsiTheme="majorBidi" w:cstheme="majorBidi"/>
          <w:sz w:val="24"/>
          <w:szCs w:val="24"/>
        </w:rPr>
        <w:t xml:space="preserve"> </w:t>
      </w:r>
      <w:r w:rsidR="00A63048" w:rsidRPr="009F77A7">
        <w:rPr>
          <w:rFonts w:asciiTheme="majorBidi" w:hAnsiTheme="majorBidi" w:cstheme="majorBidi"/>
          <w:i/>
          <w:iCs/>
          <w:sz w:val="24"/>
          <w:szCs w:val="24"/>
        </w:rPr>
        <w:t>As-ṣirāṭ</w:t>
      </w:r>
      <w:r w:rsidR="00A63048" w:rsidRPr="009F77A7">
        <w:rPr>
          <w:rFonts w:asciiTheme="majorBidi" w:hAnsiTheme="majorBidi" w:cstheme="majorBidi"/>
          <w:sz w:val="24"/>
          <w:szCs w:val="24"/>
        </w:rPr>
        <w:t xml:space="preserve"> </w:t>
      </w:r>
      <w:r w:rsidR="00A63048" w:rsidRPr="009F77A7">
        <w:rPr>
          <w:rFonts w:asciiTheme="majorBidi" w:hAnsiTheme="majorBidi" w:cstheme="majorBidi"/>
          <w:i/>
          <w:iCs/>
          <w:sz w:val="24"/>
          <w:szCs w:val="24"/>
        </w:rPr>
        <w:t xml:space="preserve">al-mustaqīm </w:t>
      </w:r>
      <w:r w:rsidR="00A63048" w:rsidRPr="009F77A7">
        <w:rPr>
          <w:rFonts w:asciiTheme="majorBidi" w:hAnsiTheme="majorBidi" w:cstheme="majorBidi"/>
          <w:sz w:val="24"/>
          <w:szCs w:val="24"/>
        </w:rPr>
        <w:t>sebagai hidayah mencapai kesempurnaan</w:t>
      </w:r>
      <w:r w:rsidR="00603717" w:rsidRPr="009F77A7">
        <w:rPr>
          <w:rFonts w:asciiTheme="majorBidi" w:hAnsiTheme="majorBidi" w:cstheme="majorBidi"/>
          <w:sz w:val="24"/>
          <w:szCs w:val="24"/>
        </w:rPr>
        <w:t xml:space="preserve"> manusia</w:t>
      </w:r>
      <w:r w:rsidR="00A63048" w:rsidRPr="009F77A7">
        <w:rPr>
          <w:rFonts w:asciiTheme="majorBidi" w:hAnsiTheme="majorBidi" w:cstheme="majorBidi"/>
          <w:sz w:val="24"/>
          <w:szCs w:val="24"/>
        </w:rPr>
        <w:t xml:space="preserve"> </w:t>
      </w:r>
      <w:r w:rsidR="000553A5" w:rsidRPr="009F77A7">
        <w:rPr>
          <w:rFonts w:asciiTheme="majorBidi" w:hAnsiTheme="majorBidi" w:cstheme="majorBidi"/>
          <w:sz w:val="24"/>
          <w:szCs w:val="24"/>
        </w:rPr>
        <w:t xml:space="preserve">dalam penakwilan Mulla Sadra dihubungkan dengan wacana </w:t>
      </w:r>
      <w:r w:rsidR="000553A5" w:rsidRPr="009F77A7">
        <w:rPr>
          <w:rFonts w:asciiTheme="majorBidi" w:hAnsiTheme="majorBidi" w:cstheme="majorBidi"/>
          <w:sz w:val="24"/>
          <w:szCs w:val="24"/>
        </w:rPr>
        <w:lastRenderedPageBreak/>
        <w:t>gerak</w:t>
      </w:r>
      <w:r w:rsidR="00603717" w:rsidRPr="009F77A7">
        <w:rPr>
          <w:rFonts w:asciiTheme="majorBidi" w:hAnsiTheme="majorBidi" w:cstheme="majorBidi"/>
          <w:sz w:val="24"/>
          <w:szCs w:val="24"/>
        </w:rPr>
        <w:t xml:space="preserve"> yang</w:t>
      </w:r>
      <w:r w:rsidR="000553A5" w:rsidRPr="009F77A7">
        <w:rPr>
          <w:rFonts w:asciiTheme="majorBidi" w:hAnsiTheme="majorBidi" w:cstheme="majorBidi"/>
          <w:sz w:val="24"/>
          <w:szCs w:val="24"/>
        </w:rPr>
        <w:t xml:space="preserve"> bersifat tetap (</w:t>
      </w:r>
      <w:r w:rsidR="000553A5" w:rsidRPr="009F77A7">
        <w:rPr>
          <w:rFonts w:asciiTheme="majorBidi" w:hAnsiTheme="majorBidi" w:cstheme="majorBidi"/>
          <w:i/>
          <w:iCs/>
          <w:sz w:val="24"/>
          <w:szCs w:val="24"/>
        </w:rPr>
        <w:t>qā’imah)</w:t>
      </w:r>
      <w:r w:rsidR="000553A5" w:rsidRPr="009F77A7">
        <w:rPr>
          <w:rFonts w:asciiTheme="majorBidi" w:hAnsiTheme="majorBidi" w:cstheme="majorBidi"/>
          <w:sz w:val="24"/>
          <w:szCs w:val="24"/>
        </w:rPr>
        <w:t xml:space="preserve"> maupun gerak (</w:t>
      </w:r>
      <w:r w:rsidR="000553A5" w:rsidRPr="009F77A7">
        <w:rPr>
          <w:rFonts w:asciiTheme="majorBidi" w:hAnsiTheme="majorBidi" w:cstheme="majorBidi"/>
          <w:i/>
          <w:iCs/>
          <w:sz w:val="24"/>
          <w:szCs w:val="24"/>
        </w:rPr>
        <w:t>mutaḥarrikah</w:t>
      </w:r>
      <w:r w:rsidR="000553A5" w:rsidRPr="009F77A7">
        <w:rPr>
          <w:rFonts w:asciiTheme="majorBidi" w:hAnsiTheme="majorBidi" w:cstheme="majorBidi"/>
          <w:sz w:val="24"/>
          <w:szCs w:val="24"/>
        </w:rPr>
        <w:t xml:space="preserve">) yang </w:t>
      </w:r>
      <w:r w:rsidR="00603717" w:rsidRPr="009F77A7">
        <w:rPr>
          <w:rFonts w:asciiTheme="majorBidi" w:hAnsiTheme="majorBidi" w:cstheme="majorBidi"/>
          <w:sz w:val="24"/>
          <w:szCs w:val="24"/>
        </w:rPr>
        <w:t>ter</w:t>
      </w:r>
      <w:r w:rsidR="000553A5" w:rsidRPr="009F77A7">
        <w:rPr>
          <w:rFonts w:asciiTheme="majorBidi" w:hAnsiTheme="majorBidi" w:cstheme="majorBidi"/>
          <w:sz w:val="24"/>
          <w:szCs w:val="24"/>
        </w:rPr>
        <w:t>bagi menjadi 3 jalan utama, antara lain;</w:t>
      </w:r>
      <w:r w:rsidR="000553A5" w:rsidRPr="009F77A7">
        <w:rPr>
          <w:rStyle w:val="FootnoteReference"/>
          <w:rFonts w:asciiTheme="majorBidi" w:hAnsiTheme="majorBidi" w:cstheme="majorBidi"/>
          <w:sz w:val="24"/>
          <w:szCs w:val="24"/>
        </w:rPr>
        <w:footnoteReference w:id="54"/>
      </w:r>
      <w:r w:rsidR="000553A5" w:rsidRPr="009F77A7">
        <w:rPr>
          <w:rFonts w:asciiTheme="majorBidi" w:hAnsiTheme="majorBidi" w:cstheme="majorBidi"/>
          <w:sz w:val="24"/>
          <w:szCs w:val="24"/>
        </w:rPr>
        <w:t xml:space="preserve"> </w:t>
      </w:r>
      <w:r w:rsidR="00A63048" w:rsidRPr="009F77A7">
        <w:rPr>
          <w:rFonts w:asciiTheme="majorBidi" w:hAnsiTheme="majorBidi" w:cstheme="majorBidi"/>
          <w:i/>
          <w:iCs/>
          <w:sz w:val="24"/>
          <w:szCs w:val="24"/>
        </w:rPr>
        <w:t xml:space="preserve"> </w:t>
      </w:r>
      <w:r w:rsidR="00A63048" w:rsidRPr="009F77A7">
        <w:rPr>
          <w:rFonts w:asciiTheme="majorBidi" w:hAnsiTheme="majorBidi" w:cstheme="majorBidi"/>
          <w:sz w:val="24"/>
          <w:szCs w:val="24"/>
        </w:rPr>
        <w:t xml:space="preserve"> </w:t>
      </w:r>
      <w:r w:rsidRPr="009F77A7">
        <w:rPr>
          <w:rFonts w:asciiTheme="majorBidi" w:hAnsiTheme="majorBidi" w:cstheme="majorBidi"/>
          <w:sz w:val="24"/>
          <w:szCs w:val="24"/>
        </w:rPr>
        <w:t xml:space="preserve"> </w:t>
      </w:r>
    </w:p>
    <w:p w:rsidR="00B74429" w:rsidRPr="009F77A7" w:rsidRDefault="00B74429" w:rsidP="00B74429">
      <w:pPr>
        <w:autoSpaceDE w:val="0"/>
        <w:autoSpaceDN w:val="0"/>
        <w:adjustRightInd w:val="0"/>
        <w:spacing w:after="120" w:line="360" w:lineRule="auto"/>
        <w:ind w:left="426" w:firstLine="283"/>
        <w:jc w:val="both"/>
        <w:rPr>
          <w:rFonts w:asciiTheme="majorBidi" w:hAnsiTheme="majorBidi" w:cstheme="majorBidi"/>
          <w:sz w:val="24"/>
          <w:szCs w:val="24"/>
        </w:rPr>
      </w:pPr>
    </w:p>
    <w:p w:rsidR="004315D6" w:rsidRPr="009F77A7" w:rsidRDefault="004315D6" w:rsidP="00062CDB">
      <w:pPr>
        <w:autoSpaceDE w:val="0"/>
        <w:autoSpaceDN w:val="0"/>
        <w:adjustRightInd w:val="0"/>
        <w:spacing w:after="120" w:line="240" w:lineRule="auto"/>
        <w:ind w:left="131" w:firstLine="720"/>
        <w:jc w:val="both"/>
        <w:rPr>
          <w:rFonts w:asciiTheme="majorBidi" w:hAnsiTheme="majorBidi" w:cstheme="majorBidi"/>
          <w:b/>
          <w:bCs/>
          <w:sz w:val="24"/>
          <w:szCs w:val="24"/>
        </w:rPr>
      </w:pPr>
      <w:r w:rsidRPr="009F77A7">
        <w:rPr>
          <w:rFonts w:asciiTheme="majorBidi" w:hAnsiTheme="majorBidi" w:cstheme="majorBidi"/>
          <w:b/>
          <w:bCs/>
          <w:sz w:val="24"/>
          <w:szCs w:val="24"/>
        </w:rPr>
        <w:t>Jalan yang Lurus Esensial</w:t>
      </w:r>
    </w:p>
    <w:p w:rsidR="004315D6" w:rsidRPr="009F77A7" w:rsidRDefault="004315D6" w:rsidP="00B74429">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Dalam pandangan</w:t>
      </w:r>
      <w:r w:rsidR="00465987" w:rsidRPr="009F77A7">
        <w:rPr>
          <w:rFonts w:asciiTheme="majorBidi" w:hAnsiTheme="majorBidi" w:cstheme="majorBidi"/>
          <w:sz w:val="24"/>
          <w:szCs w:val="24"/>
        </w:rPr>
        <w:t xml:space="preserve"> Mulla</w:t>
      </w:r>
      <w:r w:rsidRPr="009F77A7">
        <w:rPr>
          <w:rFonts w:asciiTheme="majorBidi" w:hAnsiTheme="majorBidi" w:cstheme="majorBidi"/>
          <w:sz w:val="24"/>
          <w:szCs w:val="24"/>
        </w:rPr>
        <w:t xml:space="preserve"> Ṣadrā, seluruh ciptaan –di alam </w:t>
      </w:r>
      <w:r w:rsidRPr="009F77A7">
        <w:rPr>
          <w:rFonts w:asciiTheme="majorBidi" w:hAnsiTheme="majorBidi" w:cstheme="majorBidi"/>
          <w:i/>
          <w:iCs/>
          <w:sz w:val="24"/>
          <w:szCs w:val="24"/>
        </w:rPr>
        <w:t>khalq</w:t>
      </w:r>
      <w:r w:rsidR="00465987" w:rsidRPr="009F77A7">
        <w:rPr>
          <w:rFonts w:asciiTheme="majorBidi" w:hAnsiTheme="majorBidi" w:cstheme="majorBidi"/>
          <w:sz w:val="24"/>
          <w:szCs w:val="24"/>
        </w:rPr>
        <w:t xml:space="preserve"> </w:t>
      </w:r>
      <w:r w:rsidRPr="009F77A7">
        <w:rPr>
          <w:rFonts w:asciiTheme="majorBidi" w:hAnsiTheme="majorBidi" w:cstheme="majorBidi"/>
          <w:sz w:val="24"/>
          <w:szCs w:val="24"/>
        </w:rPr>
        <w:t>tanpa terkecuali akan bergerak menuju ke hadirat ilahi, baik itu secara naluri (</w:t>
      </w:r>
      <w:r w:rsidRPr="009F77A7">
        <w:rPr>
          <w:rFonts w:asciiTheme="majorBidi" w:hAnsiTheme="majorBidi" w:cstheme="majorBidi"/>
          <w:i/>
          <w:iCs/>
          <w:sz w:val="24"/>
          <w:szCs w:val="24"/>
        </w:rPr>
        <w:t>gharizī</w:t>
      </w:r>
      <w:r w:rsidRPr="009F77A7">
        <w:rPr>
          <w:rFonts w:asciiTheme="majorBidi" w:hAnsiTheme="majorBidi" w:cstheme="majorBidi"/>
          <w:sz w:val="24"/>
          <w:szCs w:val="24"/>
        </w:rPr>
        <w:t>) ataupun secara kodrati (</w:t>
      </w:r>
      <w:r w:rsidRPr="009F77A7">
        <w:rPr>
          <w:rFonts w:asciiTheme="majorBidi" w:hAnsiTheme="majorBidi" w:cstheme="majorBidi"/>
          <w:i/>
          <w:iCs/>
          <w:sz w:val="24"/>
          <w:szCs w:val="24"/>
        </w:rPr>
        <w:t>jiblī</w:t>
      </w:r>
      <w:r w:rsidRPr="009F77A7">
        <w:rPr>
          <w:rFonts w:asciiTheme="majorBidi" w:hAnsiTheme="majorBidi" w:cstheme="majorBidi"/>
          <w:sz w:val="24"/>
          <w:szCs w:val="24"/>
        </w:rPr>
        <w:t>).</w:t>
      </w:r>
      <w:r w:rsidRPr="009F77A7">
        <w:rPr>
          <w:rStyle w:val="FootnoteReference"/>
          <w:rFonts w:asciiTheme="majorBidi" w:hAnsiTheme="majorBidi" w:cstheme="majorBidi"/>
          <w:sz w:val="24"/>
          <w:szCs w:val="24"/>
        </w:rPr>
        <w:footnoteReference w:id="55"/>
      </w:r>
      <w:r w:rsidR="00EC133F" w:rsidRPr="009F77A7">
        <w:rPr>
          <w:rFonts w:asciiTheme="majorBidi" w:hAnsiTheme="majorBidi" w:cstheme="majorBidi"/>
          <w:b/>
          <w:bCs/>
          <w:sz w:val="24"/>
          <w:szCs w:val="24"/>
        </w:rPr>
        <w:t xml:space="preserve"> </w:t>
      </w:r>
      <w:r w:rsidRPr="009F77A7">
        <w:rPr>
          <w:rFonts w:asciiTheme="majorBidi" w:hAnsiTheme="majorBidi" w:cstheme="majorBidi"/>
          <w:sz w:val="24"/>
          <w:szCs w:val="24"/>
        </w:rPr>
        <w:t xml:space="preserve">Gerakan kodrati </w:t>
      </w:r>
      <w:r w:rsidR="00EC133F" w:rsidRPr="009F77A7">
        <w:rPr>
          <w:rFonts w:asciiTheme="majorBidi" w:hAnsiTheme="majorBidi" w:cstheme="majorBidi"/>
          <w:sz w:val="24"/>
          <w:szCs w:val="24"/>
        </w:rPr>
        <w:t xml:space="preserve">memiliki sifat selalu benar </w:t>
      </w:r>
      <w:r w:rsidR="000553A5" w:rsidRPr="009F77A7">
        <w:rPr>
          <w:rFonts w:asciiTheme="majorBidi" w:hAnsiTheme="majorBidi" w:cstheme="majorBidi"/>
          <w:sz w:val="24"/>
          <w:szCs w:val="24"/>
        </w:rPr>
        <w:t>atau terhindar dari ragam</w:t>
      </w:r>
      <w:r w:rsidR="00EC133F" w:rsidRPr="009F77A7">
        <w:rPr>
          <w:rFonts w:asciiTheme="majorBidi" w:hAnsiTheme="majorBidi" w:cstheme="majorBidi"/>
          <w:sz w:val="24"/>
          <w:szCs w:val="24"/>
        </w:rPr>
        <w:t xml:space="preserve"> </w:t>
      </w:r>
      <w:r w:rsidRPr="009F77A7">
        <w:rPr>
          <w:rFonts w:asciiTheme="majorBidi" w:hAnsiTheme="majorBidi" w:cstheme="majorBidi"/>
          <w:sz w:val="24"/>
          <w:szCs w:val="24"/>
        </w:rPr>
        <w:t>k</w:t>
      </w:r>
      <w:r w:rsidR="00EC133F" w:rsidRPr="009F77A7">
        <w:rPr>
          <w:rFonts w:asciiTheme="majorBidi" w:hAnsiTheme="majorBidi" w:cstheme="majorBidi"/>
          <w:sz w:val="24"/>
          <w:szCs w:val="24"/>
        </w:rPr>
        <w:t xml:space="preserve">esesatan dan kekeliruan, karena </w:t>
      </w:r>
      <w:r w:rsidRPr="009F77A7">
        <w:rPr>
          <w:rFonts w:asciiTheme="majorBidi" w:hAnsiTheme="majorBidi" w:cstheme="majorBidi"/>
          <w:sz w:val="24"/>
          <w:szCs w:val="24"/>
        </w:rPr>
        <w:t>Allah sendiri yang menjadi p</w:t>
      </w:r>
      <w:r w:rsidR="000553A5" w:rsidRPr="009F77A7">
        <w:rPr>
          <w:rFonts w:asciiTheme="majorBidi" w:hAnsiTheme="majorBidi" w:cstheme="majorBidi"/>
          <w:sz w:val="24"/>
          <w:szCs w:val="24"/>
        </w:rPr>
        <w:t>enggerak-N</w:t>
      </w:r>
      <w:r w:rsidR="00EC133F" w:rsidRPr="009F77A7">
        <w:rPr>
          <w:rFonts w:asciiTheme="majorBidi" w:hAnsiTheme="majorBidi" w:cstheme="majorBidi"/>
          <w:sz w:val="24"/>
          <w:szCs w:val="24"/>
        </w:rPr>
        <w:t>ya.</w:t>
      </w:r>
      <w:r w:rsidR="00603717" w:rsidRPr="009F77A7">
        <w:rPr>
          <w:rStyle w:val="FootnoteReference"/>
          <w:rFonts w:asciiTheme="majorBidi" w:hAnsiTheme="majorBidi" w:cstheme="majorBidi"/>
          <w:sz w:val="24"/>
          <w:szCs w:val="24"/>
        </w:rPr>
        <w:footnoteReference w:id="56"/>
      </w:r>
      <w:r w:rsidR="00EC133F" w:rsidRPr="009F77A7">
        <w:rPr>
          <w:rFonts w:asciiTheme="majorBidi" w:hAnsiTheme="majorBidi" w:cstheme="majorBidi"/>
          <w:sz w:val="24"/>
          <w:szCs w:val="24"/>
        </w:rPr>
        <w:t xml:space="preserve"> Gerakan ini </w:t>
      </w:r>
      <w:r w:rsidRPr="009F77A7">
        <w:rPr>
          <w:rFonts w:asciiTheme="majorBidi" w:hAnsiTheme="majorBidi" w:cstheme="majorBidi"/>
          <w:sz w:val="24"/>
          <w:szCs w:val="24"/>
        </w:rPr>
        <w:t xml:space="preserve">diisyaratkan oleh Alquran </w:t>
      </w:r>
      <w:r w:rsidR="00EC133F" w:rsidRPr="009F77A7">
        <w:rPr>
          <w:rFonts w:asciiTheme="majorBidi" w:hAnsiTheme="majorBidi" w:cstheme="majorBidi"/>
          <w:sz w:val="24"/>
          <w:szCs w:val="24"/>
        </w:rPr>
        <w:t xml:space="preserve">dalam </w:t>
      </w:r>
      <w:r w:rsidR="00107005" w:rsidRPr="009F77A7">
        <w:rPr>
          <w:rFonts w:asciiTheme="majorBidi" w:hAnsiTheme="majorBidi" w:cstheme="majorBidi"/>
          <w:sz w:val="24"/>
          <w:szCs w:val="24"/>
        </w:rPr>
        <w:t>surah</w:t>
      </w:r>
      <w:r w:rsidR="00EC133F" w:rsidRPr="009F77A7">
        <w:rPr>
          <w:rFonts w:asciiTheme="majorBidi" w:hAnsiTheme="majorBidi" w:cstheme="majorBidi"/>
          <w:sz w:val="24"/>
          <w:szCs w:val="24"/>
        </w:rPr>
        <w:t xml:space="preserve"> Hud ayat 56, dengan </w:t>
      </w:r>
      <w:r w:rsidRPr="009F77A7">
        <w:rPr>
          <w:rFonts w:asciiTheme="majorBidi" w:hAnsiTheme="majorBidi" w:cstheme="majorBidi"/>
          <w:sz w:val="24"/>
          <w:szCs w:val="24"/>
        </w:rPr>
        <w:t>terjemahan sebagai berikut: “</w:t>
      </w:r>
      <w:r w:rsidR="00EC133F" w:rsidRPr="009F77A7">
        <w:rPr>
          <w:rFonts w:asciiTheme="majorBidi" w:hAnsiTheme="majorBidi" w:cstheme="majorBidi"/>
          <w:i/>
          <w:iCs/>
          <w:sz w:val="24"/>
          <w:szCs w:val="24"/>
        </w:rPr>
        <w:t xml:space="preserve">Tidak ada suatu binatang </w:t>
      </w:r>
      <w:r w:rsidRPr="009F77A7">
        <w:rPr>
          <w:rFonts w:asciiTheme="majorBidi" w:hAnsiTheme="majorBidi" w:cstheme="majorBidi"/>
          <w:i/>
          <w:iCs/>
          <w:sz w:val="24"/>
          <w:szCs w:val="24"/>
        </w:rPr>
        <w:t>melata pun melainkan Dia</w:t>
      </w:r>
      <w:r w:rsidR="00EC133F" w:rsidRPr="009F77A7">
        <w:rPr>
          <w:rFonts w:asciiTheme="majorBidi" w:hAnsiTheme="majorBidi" w:cstheme="majorBidi"/>
          <w:i/>
          <w:iCs/>
          <w:sz w:val="24"/>
          <w:szCs w:val="24"/>
        </w:rPr>
        <w:t>-lah yang memegang ubun</w:t>
      </w:r>
      <w:r w:rsidR="00B51E96" w:rsidRPr="009F77A7">
        <w:rPr>
          <w:rFonts w:asciiTheme="majorBidi" w:hAnsiTheme="majorBidi" w:cstheme="majorBidi"/>
          <w:i/>
          <w:iCs/>
          <w:sz w:val="24"/>
          <w:szCs w:val="24"/>
        </w:rPr>
        <w:t>-</w:t>
      </w:r>
      <w:r w:rsidR="00EC133F" w:rsidRPr="009F77A7">
        <w:rPr>
          <w:rFonts w:asciiTheme="majorBidi" w:hAnsiTheme="majorBidi" w:cstheme="majorBidi"/>
          <w:i/>
          <w:iCs/>
          <w:sz w:val="24"/>
          <w:szCs w:val="24"/>
        </w:rPr>
        <w:t xml:space="preserve">ubunnya. </w:t>
      </w:r>
      <w:r w:rsidRPr="009F77A7">
        <w:rPr>
          <w:rFonts w:asciiTheme="majorBidi" w:hAnsiTheme="majorBidi" w:cstheme="majorBidi"/>
          <w:i/>
          <w:iCs/>
          <w:sz w:val="24"/>
          <w:szCs w:val="24"/>
        </w:rPr>
        <w:t>Sesungguhnya Tu</w:t>
      </w:r>
      <w:r w:rsidR="00EC133F" w:rsidRPr="009F77A7">
        <w:rPr>
          <w:rFonts w:asciiTheme="majorBidi" w:hAnsiTheme="majorBidi" w:cstheme="majorBidi"/>
          <w:i/>
          <w:iCs/>
          <w:sz w:val="24"/>
          <w:szCs w:val="24"/>
        </w:rPr>
        <w:t xml:space="preserve">hanku berada di atas jalan yang </w:t>
      </w:r>
      <w:r w:rsidRPr="009F77A7">
        <w:rPr>
          <w:rFonts w:asciiTheme="majorBidi" w:hAnsiTheme="majorBidi" w:cstheme="majorBidi"/>
          <w:i/>
          <w:iCs/>
          <w:sz w:val="24"/>
          <w:szCs w:val="24"/>
        </w:rPr>
        <w:t xml:space="preserve">lurus.” </w:t>
      </w:r>
      <w:r w:rsidR="000553A5" w:rsidRPr="009F77A7">
        <w:rPr>
          <w:rFonts w:asciiTheme="majorBidi" w:hAnsiTheme="majorBidi" w:cstheme="majorBidi"/>
          <w:sz w:val="24"/>
          <w:szCs w:val="24"/>
        </w:rPr>
        <w:t xml:space="preserve">Di </w:t>
      </w:r>
      <w:r w:rsidR="00107005" w:rsidRPr="009F77A7">
        <w:rPr>
          <w:rFonts w:asciiTheme="majorBidi" w:hAnsiTheme="majorBidi" w:cstheme="majorBidi"/>
          <w:sz w:val="24"/>
          <w:szCs w:val="24"/>
        </w:rPr>
        <w:t>surah</w:t>
      </w:r>
      <w:r w:rsidR="000553A5" w:rsidRPr="009F77A7">
        <w:rPr>
          <w:rFonts w:asciiTheme="majorBidi" w:hAnsiTheme="majorBidi" w:cstheme="majorBidi"/>
          <w:sz w:val="24"/>
          <w:szCs w:val="24"/>
        </w:rPr>
        <w:t xml:space="preserve"> yang sama, </w:t>
      </w:r>
      <w:r w:rsidR="00EC133F" w:rsidRPr="009F77A7">
        <w:rPr>
          <w:rFonts w:asciiTheme="majorBidi" w:hAnsiTheme="majorBidi" w:cstheme="majorBidi"/>
          <w:sz w:val="24"/>
          <w:szCs w:val="24"/>
        </w:rPr>
        <w:t xml:space="preserve">ayat ke 6, Alquran </w:t>
      </w:r>
      <w:r w:rsidRPr="009F77A7">
        <w:rPr>
          <w:rFonts w:asciiTheme="majorBidi" w:hAnsiTheme="majorBidi" w:cstheme="majorBidi"/>
          <w:sz w:val="24"/>
          <w:szCs w:val="24"/>
        </w:rPr>
        <w:t>juga menjelaskan bahw</w:t>
      </w:r>
      <w:r w:rsidR="00EC133F" w:rsidRPr="009F77A7">
        <w:rPr>
          <w:rFonts w:asciiTheme="majorBidi" w:hAnsiTheme="majorBidi" w:cstheme="majorBidi"/>
          <w:sz w:val="24"/>
          <w:szCs w:val="24"/>
        </w:rPr>
        <w:t xml:space="preserve">a Allah yang menjamin rezeki </w:t>
      </w:r>
      <w:r w:rsidRPr="009F77A7">
        <w:rPr>
          <w:rFonts w:asciiTheme="majorBidi" w:hAnsiTheme="majorBidi" w:cstheme="majorBidi"/>
          <w:sz w:val="24"/>
          <w:szCs w:val="24"/>
        </w:rPr>
        <w:t>seluruh makhluk, da</w:t>
      </w:r>
      <w:r w:rsidR="00EC133F" w:rsidRPr="009F77A7">
        <w:rPr>
          <w:rFonts w:asciiTheme="majorBidi" w:hAnsiTheme="majorBidi" w:cstheme="majorBidi"/>
          <w:sz w:val="24"/>
          <w:szCs w:val="24"/>
        </w:rPr>
        <w:t xml:space="preserve">n mengetahui tempat berdiam dan </w:t>
      </w:r>
      <w:r w:rsidRPr="009F77A7">
        <w:rPr>
          <w:rFonts w:asciiTheme="majorBidi" w:hAnsiTheme="majorBidi" w:cstheme="majorBidi"/>
          <w:sz w:val="24"/>
          <w:szCs w:val="24"/>
        </w:rPr>
        <w:t>tempat kembalinya</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Terjemahan ayat tersebut, </w:t>
      </w:r>
      <w:r w:rsidRPr="009F77A7">
        <w:rPr>
          <w:rFonts w:asciiTheme="majorBidi" w:hAnsiTheme="majorBidi" w:cstheme="majorBidi"/>
          <w:i/>
          <w:iCs/>
          <w:sz w:val="24"/>
          <w:szCs w:val="24"/>
        </w:rPr>
        <w:t>“</w:t>
      </w:r>
      <w:r w:rsidR="00EC133F" w:rsidRPr="009F77A7">
        <w:rPr>
          <w:rFonts w:asciiTheme="majorBidi" w:hAnsiTheme="majorBidi" w:cstheme="majorBidi"/>
          <w:i/>
          <w:iCs/>
          <w:sz w:val="24"/>
          <w:szCs w:val="24"/>
        </w:rPr>
        <w:t xml:space="preserve">Dan tidak </w:t>
      </w:r>
      <w:r w:rsidRPr="009F77A7">
        <w:rPr>
          <w:rFonts w:asciiTheme="majorBidi" w:hAnsiTheme="majorBidi" w:cstheme="majorBidi"/>
          <w:i/>
          <w:iCs/>
          <w:sz w:val="24"/>
          <w:szCs w:val="24"/>
        </w:rPr>
        <w:t>ada suatu binatang melata pun di bumi melainkan Allah-lah</w:t>
      </w:r>
      <w:r w:rsidR="00EC133F" w:rsidRPr="009F77A7">
        <w:rPr>
          <w:rFonts w:asciiTheme="majorBidi" w:hAnsiTheme="majorBidi" w:cstheme="majorBidi"/>
          <w:i/>
          <w:iCs/>
          <w:sz w:val="24"/>
          <w:szCs w:val="24"/>
        </w:rPr>
        <w:t xml:space="preserve"> </w:t>
      </w:r>
      <w:r w:rsidRPr="009F77A7">
        <w:rPr>
          <w:rFonts w:asciiTheme="majorBidi" w:hAnsiTheme="majorBidi" w:cstheme="majorBidi"/>
          <w:i/>
          <w:iCs/>
          <w:sz w:val="24"/>
          <w:szCs w:val="24"/>
        </w:rPr>
        <w:t>yang memberi rezekinya, dan Dia mengetahui tempat</w:t>
      </w:r>
      <w:r w:rsidR="00EC133F" w:rsidRPr="009F77A7">
        <w:rPr>
          <w:rFonts w:asciiTheme="majorBidi" w:hAnsiTheme="majorBidi" w:cstheme="majorBidi"/>
          <w:i/>
          <w:iCs/>
          <w:sz w:val="24"/>
          <w:szCs w:val="24"/>
        </w:rPr>
        <w:t xml:space="preserve"> </w:t>
      </w:r>
      <w:r w:rsidRPr="009F77A7">
        <w:rPr>
          <w:rFonts w:asciiTheme="majorBidi" w:hAnsiTheme="majorBidi" w:cstheme="majorBidi"/>
          <w:i/>
          <w:iCs/>
          <w:sz w:val="24"/>
          <w:szCs w:val="24"/>
        </w:rPr>
        <w:t>berdiam dan tempat pen</w:t>
      </w:r>
      <w:r w:rsidR="00EC133F" w:rsidRPr="009F77A7">
        <w:rPr>
          <w:rFonts w:asciiTheme="majorBidi" w:hAnsiTheme="majorBidi" w:cstheme="majorBidi"/>
          <w:i/>
          <w:iCs/>
          <w:sz w:val="24"/>
          <w:szCs w:val="24"/>
        </w:rPr>
        <w:t xml:space="preserve">yimpanan binatang itu. Semuanya </w:t>
      </w:r>
      <w:r w:rsidRPr="009F77A7">
        <w:rPr>
          <w:rFonts w:asciiTheme="majorBidi" w:hAnsiTheme="majorBidi" w:cstheme="majorBidi"/>
          <w:i/>
          <w:iCs/>
          <w:sz w:val="24"/>
          <w:szCs w:val="24"/>
        </w:rPr>
        <w:t>tertulis dalam kitab yang nyata</w:t>
      </w:r>
      <w:r w:rsidRPr="009F77A7">
        <w:rPr>
          <w:rFonts w:asciiTheme="majorBidi" w:hAnsiTheme="majorBidi" w:cstheme="majorBidi"/>
          <w:sz w:val="24"/>
          <w:szCs w:val="24"/>
        </w:rPr>
        <w:t xml:space="preserve">”. </w:t>
      </w:r>
      <w:r w:rsidR="00EC133F" w:rsidRPr="009F77A7">
        <w:rPr>
          <w:rFonts w:asciiTheme="majorBidi" w:hAnsiTheme="majorBidi" w:cstheme="majorBidi"/>
          <w:sz w:val="24"/>
          <w:szCs w:val="24"/>
        </w:rPr>
        <w:t xml:space="preserve">Artinya seluruh makhluk </w:t>
      </w:r>
      <w:r w:rsidRPr="009F77A7">
        <w:rPr>
          <w:rFonts w:asciiTheme="majorBidi" w:hAnsiTheme="majorBidi" w:cstheme="majorBidi"/>
          <w:sz w:val="24"/>
          <w:szCs w:val="24"/>
        </w:rPr>
        <w:t>secara kodrati telah be</w:t>
      </w:r>
      <w:r w:rsidR="00EC133F" w:rsidRPr="009F77A7">
        <w:rPr>
          <w:rFonts w:asciiTheme="majorBidi" w:hAnsiTheme="majorBidi" w:cstheme="majorBidi"/>
          <w:sz w:val="24"/>
          <w:szCs w:val="24"/>
        </w:rPr>
        <w:t xml:space="preserve">rgerak dalam gerakan Allah yang </w:t>
      </w:r>
      <w:r w:rsidRPr="009F77A7">
        <w:rPr>
          <w:rFonts w:asciiTheme="majorBidi" w:hAnsiTheme="majorBidi" w:cstheme="majorBidi"/>
          <w:sz w:val="24"/>
          <w:szCs w:val="24"/>
        </w:rPr>
        <w:t xml:space="preserve">teguh dan kokoh tanpa ada </w:t>
      </w:r>
      <w:r w:rsidR="00EC133F" w:rsidRPr="009F77A7">
        <w:rPr>
          <w:rFonts w:asciiTheme="majorBidi" w:hAnsiTheme="majorBidi" w:cstheme="majorBidi"/>
          <w:sz w:val="24"/>
          <w:szCs w:val="24"/>
        </w:rPr>
        <w:t>penyimpangan</w:t>
      </w:r>
      <w:r w:rsidR="008C441B" w:rsidRPr="009F77A7">
        <w:rPr>
          <w:rFonts w:asciiTheme="majorBidi" w:hAnsiTheme="majorBidi" w:cstheme="majorBidi"/>
          <w:sz w:val="24"/>
          <w:szCs w:val="24"/>
        </w:rPr>
        <w:t xml:space="preserve"> yang disebut</w:t>
      </w:r>
      <w:r w:rsidRPr="009F77A7">
        <w:rPr>
          <w:rFonts w:asciiTheme="majorBidi" w:hAnsiTheme="majorBidi" w:cstheme="majorBidi"/>
          <w:sz w:val="24"/>
          <w:szCs w:val="24"/>
        </w:rPr>
        <w:t xml:space="preserve"> jalan lurus yang esensial (</w:t>
      </w:r>
      <w:r w:rsidRPr="009F77A7">
        <w:rPr>
          <w:rFonts w:asciiTheme="majorBidi" w:hAnsiTheme="majorBidi" w:cstheme="majorBidi"/>
          <w:i/>
          <w:iCs/>
          <w:sz w:val="24"/>
          <w:szCs w:val="24"/>
        </w:rPr>
        <w:t>as-ṣirāṭ adh-dhātī</w:t>
      </w:r>
      <w:r w:rsidRPr="009F77A7">
        <w:rPr>
          <w:rFonts w:asciiTheme="majorBidi" w:hAnsiTheme="majorBidi" w:cstheme="majorBidi"/>
          <w:sz w:val="24"/>
          <w:szCs w:val="24"/>
        </w:rPr>
        <w:t>)</w:t>
      </w:r>
      <w:r w:rsidR="008C441B" w:rsidRPr="009F77A7">
        <w:rPr>
          <w:rFonts w:asciiTheme="majorBidi" w:hAnsiTheme="majorBidi" w:cstheme="majorBidi"/>
          <w:sz w:val="24"/>
          <w:szCs w:val="24"/>
        </w:rPr>
        <w:t xml:space="preserve"> oleh Mulla Sadra</w:t>
      </w:r>
      <w:r w:rsidRPr="009F77A7">
        <w:rPr>
          <w:rFonts w:asciiTheme="majorBidi" w:hAnsiTheme="majorBidi" w:cstheme="majorBidi"/>
          <w:sz w:val="24"/>
          <w:szCs w:val="24"/>
        </w:rPr>
        <w:t>.</w:t>
      </w:r>
    </w:p>
    <w:p w:rsidR="00EC133F" w:rsidRPr="009F77A7" w:rsidRDefault="00EC133F" w:rsidP="00062CDB">
      <w:pPr>
        <w:autoSpaceDE w:val="0"/>
        <w:autoSpaceDN w:val="0"/>
        <w:adjustRightInd w:val="0"/>
        <w:spacing w:after="120" w:line="240" w:lineRule="auto"/>
        <w:ind w:left="131" w:firstLine="720"/>
        <w:jc w:val="both"/>
        <w:rPr>
          <w:rFonts w:asciiTheme="majorBidi" w:hAnsiTheme="majorBidi" w:cstheme="majorBidi"/>
          <w:b/>
          <w:bCs/>
          <w:sz w:val="24"/>
          <w:szCs w:val="24"/>
        </w:rPr>
      </w:pPr>
      <w:r w:rsidRPr="009F77A7">
        <w:rPr>
          <w:rFonts w:asciiTheme="majorBidi" w:hAnsiTheme="majorBidi" w:cstheme="majorBidi"/>
          <w:b/>
          <w:bCs/>
          <w:sz w:val="24"/>
          <w:szCs w:val="24"/>
        </w:rPr>
        <w:t>Jalan yang Lurus Ikhtiar</w:t>
      </w:r>
    </w:p>
    <w:p w:rsidR="00C07C0D" w:rsidRPr="009F77A7" w:rsidRDefault="00085D87" w:rsidP="00B74429">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Pembagian kedua, ialah jalan yang lurus ikhtiar dalam artian manusia memiliki kehendak untuk memilih jalannya sendiri yang mempengaruhi kedekatannya dengan Allah swt. Mulla Sadra menyakini bahwa setiap individu telah dibekali akal sebagai sebuah hidayah yang mengantarakan manusia untuk m</w:t>
      </w:r>
      <w:r w:rsidR="00ED5946" w:rsidRPr="009F77A7">
        <w:rPr>
          <w:rFonts w:asciiTheme="majorBidi" w:hAnsiTheme="majorBidi" w:cstheme="majorBidi"/>
          <w:sz w:val="24"/>
          <w:szCs w:val="24"/>
        </w:rPr>
        <w:t>emilih jalan yang benar dan salah.</w:t>
      </w:r>
      <w:r w:rsidR="00603717" w:rsidRPr="009F77A7">
        <w:rPr>
          <w:rStyle w:val="FootnoteReference"/>
          <w:rFonts w:asciiTheme="majorBidi" w:hAnsiTheme="majorBidi" w:cstheme="majorBidi"/>
          <w:sz w:val="24"/>
          <w:szCs w:val="24"/>
        </w:rPr>
        <w:footnoteReference w:id="57"/>
      </w:r>
      <w:r w:rsidR="00ED5946" w:rsidRPr="009F77A7">
        <w:rPr>
          <w:rFonts w:asciiTheme="majorBidi" w:hAnsiTheme="majorBidi" w:cstheme="majorBidi"/>
          <w:sz w:val="24"/>
          <w:szCs w:val="24"/>
        </w:rPr>
        <w:t xml:space="preserve"> Pelibatan akal untuk menentukan jalan yang benar dan salah akan mempengaruhi kesempurnaan jiwa, sebab akal merupakan salah satu fakultas jiwa. </w:t>
      </w:r>
      <w:r w:rsidR="00AE192C" w:rsidRPr="009F77A7">
        <w:rPr>
          <w:rFonts w:asciiTheme="majorBidi" w:hAnsiTheme="majorBidi" w:cstheme="majorBidi"/>
          <w:sz w:val="24"/>
          <w:szCs w:val="24"/>
        </w:rPr>
        <w:t>Urgensi akal dalam kesempurnaan jiwa,</w:t>
      </w:r>
      <w:r w:rsidR="00ED5946" w:rsidRPr="009F77A7">
        <w:rPr>
          <w:rFonts w:asciiTheme="majorBidi" w:hAnsiTheme="majorBidi" w:cstheme="majorBidi"/>
          <w:sz w:val="24"/>
          <w:szCs w:val="24"/>
        </w:rPr>
        <w:t xml:space="preserve"> ialah </w:t>
      </w:r>
      <w:r w:rsidR="00AE192C" w:rsidRPr="009F77A7">
        <w:rPr>
          <w:rFonts w:asciiTheme="majorBidi" w:hAnsiTheme="majorBidi" w:cstheme="majorBidi"/>
          <w:sz w:val="24"/>
          <w:szCs w:val="24"/>
        </w:rPr>
        <w:t xml:space="preserve">mengetahui dan memahami hakikat </w:t>
      </w:r>
      <w:r w:rsidR="00AE192C" w:rsidRPr="009F77A7">
        <w:rPr>
          <w:rFonts w:asciiTheme="majorBidi" w:hAnsiTheme="majorBidi" w:cstheme="majorBidi"/>
          <w:sz w:val="24"/>
          <w:szCs w:val="24"/>
        </w:rPr>
        <w:lastRenderedPageBreak/>
        <w:t>ilmu pengetahuan yang mempengaruhi paradigma dan perilaku manusia di realitas</w:t>
      </w:r>
      <w:r w:rsidR="00ED5946" w:rsidRPr="009F77A7">
        <w:rPr>
          <w:rFonts w:asciiTheme="majorBidi" w:hAnsiTheme="majorBidi" w:cstheme="majorBidi"/>
          <w:sz w:val="24"/>
          <w:szCs w:val="24"/>
        </w:rPr>
        <w:t>.</w:t>
      </w:r>
      <w:r w:rsidR="00603717" w:rsidRPr="009F77A7">
        <w:rPr>
          <w:rStyle w:val="FootnoteReference"/>
          <w:rFonts w:asciiTheme="majorBidi" w:hAnsiTheme="majorBidi" w:cstheme="majorBidi"/>
          <w:sz w:val="24"/>
          <w:szCs w:val="24"/>
        </w:rPr>
        <w:footnoteReference w:id="58"/>
      </w:r>
      <w:r w:rsidR="00ED5946" w:rsidRPr="009F77A7">
        <w:rPr>
          <w:rFonts w:asciiTheme="majorBidi" w:hAnsiTheme="majorBidi" w:cstheme="majorBidi"/>
          <w:sz w:val="24"/>
          <w:szCs w:val="24"/>
        </w:rPr>
        <w:t xml:space="preserve"> Contoh:</w:t>
      </w:r>
      <w:r w:rsidR="003E28D1" w:rsidRPr="009F77A7">
        <w:rPr>
          <w:rFonts w:asciiTheme="majorBidi" w:hAnsiTheme="majorBidi" w:cstheme="majorBidi"/>
          <w:sz w:val="24"/>
          <w:szCs w:val="24"/>
        </w:rPr>
        <w:t xml:space="preserve"> Seseorang</w:t>
      </w:r>
      <w:r w:rsidR="00ED5946" w:rsidRPr="009F77A7">
        <w:rPr>
          <w:rFonts w:asciiTheme="majorBidi" w:hAnsiTheme="majorBidi" w:cstheme="majorBidi"/>
          <w:sz w:val="24"/>
          <w:szCs w:val="24"/>
        </w:rPr>
        <w:t xml:space="preserve"> mengetahui ba</w:t>
      </w:r>
      <w:r w:rsidR="003E28D1" w:rsidRPr="009F77A7">
        <w:rPr>
          <w:rFonts w:asciiTheme="majorBidi" w:hAnsiTheme="majorBidi" w:cstheme="majorBidi"/>
          <w:sz w:val="24"/>
          <w:szCs w:val="24"/>
        </w:rPr>
        <w:t>hwa jujur itu baik. Pengetahuannya mengenai</w:t>
      </w:r>
      <w:r w:rsidR="00ED5946" w:rsidRPr="009F77A7">
        <w:rPr>
          <w:rFonts w:asciiTheme="majorBidi" w:hAnsiTheme="majorBidi" w:cstheme="majorBidi"/>
          <w:sz w:val="24"/>
          <w:szCs w:val="24"/>
        </w:rPr>
        <w:t xml:space="preserve"> jujur itu baik diperoleh dengan membaca buku dan mendengar dari ucapan orang-orang secara objektif dengan melibatkan telinga dan mata sebagai bagian dari pancaindrawi. </w:t>
      </w:r>
    </w:p>
    <w:p w:rsidR="00B74429" w:rsidRDefault="00ED5946" w:rsidP="00B74429">
      <w:pPr>
        <w:autoSpaceDE w:val="0"/>
        <w:autoSpaceDN w:val="0"/>
        <w:adjustRightInd w:val="0"/>
        <w:spacing w:after="120" w:line="360" w:lineRule="auto"/>
        <w:ind w:left="851" w:firstLine="283"/>
        <w:jc w:val="both"/>
        <w:rPr>
          <w:rFonts w:asciiTheme="majorBidi" w:hAnsiTheme="majorBidi" w:cstheme="majorBidi"/>
          <w:sz w:val="24"/>
          <w:szCs w:val="24"/>
          <w:lang w:val="en-US"/>
        </w:rPr>
      </w:pPr>
      <w:r w:rsidRPr="009F77A7">
        <w:rPr>
          <w:rFonts w:asciiTheme="majorBidi" w:hAnsiTheme="majorBidi" w:cstheme="majorBidi"/>
          <w:sz w:val="24"/>
          <w:szCs w:val="24"/>
        </w:rPr>
        <w:t xml:space="preserve">Pengetahuan yang diperoleh secara pancaindrawi akan dianalisis akal untuk menghasilkan </w:t>
      </w:r>
      <w:r w:rsidR="00EB0419" w:rsidRPr="009F77A7">
        <w:rPr>
          <w:rFonts w:asciiTheme="majorBidi" w:hAnsiTheme="majorBidi" w:cstheme="majorBidi"/>
          <w:sz w:val="24"/>
          <w:szCs w:val="24"/>
        </w:rPr>
        <w:t>pemahaman konsept</w:t>
      </w:r>
      <w:r w:rsidR="00AE192C" w:rsidRPr="009F77A7">
        <w:rPr>
          <w:rFonts w:asciiTheme="majorBidi" w:hAnsiTheme="majorBidi" w:cstheme="majorBidi"/>
          <w:sz w:val="24"/>
          <w:szCs w:val="24"/>
        </w:rPr>
        <w:t>u</w:t>
      </w:r>
      <w:r w:rsidR="00EB0419" w:rsidRPr="009F77A7">
        <w:rPr>
          <w:rFonts w:asciiTheme="majorBidi" w:hAnsiTheme="majorBidi" w:cstheme="majorBidi"/>
          <w:sz w:val="24"/>
          <w:szCs w:val="24"/>
        </w:rPr>
        <w:t>al bahwa</w:t>
      </w:r>
      <w:r w:rsidRPr="009F77A7">
        <w:rPr>
          <w:rFonts w:asciiTheme="majorBidi" w:hAnsiTheme="majorBidi" w:cstheme="majorBidi"/>
          <w:sz w:val="24"/>
          <w:szCs w:val="24"/>
        </w:rPr>
        <w:t xml:space="preserve"> jujur itu baik. Pe</w:t>
      </w:r>
      <w:r w:rsidR="00EB0419" w:rsidRPr="009F77A7">
        <w:rPr>
          <w:rFonts w:asciiTheme="majorBidi" w:hAnsiTheme="majorBidi" w:cstheme="majorBidi"/>
          <w:sz w:val="24"/>
          <w:szCs w:val="24"/>
        </w:rPr>
        <w:t>mahaman konseptual</w:t>
      </w:r>
      <w:r w:rsidRPr="009F77A7">
        <w:rPr>
          <w:rFonts w:asciiTheme="majorBidi" w:hAnsiTheme="majorBidi" w:cstheme="majorBidi"/>
          <w:sz w:val="24"/>
          <w:szCs w:val="24"/>
        </w:rPr>
        <w:t xml:space="preserve"> jujur itu baik harus dipraktikan sebagai bentuk kesempurnaan analisis akal dalam lingkup praktis.</w:t>
      </w:r>
      <w:r w:rsidRPr="009F77A7">
        <w:rPr>
          <w:rStyle w:val="FootnoteReference"/>
          <w:rFonts w:asciiTheme="majorBidi" w:hAnsiTheme="majorBidi" w:cstheme="majorBidi"/>
          <w:sz w:val="24"/>
          <w:szCs w:val="24"/>
        </w:rPr>
        <w:footnoteReference w:id="59"/>
      </w:r>
      <w:r w:rsidR="00C07C0D" w:rsidRPr="009F77A7">
        <w:rPr>
          <w:rFonts w:asciiTheme="majorBidi" w:hAnsiTheme="majorBidi" w:cstheme="majorBidi"/>
          <w:sz w:val="24"/>
          <w:szCs w:val="24"/>
        </w:rPr>
        <w:t xml:space="preserve"> </w:t>
      </w:r>
      <w:r w:rsidRPr="009F77A7">
        <w:rPr>
          <w:rFonts w:asciiTheme="majorBidi" w:hAnsiTheme="majorBidi" w:cstheme="majorBidi"/>
          <w:sz w:val="24"/>
          <w:szCs w:val="24"/>
        </w:rPr>
        <w:t>Korespondensi pengetahuan teoritis dan praktis akan mempengaruhi aktualitas jiwa untuk mencapai kesempurnaan</w:t>
      </w:r>
      <w:r w:rsidR="00640D0F" w:rsidRPr="009F77A7">
        <w:rPr>
          <w:rFonts w:asciiTheme="majorBidi" w:hAnsiTheme="majorBidi" w:cstheme="majorBidi"/>
          <w:sz w:val="24"/>
          <w:szCs w:val="24"/>
        </w:rPr>
        <w:t xml:space="preserve"> dan kebahagiaan (</w:t>
      </w:r>
      <w:r w:rsidR="00640D0F" w:rsidRPr="009F77A7">
        <w:rPr>
          <w:rFonts w:asciiTheme="majorBidi" w:hAnsiTheme="majorBidi" w:cstheme="majorBidi"/>
          <w:i/>
          <w:iCs/>
          <w:sz w:val="24"/>
          <w:szCs w:val="24"/>
        </w:rPr>
        <w:t>sa’ādah)</w:t>
      </w:r>
      <w:r w:rsidRPr="009F77A7">
        <w:rPr>
          <w:rFonts w:asciiTheme="majorBidi" w:hAnsiTheme="majorBidi" w:cstheme="majorBidi"/>
          <w:sz w:val="24"/>
          <w:szCs w:val="24"/>
        </w:rPr>
        <w:t xml:space="preserve"> dalam eksistensi</w:t>
      </w:r>
      <w:r w:rsidR="00640D0F" w:rsidRPr="009F77A7">
        <w:rPr>
          <w:rFonts w:asciiTheme="majorBidi" w:hAnsiTheme="majorBidi" w:cstheme="majorBidi"/>
          <w:sz w:val="24"/>
          <w:szCs w:val="24"/>
        </w:rPr>
        <w:t xml:space="preserve"> manusia</w:t>
      </w:r>
      <w:r w:rsidRPr="009F77A7">
        <w:rPr>
          <w:rFonts w:asciiTheme="majorBidi" w:hAnsiTheme="majorBidi" w:cstheme="majorBidi"/>
          <w:sz w:val="24"/>
          <w:szCs w:val="24"/>
        </w:rPr>
        <w:t xml:space="preserve"> menurut Mulla Sadra.</w:t>
      </w:r>
      <w:r w:rsidR="00640D0F" w:rsidRPr="009F77A7">
        <w:rPr>
          <w:rStyle w:val="FootnoteReference"/>
          <w:rFonts w:asciiTheme="majorBidi" w:hAnsiTheme="majorBidi" w:cstheme="majorBidi"/>
          <w:sz w:val="24"/>
          <w:szCs w:val="24"/>
        </w:rPr>
        <w:footnoteReference w:id="60"/>
      </w:r>
      <w:r w:rsidR="005544BC" w:rsidRPr="009F77A7">
        <w:rPr>
          <w:rFonts w:asciiTheme="majorBidi" w:hAnsiTheme="majorBidi" w:cstheme="majorBidi"/>
          <w:sz w:val="24"/>
          <w:szCs w:val="24"/>
        </w:rPr>
        <w:t xml:space="preserve"> Kesempurnaan dan kebahagiaan akan mengangkat derajat eksistensi manusia untuk mendekatkan diri kepada Allah swt melalui aktualitas akal di realitas.</w:t>
      </w:r>
      <w:r w:rsidR="00640D0F" w:rsidRPr="009F77A7">
        <w:rPr>
          <w:rFonts w:asciiTheme="majorBidi" w:hAnsiTheme="majorBidi" w:cstheme="majorBidi"/>
          <w:sz w:val="24"/>
          <w:szCs w:val="24"/>
        </w:rPr>
        <w:t xml:space="preserve"> Sebaliknya, individu yang menitikberatkan pengetahuannya pada </w:t>
      </w:r>
      <w:r w:rsidR="00640D0F" w:rsidRPr="009F77A7">
        <w:rPr>
          <w:rFonts w:asciiTheme="majorBidi" w:hAnsiTheme="majorBidi" w:cstheme="majorBidi"/>
          <w:i/>
          <w:iCs/>
          <w:sz w:val="24"/>
          <w:szCs w:val="24"/>
        </w:rPr>
        <w:t xml:space="preserve">wahm </w:t>
      </w:r>
      <w:r w:rsidR="00640D0F" w:rsidRPr="009F77A7">
        <w:rPr>
          <w:rFonts w:asciiTheme="majorBidi" w:hAnsiTheme="majorBidi" w:cstheme="majorBidi"/>
          <w:sz w:val="24"/>
          <w:szCs w:val="24"/>
        </w:rPr>
        <w:t>atau estimasi</w:t>
      </w:r>
      <w:r w:rsidR="00640D0F" w:rsidRPr="009F77A7">
        <w:rPr>
          <w:rFonts w:asciiTheme="majorBidi" w:hAnsiTheme="majorBidi" w:cstheme="majorBidi"/>
          <w:i/>
          <w:iCs/>
          <w:sz w:val="24"/>
          <w:szCs w:val="24"/>
        </w:rPr>
        <w:t xml:space="preserve">, </w:t>
      </w:r>
      <w:r w:rsidR="00640D0F" w:rsidRPr="009F77A7">
        <w:rPr>
          <w:rFonts w:asciiTheme="majorBidi" w:hAnsiTheme="majorBidi" w:cstheme="majorBidi"/>
          <w:sz w:val="24"/>
          <w:szCs w:val="24"/>
        </w:rPr>
        <w:t>sebagai indra batin dalam fakultas pengetahuan dan perbuatan jiwa (</w:t>
      </w:r>
      <w:r w:rsidR="00640D0F" w:rsidRPr="009F77A7">
        <w:rPr>
          <w:rFonts w:asciiTheme="majorBidi" w:hAnsiTheme="majorBidi" w:cstheme="majorBidi"/>
          <w:i/>
          <w:iCs/>
          <w:sz w:val="24"/>
          <w:szCs w:val="24"/>
        </w:rPr>
        <w:t>al-qiwā al-‘allāmah</w:t>
      </w:r>
      <w:r w:rsidR="00640D0F" w:rsidRPr="009F77A7">
        <w:rPr>
          <w:rFonts w:asciiTheme="majorBidi" w:hAnsiTheme="majorBidi" w:cstheme="majorBidi"/>
          <w:sz w:val="24"/>
          <w:szCs w:val="24"/>
        </w:rPr>
        <w:t>), akan</w:t>
      </w:r>
      <w:r w:rsidR="00C07C0D" w:rsidRPr="009F77A7">
        <w:rPr>
          <w:rFonts w:asciiTheme="majorBidi" w:hAnsiTheme="majorBidi" w:cstheme="majorBidi"/>
          <w:sz w:val="24"/>
          <w:szCs w:val="24"/>
        </w:rPr>
        <w:t xml:space="preserve"> membimbingnya pada pengetahuan partikular</w:t>
      </w:r>
      <w:r w:rsidR="00603717" w:rsidRPr="009F77A7">
        <w:rPr>
          <w:rFonts w:asciiTheme="majorBidi" w:hAnsiTheme="majorBidi" w:cstheme="majorBidi"/>
          <w:sz w:val="24"/>
          <w:szCs w:val="24"/>
        </w:rPr>
        <w:t>. Akibatnya,</w:t>
      </w:r>
      <w:r w:rsidR="00C07C0D" w:rsidRPr="009F77A7">
        <w:rPr>
          <w:rFonts w:asciiTheme="majorBidi" w:hAnsiTheme="majorBidi" w:cstheme="majorBidi"/>
          <w:sz w:val="24"/>
          <w:szCs w:val="24"/>
        </w:rPr>
        <w:t xml:space="preserve"> individu tidak dapat memahami hakikat dan makna segala sesuatu di luar dirinya, khususnya penafsiran ayat-ayat</w:t>
      </w:r>
      <w:r w:rsidR="009E38F2" w:rsidRPr="009F77A7">
        <w:rPr>
          <w:rFonts w:asciiTheme="majorBidi" w:hAnsiTheme="majorBidi" w:cstheme="majorBidi"/>
          <w:sz w:val="24"/>
          <w:szCs w:val="24"/>
        </w:rPr>
        <w:t xml:space="preserve"> Alquran sebagai hidayah dalam hidupnya</w:t>
      </w:r>
      <w:r w:rsidR="00C07C0D" w:rsidRPr="009F77A7">
        <w:rPr>
          <w:rFonts w:asciiTheme="majorBidi" w:hAnsiTheme="majorBidi" w:cstheme="majorBidi"/>
          <w:sz w:val="24"/>
          <w:szCs w:val="24"/>
        </w:rPr>
        <w:t xml:space="preserve">. </w:t>
      </w:r>
      <w:r w:rsidR="009E38F2" w:rsidRPr="009F77A7">
        <w:rPr>
          <w:rFonts w:asciiTheme="majorBidi" w:hAnsiTheme="majorBidi" w:cstheme="majorBidi"/>
          <w:sz w:val="24"/>
          <w:szCs w:val="24"/>
        </w:rPr>
        <w:t>Implikasinya</w:t>
      </w:r>
      <w:r w:rsidR="00C07C0D" w:rsidRPr="009F77A7">
        <w:rPr>
          <w:rFonts w:asciiTheme="majorBidi" w:hAnsiTheme="majorBidi" w:cstheme="majorBidi"/>
          <w:sz w:val="24"/>
          <w:szCs w:val="24"/>
        </w:rPr>
        <w:t>, manusia tidak dapat mengaktualkan kesempurnaan jiwa yang mengarahkannya menuju kesengsaraan (</w:t>
      </w:r>
      <w:r w:rsidR="00C07C0D" w:rsidRPr="009F77A7">
        <w:rPr>
          <w:rFonts w:asciiTheme="majorBidi" w:hAnsiTheme="majorBidi" w:cstheme="majorBidi"/>
          <w:i/>
          <w:iCs/>
          <w:sz w:val="24"/>
          <w:szCs w:val="24"/>
        </w:rPr>
        <w:t>shaqāwah)</w:t>
      </w:r>
      <w:r w:rsidR="00C07C0D" w:rsidRPr="009F77A7">
        <w:rPr>
          <w:rFonts w:asciiTheme="majorBidi" w:hAnsiTheme="majorBidi" w:cstheme="majorBidi"/>
          <w:sz w:val="24"/>
          <w:szCs w:val="24"/>
        </w:rPr>
        <w:t xml:space="preserve"> di akhirat.</w:t>
      </w:r>
      <w:r w:rsidR="00C07C0D" w:rsidRPr="009F77A7">
        <w:rPr>
          <w:rStyle w:val="FootnoteReference"/>
          <w:rFonts w:asciiTheme="majorBidi" w:hAnsiTheme="majorBidi" w:cstheme="majorBidi"/>
          <w:sz w:val="24"/>
          <w:szCs w:val="24"/>
        </w:rPr>
        <w:footnoteReference w:id="61"/>
      </w:r>
      <w:r w:rsidR="00C07C0D" w:rsidRPr="009F77A7">
        <w:rPr>
          <w:rFonts w:asciiTheme="majorBidi" w:hAnsiTheme="majorBidi" w:cstheme="majorBidi"/>
          <w:sz w:val="24"/>
          <w:szCs w:val="24"/>
        </w:rPr>
        <w:t xml:space="preserve"> Dengan demikian, dapat diketahui bahwa manusia memiliki kemampuan menentukan jalannya sendiri </w:t>
      </w:r>
      <w:r w:rsidR="009E38F2" w:rsidRPr="009F77A7">
        <w:rPr>
          <w:rFonts w:asciiTheme="majorBidi" w:hAnsiTheme="majorBidi" w:cstheme="majorBidi"/>
          <w:sz w:val="24"/>
          <w:szCs w:val="24"/>
        </w:rPr>
        <w:t xml:space="preserve"> (</w:t>
      </w:r>
      <w:r w:rsidR="009E38F2" w:rsidRPr="009F77A7">
        <w:rPr>
          <w:rFonts w:asciiTheme="majorBidi" w:hAnsiTheme="majorBidi" w:cstheme="majorBidi"/>
          <w:i/>
          <w:iCs/>
          <w:sz w:val="24"/>
          <w:szCs w:val="24"/>
        </w:rPr>
        <w:t>as-ṣirāṭ al-irādī )</w:t>
      </w:r>
      <w:r w:rsidR="00664A17" w:rsidRPr="009F77A7">
        <w:rPr>
          <w:rFonts w:asciiTheme="majorBidi" w:hAnsiTheme="majorBidi" w:cstheme="majorBidi"/>
          <w:i/>
          <w:iCs/>
          <w:sz w:val="24"/>
          <w:szCs w:val="24"/>
        </w:rPr>
        <w:t xml:space="preserve"> </w:t>
      </w:r>
      <w:r w:rsidR="00C07C0D" w:rsidRPr="009F77A7">
        <w:rPr>
          <w:rFonts w:asciiTheme="majorBidi" w:hAnsiTheme="majorBidi" w:cstheme="majorBidi"/>
          <w:sz w:val="24"/>
          <w:szCs w:val="24"/>
        </w:rPr>
        <w:t>untuk mendekat atau menjauh dari Allah swt sebagai proses kesempu</w:t>
      </w:r>
      <w:r w:rsidR="00062CDB">
        <w:rPr>
          <w:rFonts w:asciiTheme="majorBidi" w:hAnsiTheme="majorBidi" w:cstheme="majorBidi"/>
          <w:sz w:val="24"/>
          <w:szCs w:val="24"/>
        </w:rPr>
        <w:t>rnaan eksistensinya di realitas.</w:t>
      </w:r>
    </w:p>
    <w:p w:rsidR="00073463" w:rsidRDefault="00073463" w:rsidP="00B74429">
      <w:pPr>
        <w:autoSpaceDE w:val="0"/>
        <w:autoSpaceDN w:val="0"/>
        <w:adjustRightInd w:val="0"/>
        <w:spacing w:after="120" w:line="360" w:lineRule="auto"/>
        <w:ind w:left="851" w:firstLine="283"/>
        <w:jc w:val="both"/>
        <w:rPr>
          <w:rFonts w:asciiTheme="majorBidi" w:hAnsiTheme="majorBidi" w:cstheme="majorBidi"/>
          <w:sz w:val="24"/>
          <w:szCs w:val="24"/>
          <w:lang w:val="en-US"/>
        </w:rPr>
      </w:pPr>
    </w:p>
    <w:p w:rsidR="00073463" w:rsidRDefault="00073463" w:rsidP="00B74429">
      <w:pPr>
        <w:autoSpaceDE w:val="0"/>
        <w:autoSpaceDN w:val="0"/>
        <w:adjustRightInd w:val="0"/>
        <w:spacing w:after="120" w:line="360" w:lineRule="auto"/>
        <w:ind w:left="851" w:firstLine="283"/>
        <w:jc w:val="both"/>
        <w:rPr>
          <w:rFonts w:asciiTheme="majorBidi" w:hAnsiTheme="majorBidi" w:cstheme="majorBidi"/>
          <w:sz w:val="24"/>
          <w:szCs w:val="24"/>
          <w:lang w:val="en-US"/>
        </w:rPr>
      </w:pPr>
    </w:p>
    <w:p w:rsidR="00073463" w:rsidRDefault="00073463" w:rsidP="00B74429">
      <w:pPr>
        <w:autoSpaceDE w:val="0"/>
        <w:autoSpaceDN w:val="0"/>
        <w:adjustRightInd w:val="0"/>
        <w:spacing w:after="120" w:line="360" w:lineRule="auto"/>
        <w:ind w:left="851" w:firstLine="283"/>
        <w:jc w:val="both"/>
        <w:rPr>
          <w:rFonts w:asciiTheme="majorBidi" w:hAnsiTheme="majorBidi" w:cstheme="majorBidi"/>
          <w:sz w:val="24"/>
          <w:szCs w:val="24"/>
          <w:lang w:val="en-US"/>
        </w:rPr>
      </w:pPr>
    </w:p>
    <w:p w:rsidR="00073463" w:rsidRPr="00073463" w:rsidRDefault="00073463" w:rsidP="00B74429">
      <w:pPr>
        <w:autoSpaceDE w:val="0"/>
        <w:autoSpaceDN w:val="0"/>
        <w:adjustRightInd w:val="0"/>
        <w:spacing w:after="120" w:line="360" w:lineRule="auto"/>
        <w:ind w:left="851" w:firstLine="283"/>
        <w:jc w:val="both"/>
        <w:rPr>
          <w:rFonts w:asciiTheme="majorBidi" w:hAnsiTheme="majorBidi" w:cstheme="majorBidi"/>
          <w:sz w:val="24"/>
          <w:szCs w:val="24"/>
          <w:lang w:val="en-US"/>
        </w:rPr>
      </w:pPr>
    </w:p>
    <w:p w:rsidR="005544BC" w:rsidRPr="00B74429" w:rsidRDefault="005544BC" w:rsidP="00B74429">
      <w:pPr>
        <w:autoSpaceDE w:val="0"/>
        <w:autoSpaceDN w:val="0"/>
        <w:adjustRightInd w:val="0"/>
        <w:spacing w:after="0" w:line="240" w:lineRule="auto"/>
        <w:ind w:left="720" w:firstLine="414"/>
        <w:jc w:val="center"/>
        <w:rPr>
          <w:rFonts w:asciiTheme="majorBidi" w:hAnsiTheme="majorBidi" w:cstheme="majorBidi"/>
          <w:b/>
          <w:bCs/>
          <w:i/>
          <w:iCs/>
        </w:rPr>
      </w:pPr>
      <w:r w:rsidRPr="00B74429">
        <w:rPr>
          <w:rFonts w:asciiTheme="majorBidi" w:hAnsiTheme="majorBidi" w:cstheme="majorBidi"/>
          <w:b/>
          <w:bCs/>
        </w:rPr>
        <w:lastRenderedPageBreak/>
        <w:t>Skema Daya Estimasi (</w:t>
      </w:r>
      <w:r w:rsidRPr="00B74429">
        <w:rPr>
          <w:rFonts w:asciiTheme="majorBidi" w:hAnsiTheme="majorBidi" w:cstheme="majorBidi"/>
          <w:b/>
          <w:bCs/>
          <w:i/>
          <w:iCs/>
        </w:rPr>
        <w:t xml:space="preserve">Wahm) dalam </w:t>
      </w:r>
      <w:r w:rsidR="00603717" w:rsidRPr="00B74429">
        <w:rPr>
          <w:rFonts w:asciiTheme="majorBidi" w:hAnsiTheme="majorBidi" w:cstheme="majorBidi"/>
          <w:b/>
          <w:bCs/>
          <w:i/>
          <w:iCs/>
        </w:rPr>
        <w:t>F</w:t>
      </w:r>
      <w:r w:rsidRPr="00B74429">
        <w:rPr>
          <w:rFonts w:asciiTheme="majorBidi" w:hAnsiTheme="majorBidi" w:cstheme="majorBidi"/>
          <w:b/>
          <w:bCs/>
          <w:i/>
          <w:iCs/>
        </w:rPr>
        <w:t xml:space="preserve">akultas </w:t>
      </w:r>
      <w:r w:rsidR="00603717" w:rsidRPr="00B74429">
        <w:rPr>
          <w:rFonts w:asciiTheme="majorBidi" w:hAnsiTheme="majorBidi" w:cstheme="majorBidi"/>
          <w:b/>
          <w:bCs/>
          <w:i/>
          <w:iCs/>
        </w:rPr>
        <w:t>P</w:t>
      </w:r>
      <w:r w:rsidRPr="00B74429">
        <w:rPr>
          <w:rFonts w:asciiTheme="majorBidi" w:hAnsiTheme="majorBidi" w:cstheme="majorBidi"/>
          <w:b/>
          <w:bCs/>
          <w:i/>
          <w:iCs/>
        </w:rPr>
        <w:t xml:space="preserve">engetahuan </w:t>
      </w:r>
      <w:r w:rsidR="00603717" w:rsidRPr="00B74429">
        <w:rPr>
          <w:rFonts w:asciiTheme="majorBidi" w:hAnsiTheme="majorBidi" w:cstheme="majorBidi"/>
          <w:b/>
          <w:bCs/>
          <w:i/>
          <w:iCs/>
        </w:rPr>
        <w:t>J</w:t>
      </w:r>
      <w:r w:rsidR="00062CDB" w:rsidRPr="00B74429">
        <w:rPr>
          <w:rFonts w:asciiTheme="majorBidi" w:hAnsiTheme="majorBidi" w:cstheme="majorBidi"/>
          <w:b/>
          <w:bCs/>
          <w:i/>
          <w:iCs/>
        </w:rPr>
        <w:t>iwa</w:t>
      </w:r>
    </w:p>
    <w:p w:rsidR="005544BC" w:rsidRPr="009F77A7" w:rsidRDefault="00062CDB" w:rsidP="005544BC">
      <w:pPr>
        <w:autoSpaceDE w:val="0"/>
        <w:autoSpaceDN w:val="0"/>
        <w:adjustRightInd w:val="0"/>
        <w:spacing w:after="0" w:line="240" w:lineRule="auto"/>
        <w:ind w:left="720" w:firstLine="414"/>
        <w:jc w:val="both"/>
        <w:rPr>
          <w:rFonts w:asciiTheme="majorBidi" w:hAnsiTheme="majorBidi" w:cstheme="majorBidi"/>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51871E2E" wp14:editId="479DA992">
                <wp:simplePos x="0" y="0"/>
                <wp:positionH relativeFrom="column">
                  <wp:posOffset>4480658</wp:posOffset>
                </wp:positionH>
                <wp:positionV relativeFrom="paragraph">
                  <wp:posOffset>34290</wp:posOffset>
                </wp:positionV>
                <wp:extent cx="1106805" cy="572135"/>
                <wp:effectExtent l="0" t="0" r="17145" b="18415"/>
                <wp:wrapNone/>
                <wp:docPr id="20" name="Rounded Rectangle 20"/>
                <wp:cNvGraphicFramePr/>
                <a:graphic xmlns:a="http://schemas.openxmlformats.org/drawingml/2006/main">
                  <a:graphicData uri="http://schemas.microsoft.com/office/word/2010/wordprocessingShape">
                    <wps:wsp>
                      <wps:cNvSpPr/>
                      <wps:spPr>
                        <a:xfrm>
                          <a:off x="0" y="0"/>
                          <a:ext cx="1106805" cy="57213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i/>
                                <w:iCs/>
                              </w:rPr>
                            </w:pPr>
                            <w:r w:rsidRPr="004A5CEF">
                              <w:rPr>
                                <w:rFonts w:ascii="Garamond" w:hAnsi="Garamond"/>
                                <w:b/>
                                <w:bCs/>
                                <w:i/>
                                <w:iCs/>
                              </w:rPr>
                              <w:t>Hiss al-Mushtarak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1871E2E" id="Rounded Rectangle 20" o:spid="_x0000_s1026" style="position:absolute;left:0;text-align:left;margin-left:352.8pt;margin-top:2.7pt;width:87.1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" fillcolor="white [3201]" strokecolor="#70ad47 [3209]" strokeweight="1pt">
                <v:stroke joinstyle="miter"/>
                <v:textbox>
                  <w:txbxContent>
                    <w:p w:rsidR="003127C4" w:rsidRPr="004A5CEF" w:rsidRDefault="003127C4" w:rsidP="005544BC">
                      <w:pPr>
                        <w:jc w:val="center"/>
                        <w:rPr>
                          <w:rFonts w:ascii="Garamond" w:hAnsi="Garamond"/>
                          <w:b/>
                          <w:bCs/>
                          <w:i/>
                          <w:iCs/>
                        </w:rPr>
                      </w:pPr>
                      <w:r w:rsidRPr="004A5CEF">
                        <w:rPr>
                          <w:rFonts w:ascii="Garamond" w:hAnsi="Garamond"/>
                          <w:b/>
                          <w:bCs/>
                          <w:i/>
                          <w:iCs/>
                        </w:rPr>
                        <w:t>Hiss al-Mushtarak</w:t>
                      </w:r>
                    </w:p>
                  </w:txbxContent>
                </v:textbox>
              </v:roundrec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62336" behindDoc="0" locked="0" layoutInCell="1" allowOverlap="1" wp14:anchorId="75BDBE46" wp14:editId="0B3970E7">
                <wp:simplePos x="0" y="0"/>
                <wp:positionH relativeFrom="column">
                  <wp:posOffset>2720975</wp:posOffset>
                </wp:positionH>
                <wp:positionV relativeFrom="paragraph">
                  <wp:posOffset>90805</wp:posOffset>
                </wp:positionV>
                <wp:extent cx="1095375" cy="586105"/>
                <wp:effectExtent l="0" t="0" r="28575" b="23495"/>
                <wp:wrapNone/>
                <wp:docPr id="16" name="Rounded Rectangle 16"/>
                <wp:cNvGraphicFramePr/>
                <a:graphic xmlns:a="http://schemas.openxmlformats.org/drawingml/2006/main">
                  <a:graphicData uri="http://schemas.microsoft.com/office/word/2010/wordprocessingShape">
                    <wps:wsp>
                      <wps:cNvSpPr/>
                      <wps:spPr>
                        <a:xfrm>
                          <a:off x="0" y="0"/>
                          <a:ext cx="1095375" cy="58610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8B2B67">
                            <w:pPr>
                              <w:jc w:val="center"/>
                              <w:rPr>
                                <w:rFonts w:ascii="Garamond" w:hAnsi="Garamond"/>
                                <w:b/>
                                <w:bCs/>
                                <w:sz w:val="24"/>
                                <w:szCs w:val="24"/>
                              </w:rPr>
                            </w:pPr>
                            <w:r w:rsidRPr="004A5CEF">
                              <w:rPr>
                                <w:rFonts w:ascii="Garamond" w:hAnsi="Garamond"/>
                                <w:b/>
                                <w:bCs/>
                                <w:i/>
                                <w:iCs/>
                                <w:sz w:val="24"/>
                                <w:szCs w:val="24"/>
                              </w:rPr>
                              <w:t>Idrāk</w:t>
                            </w:r>
                            <w:r w:rsidRPr="004A5CEF">
                              <w:rPr>
                                <w:rFonts w:ascii="Garamond" w:hAnsi="Garamond"/>
                                <w:b/>
                                <w:bCs/>
                                <w:sz w:val="24"/>
                                <w:szCs w:val="24"/>
                              </w:rPr>
                              <w:t>/ Persepsi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5BDBE46" id="Rounded Rectangle 16" o:spid="_x0000_s1027" style="position:absolute;left:0;text-align:left;margin-left:214.25pt;margin-top:7.15pt;width:86.25pt;height: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" fillcolor="white [3201]" strokecolor="#70ad47 [3209]" strokeweight="1pt">
                <v:stroke joinstyle="miter"/>
                <v:textbox>
                  <w:txbxContent>
                    <w:p w:rsidR="003127C4" w:rsidRPr="004A5CEF" w:rsidRDefault="003127C4" w:rsidP="008B2B67">
                      <w:pPr>
                        <w:jc w:val="center"/>
                        <w:rPr>
                          <w:rFonts w:ascii="Garamond" w:hAnsi="Garamond"/>
                          <w:b/>
                          <w:bCs/>
                          <w:sz w:val="24"/>
                          <w:szCs w:val="24"/>
                        </w:rPr>
                      </w:pPr>
                      <w:r w:rsidRPr="004A5CEF">
                        <w:rPr>
                          <w:rFonts w:ascii="Garamond" w:hAnsi="Garamond"/>
                          <w:b/>
                          <w:bCs/>
                          <w:i/>
                          <w:iCs/>
                          <w:sz w:val="24"/>
                          <w:szCs w:val="24"/>
                        </w:rPr>
                        <w:t>Idrāk</w:t>
                      </w:r>
                      <w:r w:rsidRPr="004A5CEF">
                        <w:rPr>
                          <w:rFonts w:ascii="Garamond" w:hAnsi="Garamond"/>
                          <w:b/>
                          <w:bCs/>
                          <w:sz w:val="24"/>
                          <w:szCs w:val="24"/>
                        </w:rPr>
                        <w:t>/ Persepsi</w:t>
                      </w:r>
                    </w:p>
                  </w:txbxContent>
                </v:textbox>
              </v:roundrect>
            </w:pict>
          </mc:Fallback>
        </mc:AlternateContent>
      </w:r>
      <w:r w:rsidR="005544BC" w:rsidRPr="009F77A7">
        <w:rPr>
          <w:rFonts w:asciiTheme="majorBidi" w:hAnsiTheme="majorBidi" w:cstheme="majorBidi"/>
          <w:sz w:val="24"/>
          <w:szCs w:val="24"/>
        </w:rPr>
        <w:t xml:space="preserve"> </w:t>
      </w:r>
    </w:p>
    <w:p w:rsidR="005544BC" w:rsidRPr="009F77A7" w:rsidRDefault="00062CDB" w:rsidP="005544BC">
      <w:pPr>
        <w:autoSpaceDE w:val="0"/>
        <w:autoSpaceDN w:val="0"/>
        <w:adjustRightInd w:val="0"/>
        <w:spacing w:after="0" w:line="240" w:lineRule="auto"/>
        <w:ind w:left="720" w:firstLine="414"/>
        <w:jc w:val="both"/>
        <w:rPr>
          <w:rFonts w:asciiTheme="majorBidi" w:hAnsiTheme="majorBidi" w:cstheme="majorBidi"/>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64384" behindDoc="0" locked="0" layoutInCell="1" allowOverlap="1" wp14:anchorId="496974F7" wp14:editId="6DB8F1E8">
                <wp:simplePos x="0" y="0"/>
                <wp:positionH relativeFrom="column">
                  <wp:posOffset>3804285</wp:posOffset>
                </wp:positionH>
                <wp:positionV relativeFrom="paragraph">
                  <wp:posOffset>34192</wp:posOffset>
                </wp:positionV>
                <wp:extent cx="494030" cy="180975"/>
                <wp:effectExtent l="0" t="19050" r="39370" b="47625"/>
                <wp:wrapNone/>
                <wp:docPr id="18" name="Right Arrow 18"/>
                <wp:cNvGraphicFramePr/>
                <a:graphic xmlns:a="http://schemas.openxmlformats.org/drawingml/2006/main">
                  <a:graphicData uri="http://schemas.microsoft.com/office/word/2010/wordprocessingShape">
                    <wps:wsp>
                      <wps:cNvSpPr/>
                      <wps:spPr>
                        <a:xfrm>
                          <a:off x="0" y="0"/>
                          <a:ext cx="494030"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9B00F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99.55pt;margin-top:2.7pt;width:38.9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" adj="17644" fillcolor="white [3201]" strokecolor="#70ad47 [3209]" strokeweight="1p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4BDF662C" wp14:editId="545F8CB6">
                <wp:simplePos x="0" y="0"/>
                <wp:positionH relativeFrom="column">
                  <wp:posOffset>1213338</wp:posOffset>
                </wp:positionH>
                <wp:positionV relativeFrom="paragraph">
                  <wp:posOffset>97204</wp:posOffset>
                </wp:positionV>
                <wp:extent cx="1482090" cy="444500"/>
                <wp:effectExtent l="0" t="19050" r="41910" b="12700"/>
                <wp:wrapNone/>
                <wp:docPr id="15" name="Bent Arrow 15"/>
                <wp:cNvGraphicFramePr/>
                <a:graphic xmlns:a="http://schemas.openxmlformats.org/drawingml/2006/main">
                  <a:graphicData uri="http://schemas.microsoft.com/office/word/2010/wordprocessingShape">
                    <wps:wsp>
                      <wps:cNvSpPr/>
                      <wps:spPr>
                        <a:xfrm>
                          <a:off x="0" y="0"/>
                          <a:ext cx="1482090" cy="444500"/>
                        </a:xfrm>
                        <a:prstGeom prst="ben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E2F6E3" id="Bent Arrow 15" o:spid="_x0000_s1026" style="position:absolute;margin-left:95.55pt;margin-top:7.65pt;width:116.7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209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" path="m,444500l,250031c,142629,87067,55562,194469,55562r1176496,1l1370965,r111125,111125l1370965,222250r,-55562l194469,166688v-46030,,-83344,37314,-83344,83344l111125,444500,,444500xe" fillcolor="white [3201]" strokecolor="#70ad47 [3209]" strokeweight="1pt">
                <v:stroke joinstyle="miter"/>
                <v:path arrowok="t" o:connecttype="custom" o:connectlocs="0,444500;0,250031;194469,55562;1370965,55563;1370965,0;1482090,111125;1370965,222250;1370965,166688;194469,166688;111125,250032;111125,444500;0,444500" o:connectangles="0,0,0,0,0,0,0,0,0,0,0,0"/>
              </v:shape>
            </w:pict>
          </mc:Fallback>
        </mc:AlternateContent>
      </w: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4A5CEF" w:rsidP="005544BC">
      <w:pPr>
        <w:autoSpaceDE w:val="0"/>
        <w:autoSpaceDN w:val="0"/>
        <w:adjustRightInd w:val="0"/>
        <w:spacing w:after="0" w:line="240" w:lineRule="auto"/>
        <w:ind w:left="720" w:firstLine="414"/>
        <w:jc w:val="both"/>
        <w:rPr>
          <w:rFonts w:asciiTheme="majorBidi" w:hAnsiTheme="majorBidi" w:cstheme="majorBidi"/>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112A2C90" wp14:editId="19FC54BA">
                <wp:simplePos x="0" y="0"/>
                <wp:positionH relativeFrom="column">
                  <wp:posOffset>4473730</wp:posOffset>
                </wp:positionH>
                <wp:positionV relativeFrom="paragraph">
                  <wp:posOffset>122521</wp:posOffset>
                </wp:positionV>
                <wp:extent cx="1109844" cy="523512"/>
                <wp:effectExtent l="0" t="0" r="14605" b="10160"/>
                <wp:wrapNone/>
                <wp:docPr id="22" name="Rounded Rectangle 22"/>
                <wp:cNvGraphicFramePr/>
                <a:graphic xmlns:a="http://schemas.openxmlformats.org/drawingml/2006/main">
                  <a:graphicData uri="http://schemas.microsoft.com/office/word/2010/wordprocessingShape">
                    <wps:wsp>
                      <wps:cNvSpPr/>
                      <wps:spPr>
                        <a:xfrm>
                          <a:off x="0" y="0"/>
                          <a:ext cx="1109844" cy="52351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i/>
                                <w:iCs/>
                              </w:rPr>
                            </w:pPr>
                            <w:r w:rsidRPr="004A5CEF">
                              <w:rPr>
                                <w:rFonts w:ascii="Garamond" w:hAnsi="Garamond"/>
                                <w:b/>
                                <w:bCs/>
                                <w:i/>
                                <w:iCs/>
                              </w:rPr>
                              <w:t>Wahm/ daya estimasi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12A2C90" id="Rounded Rectangle 22" o:spid="_x0000_s1028" style="position:absolute;left:0;text-align:left;margin-left:352.25pt;margin-top:9.65pt;width:87.4pt;height:4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" fillcolor="white [3201]" strokecolor="#70ad47 [3209]" strokeweight="1pt">
                <v:stroke joinstyle="miter"/>
                <v:textbox>
                  <w:txbxContent>
                    <w:p w:rsidR="003127C4" w:rsidRPr="004A5CEF" w:rsidRDefault="003127C4" w:rsidP="005544BC">
                      <w:pPr>
                        <w:jc w:val="center"/>
                        <w:rPr>
                          <w:rFonts w:ascii="Garamond" w:hAnsi="Garamond"/>
                          <w:b/>
                          <w:bCs/>
                          <w:i/>
                          <w:iCs/>
                        </w:rPr>
                      </w:pPr>
                      <w:r w:rsidRPr="004A5CEF">
                        <w:rPr>
                          <w:rFonts w:ascii="Garamond" w:hAnsi="Garamond"/>
                          <w:b/>
                          <w:bCs/>
                          <w:i/>
                          <w:iCs/>
                        </w:rPr>
                        <w:t>Wahm/ daya estimasi</w:t>
                      </w:r>
                    </w:p>
                  </w:txbxContent>
                </v:textbox>
              </v:roundrect>
            </w:pict>
          </mc:Fallback>
        </mc:AlternateContent>
      </w:r>
    </w:p>
    <w:p w:rsidR="005544BC" w:rsidRPr="009F77A7" w:rsidRDefault="00062CDB" w:rsidP="005544BC">
      <w:pPr>
        <w:autoSpaceDE w:val="0"/>
        <w:autoSpaceDN w:val="0"/>
        <w:adjustRightInd w:val="0"/>
        <w:spacing w:after="0" w:line="240" w:lineRule="auto"/>
        <w:ind w:left="720" w:firstLine="414"/>
        <w:jc w:val="both"/>
        <w:rPr>
          <w:rFonts w:asciiTheme="majorBidi" w:hAnsiTheme="majorBidi" w:cstheme="majorBidi"/>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14:anchorId="58C0EEBC" wp14:editId="7C93911D">
                <wp:simplePos x="0" y="0"/>
                <wp:positionH relativeFrom="column">
                  <wp:posOffset>3836133</wp:posOffset>
                </wp:positionH>
                <wp:positionV relativeFrom="paragraph">
                  <wp:posOffset>107315</wp:posOffset>
                </wp:positionV>
                <wp:extent cx="494030" cy="180975"/>
                <wp:effectExtent l="0" t="19050" r="39370" b="47625"/>
                <wp:wrapNone/>
                <wp:docPr id="21" name="Right Arrow 21"/>
                <wp:cNvGraphicFramePr/>
                <a:graphic xmlns:a="http://schemas.openxmlformats.org/drawingml/2006/main">
                  <a:graphicData uri="http://schemas.microsoft.com/office/word/2010/wordprocessingShape">
                    <wps:wsp>
                      <wps:cNvSpPr/>
                      <wps:spPr>
                        <a:xfrm>
                          <a:off x="0" y="0"/>
                          <a:ext cx="494030"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9803E01" id="Right Arrow 21" o:spid="_x0000_s1026" type="#_x0000_t13" style="position:absolute;margin-left:302.05pt;margin-top:8.45pt;width:38.9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" adj="17644" fillcolor="white [3201]" strokecolor="#70ad47 [3209]" strokeweight="1pt"/>
            </w:pict>
          </mc:Fallback>
        </mc:AlternateContent>
      </w:r>
      <w:r w:rsidR="004A5CEF" w:rsidRPr="009F77A7">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4F9FB41B" wp14:editId="3CCD459A">
                <wp:simplePos x="0" y="0"/>
                <wp:positionH relativeFrom="column">
                  <wp:posOffset>1724366</wp:posOffset>
                </wp:positionH>
                <wp:positionV relativeFrom="paragraph">
                  <wp:posOffset>83967</wp:posOffset>
                </wp:positionV>
                <wp:extent cx="332984" cy="1497965"/>
                <wp:effectExtent l="7937" t="0" r="18098" b="37147"/>
                <wp:wrapNone/>
                <wp:docPr id="14" name="Bent-Up Arrow 14"/>
                <wp:cNvGraphicFramePr/>
                <a:graphic xmlns:a="http://schemas.openxmlformats.org/drawingml/2006/main">
                  <a:graphicData uri="http://schemas.microsoft.com/office/word/2010/wordprocessingShape">
                    <wps:wsp>
                      <wps:cNvSpPr/>
                      <wps:spPr>
                        <a:xfrm rot="5400000">
                          <a:off x="0" y="0"/>
                          <a:ext cx="332984" cy="1497965"/>
                        </a:xfrm>
                        <a:prstGeom prst="ben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C7A3C5" id="Bent-Up Arrow 14" o:spid="_x0000_s1026" style="position:absolute;margin-left:135.8pt;margin-top:6.6pt;width:26.2pt;height:117.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984,149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" path="m,1414719r208115,l208115,83246r-41623,l249738,r83246,83246l291361,83246r,1414719l,1497965r,-83246xe" fillcolor="white [3201]" strokecolor="#70ad47 [3209]" strokeweight="1pt">
                <v:stroke joinstyle="miter"/>
                <v:path arrowok="t" o:connecttype="custom" o:connectlocs="0,1414719;208115,1414719;208115,83246;166492,83246;249738,0;332984,83246;291361,83246;291361,1497965;0,1497965;0,1414719" o:connectangles="0,0,0,0,0,0,0,0,0,0"/>
              </v:shape>
            </w:pict>
          </mc:Fallback>
        </mc:AlternateContent>
      </w:r>
      <w:r w:rsidR="004A5CEF" w:rsidRPr="009F77A7">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18A85277" wp14:editId="0C705854">
                <wp:simplePos x="0" y="0"/>
                <wp:positionH relativeFrom="column">
                  <wp:posOffset>656135</wp:posOffset>
                </wp:positionH>
                <wp:positionV relativeFrom="paragraph">
                  <wp:posOffset>42152</wp:posOffset>
                </wp:positionV>
                <wp:extent cx="1193606" cy="628214"/>
                <wp:effectExtent l="0" t="0" r="26035" b="19685"/>
                <wp:wrapNone/>
                <wp:docPr id="1" name="Rounded Rectangle 1"/>
                <wp:cNvGraphicFramePr/>
                <a:graphic xmlns:a="http://schemas.openxmlformats.org/drawingml/2006/main">
                  <a:graphicData uri="http://schemas.microsoft.com/office/word/2010/wordprocessingShape">
                    <wps:wsp>
                      <wps:cNvSpPr/>
                      <wps:spPr>
                        <a:xfrm>
                          <a:off x="0" y="0"/>
                          <a:ext cx="1193606" cy="62821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sz w:val="24"/>
                                <w:szCs w:val="24"/>
                              </w:rPr>
                            </w:pPr>
                            <w:r w:rsidRPr="004A5CEF">
                              <w:rPr>
                                <w:rFonts w:ascii="Garamond" w:hAnsi="Garamond"/>
                                <w:b/>
                                <w:bCs/>
                                <w:sz w:val="24"/>
                                <w:szCs w:val="24"/>
                              </w:rPr>
                              <w:t xml:space="preserve">Indra Batin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8A85277" id="Rounded Rectangle 1" o:spid="_x0000_s1029" style="position:absolute;left:0;text-align:left;margin-left:51.65pt;margin-top:3.3pt;width:94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" fillcolor="white [3201]" strokecolor="#70ad47 [3209]" strokeweight="1pt">
                <v:stroke joinstyle="miter"/>
                <v:textbox>
                  <w:txbxContent>
                    <w:p w:rsidR="003127C4" w:rsidRPr="004A5CEF" w:rsidRDefault="003127C4" w:rsidP="005544BC">
                      <w:pPr>
                        <w:jc w:val="center"/>
                        <w:rPr>
                          <w:rFonts w:ascii="Garamond" w:hAnsi="Garamond"/>
                          <w:b/>
                          <w:bCs/>
                          <w:sz w:val="24"/>
                          <w:szCs w:val="24"/>
                        </w:rPr>
                      </w:pPr>
                      <w:r w:rsidRPr="004A5CEF">
                        <w:rPr>
                          <w:rFonts w:ascii="Garamond" w:hAnsi="Garamond"/>
                          <w:b/>
                          <w:bCs/>
                          <w:sz w:val="24"/>
                          <w:szCs w:val="24"/>
                        </w:rPr>
                        <w:t xml:space="preserve">Indra Batin </w:t>
                      </w:r>
                    </w:p>
                  </w:txbxContent>
                </v:textbox>
              </v:roundrect>
            </w:pict>
          </mc:Fallback>
        </mc:AlternateContent>
      </w: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062CDB" w:rsidP="005544BC">
      <w:pPr>
        <w:autoSpaceDE w:val="0"/>
        <w:autoSpaceDN w:val="0"/>
        <w:adjustRightInd w:val="0"/>
        <w:spacing w:after="0" w:line="240" w:lineRule="auto"/>
        <w:ind w:left="720" w:firstLine="414"/>
        <w:jc w:val="both"/>
        <w:rPr>
          <w:rFonts w:asciiTheme="majorBidi" w:hAnsiTheme="majorBidi" w:cstheme="majorBidi"/>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218D0E16" wp14:editId="3B6232D7">
                <wp:simplePos x="0" y="0"/>
                <wp:positionH relativeFrom="column">
                  <wp:posOffset>2777490</wp:posOffset>
                </wp:positionH>
                <wp:positionV relativeFrom="paragraph">
                  <wp:posOffset>79277</wp:posOffset>
                </wp:positionV>
                <wp:extent cx="2162810" cy="551180"/>
                <wp:effectExtent l="0" t="0" r="27940" b="20320"/>
                <wp:wrapNone/>
                <wp:docPr id="17" name="Rounded Rectangle 17"/>
                <wp:cNvGraphicFramePr/>
                <a:graphic xmlns:a="http://schemas.openxmlformats.org/drawingml/2006/main">
                  <a:graphicData uri="http://schemas.microsoft.com/office/word/2010/wordprocessingShape">
                    <wps:wsp>
                      <wps:cNvSpPr/>
                      <wps:spPr>
                        <a:xfrm>
                          <a:off x="0" y="0"/>
                          <a:ext cx="2162810" cy="5511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sz w:val="24"/>
                                <w:szCs w:val="24"/>
                              </w:rPr>
                            </w:pPr>
                            <w:r w:rsidRPr="004A5CEF">
                              <w:rPr>
                                <w:rFonts w:ascii="Garamond" w:hAnsi="Garamond"/>
                                <w:b/>
                                <w:bCs/>
                                <w:i/>
                                <w:iCs/>
                                <w:sz w:val="24"/>
                                <w:szCs w:val="24"/>
                              </w:rPr>
                              <w:t>Mu’īn li al-idrāk</w:t>
                            </w:r>
                            <w:r w:rsidRPr="004A5CEF">
                              <w:rPr>
                                <w:rFonts w:ascii="Garamond" w:hAnsi="Garamond"/>
                                <w:b/>
                                <w:bCs/>
                                <w:sz w:val="24"/>
                                <w:szCs w:val="24"/>
                              </w:rPr>
                              <w:t>/pembantu persepsi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18D0E16" id="Rounded Rectangle 17" o:spid="_x0000_s1030" style="position:absolute;left:0;text-align:left;margin-left:218.7pt;margin-top:6.25pt;width:170.3pt;height:4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" fillcolor="white [3201]" strokecolor="#70ad47 [3209]" strokeweight="1pt">
                <v:stroke joinstyle="miter"/>
                <v:textbox>
                  <w:txbxContent>
                    <w:p w:rsidR="003127C4" w:rsidRPr="004A5CEF" w:rsidRDefault="003127C4" w:rsidP="005544BC">
                      <w:pPr>
                        <w:jc w:val="center"/>
                        <w:rPr>
                          <w:rFonts w:ascii="Garamond" w:hAnsi="Garamond"/>
                          <w:b/>
                          <w:bCs/>
                          <w:sz w:val="24"/>
                          <w:szCs w:val="24"/>
                        </w:rPr>
                      </w:pPr>
                      <w:r w:rsidRPr="004A5CEF">
                        <w:rPr>
                          <w:rFonts w:ascii="Garamond" w:hAnsi="Garamond"/>
                          <w:b/>
                          <w:bCs/>
                          <w:i/>
                          <w:iCs/>
                          <w:sz w:val="24"/>
                          <w:szCs w:val="24"/>
                        </w:rPr>
                        <w:t>Mu’īn li al-idrāk</w:t>
                      </w:r>
                      <w:r w:rsidRPr="004A5CEF">
                        <w:rPr>
                          <w:rFonts w:ascii="Garamond" w:hAnsi="Garamond"/>
                          <w:b/>
                          <w:bCs/>
                          <w:sz w:val="24"/>
                          <w:szCs w:val="24"/>
                        </w:rPr>
                        <w:t>/pembantu persepsi</w:t>
                      </w:r>
                    </w:p>
                  </w:txbxContent>
                </v:textbox>
              </v:roundrect>
            </w:pict>
          </mc:Fallback>
        </mc:AlternateContent>
      </w: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5544BC" w:rsidP="005544BC">
      <w:pPr>
        <w:autoSpaceDE w:val="0"/>
        <w:autoSpaceDN w:val="0"/>
        <w:adjustRightInd w:val="0"/>
        <w:spacing w:after="0" w:line="240" w:lineRule="auto"/>
        <w:ind w:left="720" w:firstLine="414"/>
        <w:jc w:val="both"/>
        <w:rPr>
          <w:rFonts w:asciiTheme="majorBidi" w:hAnsiTheme="majorBidi" w:cstheme="majorBidi"/>
          <w:sz w:val="24"/>
          <w:szCs w:val="24"/>
        </w:rPr>
      </w:pPr>
    </w:p>
    <w:p w:rsidR="005544BC" w:rsidRPr="009F77A7" w:rsidRDefault="00062CDB" w:rsidP="005544BC">
      <w:pPr>
        <w:autoSpaceDE w:val="0"/>
        <w:autoSpaceDN w:val="0"/>
        <w:adjustRightInd w:val="0"/>
        <w:spacing w:after="0" w:line="240" w:lineRule="auto"/>
        <w:jc w:val="both"/>
        <w:rPr>
          <w:rFonts w:asciiTheme="majorBidi" w:hAnsiTheme="majorBidi" w:cstheme="majorBidi"/>
          <w:b/>
          <w:bCs/>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72576" behindDoc="0" locked="0" layoutInCell="1" allowOverlap="1" wp14:anchorId="267FC483" wp14:editId="0EA2A71D">
                <wp:simplePos x="0" y="0"/>
                <wp:positionH relativeFrom="column">
                  <wp:posOffset>4560570</wp:posOffset>
                </wp:positionH>
                <wp:positionV relativeFrom="paragraph">
                  <wp:posOffset>66138</wp:posOffset>
                </wp:positionV>
                <wp:extent cx="454025" cy="180975"/>
                <wp:effectExtent l="3175" t="0" r="44450" b="44450"/>
                <wp:wrapNone/>
                <wp:docPr id="27" name="Right Arrow 27"/>
                <wp:cNvGraphicFramePr/>
                <a:graphic xmlns:a="http://schemas.openxmlformats.org/drawingml/2006/main">
                  <a:graphicData uri="http://schemas.microsoft.com/office/word/2010/wordprocessingShape">
                    <wps:wsp>
                      <wps:cNvSpPr/>
                      <wps:spPr>
                        <a:xfrm rot="5400000">
                          <a:off x="0" y="0"/>
                          <a:ext cx="454025"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7FA264B" id="Right Arrow 27" o:spid="_x0000_s1026" type="#_x0000_t13" style="position:absolute;margin-left:359.1pt;margin-top:5.2pt;width:35.75pt;height:14.2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" adj="17295" fillcolor="white [3201]" strokecolor="#70ad47 [3209]" strokeweight="1p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10B69E40" wp14:editId="48E1B3CC">
                <wp:simplePos x="0" y="0"/>
                <wp:positionH relativeFrom="column">
                  <wp:posOffset>3538855</wp:posOffset>
                </wp:positionH>
                <wp:positionV relativeFrom="paragraph">
                  <wp:posOffset>63598</wp:posOffset>
                </wp:positionV>
                <wp:extent cx="448945" cy="180975"/>
                <wp:effectExtent l="635" t="0" r="46990" b="46990"/>
                <wp:wrapNone/>
                <wp:docPr id="25" name="Right Arrow 25"/>
                <wp:cNvGraphicFramePr/>
                <a:graphic xmlns:a="http://schemas.openxmlformats.org/drawingml/2006/main">
                  <a:graphicData uri="http://schemas.microsoft.com/office/word/2010/wordprocessingShape">
                    <wps:wsp>
                      <wps:cNvSpPr/>
                      <wps:spPr>
                        <a:xfrm rot="5400000">
                          <a:off x="0" y="0"/>
                          <a:ext cx="448945"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19B153A" id="Right Arrow 25" o:spid="_x0000_s1026" type="#_x0000_t13" style="position:absolute;margin-left:278.65pt;margin-top:5pt;width:35.35pt;height:14.25pt;rotation:9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" adj="17246" fillcolor="white [3201]" strokecolor="#70ad47 [3209]" strokeweight="1p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14:anchorId="15BB7BF1" wp14:editId="548E966E">
                <wp:simplePos x="0" y="0"/>
                <wp:positionH relativeFrom="column">
                  <wp:posOffset>2627630</wp:posOffset>
                </wp:positionH>
                <wp:positionV relativeFrom="paragraph">
                  <wp:posOffset>85627</wp:posOffset>
                </wp:positionV>
                <wp:extent cx="480695" cy="180975"/>
                <wp:effectExtent l="0" t="2540" r="31115" b="31115"/>
                <wp:wrapNone/>
                <wp:docPr id="23" name="Right Arrow 23"/>
                <wp:cNvGraphicFramePr/>
                <a:graphic xmlns:a="http://schemas.openxmlformats.org/drawingml/2006/main">
                  <a:graphicData uri="http://schemas.microsoft.com/office/word/2010/wordprocessingShape">
                    <wps:wsp>
                      <wps:cNvSpPr/>
                      <wps:spPr>
                        <a:xfrm rot="5400000">
                          <a:off x="0" y="0"/>
                          <a:ext cx="480695" cy="1809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632FD29" id="Right Arrow 23" o:spid="_x0000_s1026" type="#_x0000_t13" style="position:absolute;margin-left:206.9pt;margin-top:6.75pt;width:37.85pt;height:14.2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" adj="17534" fillcolor="white [3201]" strokecolor="#70ad47 [3209]" strokeweight="1pt"/>
            </w:pict>
          </mc:Fallback>
        </mc:AlternateContent>
      </w:r>
    </w:p>
    <w:p w:rsidR="005544BC" w:rsidRPr="009F77A7" w:rsidRDefault="005544BC" w:rsidP="005544BC">
      <w:pPr>
        <w:autoSpaceDE w:val="0"/>
        <w:autoSpaceDN w:val="0"/>
        <w:adjustRightInd w:val="0"/>
        <w:spacing w:after="0" w:line="240" w:lineRule="auto"/>
        <w:jc w:val="both"/>
        <w:rPr>
          <w:rFonts w:asciiTheme="majorBidi" w:hAnsiTheme="majorBidi" w:cstheme="majorBidi"/>
          <w:b/>
          <w:bCs/>
          <w:sz w:val="24"/>
          <w:szCs w:val="24"/>
        </w:rPr>
      </w:pPr>
    </w:p>
    <w:p w:rsidR="00295A23" w:rsidRPr="00EF23A8" w:rsidRDefault="00062CDB" w:rsidP="00EF23A8">
      <w:pPr>
        <w:autoSpaceDE w:val="0"/>
        <w:autoSpaceDN w:val="0"/>
        <w:adjustRightInd w:val="0"/>
        <w:spacing w:after="0" w:line="240" w:lineRule="auto"/>
        <w:jc w:val="both"/>
        <w:rPr>
          <w:rFonts w:asciiTheme="majorBidi" w:hAnsiTheme="majorBidi" w:cstheme="majorBidi"/>
          <w:b/>
          <w:bCs/>
          <w:sz w:val="24"/>
          <w:szCs w:val="24"/>
        </w:rPr>
      </w:pPr>
      <w:r w:rsidRPr="009F77A7">
        <w:rPr>
          <w:rFonts w:asciiTheme="majorBidi" w:hAnsiTheme="majorBidi" w:cstheme="majorBidi"/>
          <w:noProof/>
          <w:sz w:val="24"/>
          <w:szCs w:val="24"/>
          <w:lang w:val="en-US"/>
        </w:rPr>
        <mc:AlternateContent>
          <mc:Choice Requires="wps">
            <w:drawing>
              <wp:anchor distT="0" distB="0" distL="114300" distR="114300" simplePos="0" relativeHeight="251673600" behindDoc="0" locked="0" layoutInCell="1" allowOverlap="1" wp14:anchorId="139AE8ED" wp14:editId="38E682A5">
                <wp:simplePos x="0" y="0"/>
                <wp:positionH relativeFrom="column">
                  <wp:posOffset>4277995</wp:posOffset>
                </wp:positionH>
                <wp:positionV relativeFrom="paragraph">
                  <wp:posOffset>87093</wp:posOffset>
                </wp:positionV>
                <wp:extent cx="1036955" cy="551180"/>
                <wp:effectExtent l="0" t="0" r="10795" b="20320"/>
                <wp:wrapNone/>
                <wp:docPr id="28" name="Rounded Rectangle 28"/>
                <wp:cNvGraphicFramePr/>
                <a:graphic xmlns:a="http://schemas.openxmlformats.org/drawingml/2006/main">
                  <a:graphicData uri="http://schemas.microsoft.com/office/word/2010/wordprocessingShape">
                    <wps:wsp>
                      <wps:cNvSpPr/>
                      <wps:spPr>
                        <a:xfrm>
                          <a:off x="0" y="0"/>
                          <a:ext cx="1036955" cy="5511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i/>
                                <w:iCs/>
                              </w:rPr>
                            </w:pPr>
                            <w:r w:rsidRPr="004A5CEF">
                              <w:rPr>
                                <w:rFonts w:ascii="Garamond" w:hAnsi="Garamond"/>
                                <w:b/>
                                <w:bCs/>
                                <w:i/>
                                <w:iCs/>
                              </w:rPr>
                              <w:t>Muta</w:t>
                            </w:r>
                            <w:r w:rsidRPr="004A5CEF">
                              <w:rPr>
                                <w:rFonts w:ascii="Cambria" w:hAnsi="Cambria" w:cs="Cambria"/>
                                <w:b/>
                                <w:bCs/>
                                <w:i/>
                                <w:iCs/>
                              </w:rPr>
                              <w:t>ṣ</w:t>
                            </w:r>
                            <w:r w:rsidRPr="004A5CEF">
                              <w:rPr>
                                <w:rFonts w:ascii="Garamond" w:hAnsi="Garamond"/>
                                <w:b/>
                                <w:bCs/>
                                <w:i/>
                                <w:iCs/>
                              </w:rPr>
                              <w:t>arrifah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39AE8ED" id="Rounded Rectangle 28" o:spid="_x0000_s1031" style="position:absolute;left:0;text-align:left;margin-left:336.85pt;margin-top:6.85pt;width:81.65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" fillcolor="white [3201]" strokecolor="#70ad47 [3209]" strokeweight="1pt">
                <v:stroke joinstyle="miter"/>
                <v:textbox>
                  <w:txbxContent>
                    <w:p w:rsidR="003127C4" w:rsidRPr="004A5CEF" w:rsidRDefault="003127C4" w:rsidP="005544BC">
                      <w:pPr>
                        <w:jc w:val="center"/>
                        <w:rPr>
                          <w:rFonts w:ascii="Garamond" w:hAnsi="Garamond"/>
                          <w:b/>
                          <w:bCs/>
                          <w:i/>
                          <w:iCs/>
                        </w:rPr>
                      </w:pPr>
                      <w:r w:rsidRPr="004A5CEF">
                        <w:rPr>
                          <w:rFonts w:ascii="Garamond" w:hAnsi="Garamond"/>
                          <w:b/>
                          <w:bCs/>
                          <w:i/>
                          <w:iCs/>
                        </w:rPr>
                        <w:t>Muta</w:t>
                      </w:r>
                      <w:r w:rsidRPr="004A5CEF">
                        <w:rPr>
                          <w:rFonts w:ascii="Cambria" w:hAnsi="Cambria" w:cs="Cambria"/>
                          <w:b/>
                          <w:bCs/>
                          <w:i/>
                          <w:iCs/>
                        </w:rPr>
                        <w:t>ṣ</w:t>
                      </w:r>
                      <w:r w:rsidRPr="004A5CEF">
                        <w:rPr>
                          <w:rFonts w:ascii="Garamond" w:hAnsi="Garamond"/>
                          <w:b/>
                          <w:bCs/>
                          <w:i/>
                          <w:iCs/>
                        </w:rPr>
                        <w:t>arrifah</w:t>
                      </w:r>
                    </w:p>
                  </w:txbxContent>
                </v:textbox>
              </v:roundrec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0FA7D2D5" wp14:editId="344FE4A9">
                <wp:simplePos x="0" y="0"/>
                <wp:positionH relativeFrom="column">
                  <wp:posOffset>3279775</wp:posOffset>
                </wp:positionH>
                <wp:positionV relativeFrom="paragraph">
                  <wp:posOffset>109122</wp:posOffset>
                </wp:positionV>
                <wp:extent cx="974090" cy="537210"/>
                <wp:effectExtent l="0" t="0" r="16510" b="15240"/>
                <wp:wrapNone/>
                <wp:docPr id="26" name="Rounded Rectangle 26"/>
                <wp:cNvGraphicFramePr/>
                <a:graphic xmlns:a="http://schemas.openxmlformats.org/drawingml/2006/main">
                  <a:graphicData uri="http://schemas.microsoft.com/office/word/2010/wordprocessingShape">
                    <wps:wsp>
                      <wps:cNvSpPr/>
                      <wps:spPr>
                        <a:xfrm>
                          <a:off x="0" y="0"/>
                          <a:ext cx="974090" cy="5372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i/>
                                <w:iCs/>
                              </w:rPr>
                            </w:pPr>
                            <w:r w:rsidRPr="004A5CEF">
                              <w:rPr>
                                <w:rFonts w:ascii="Garamond" w:hAnsi="Garamond"/>
                                <w:b/>
                                <w:bCs/>
                                <w:i/>
                                <w:iCs/>
                              </w:rPr>
                              <w:t>Hāfi</w:t>
                            </w:r>
                            <w:r w:rsidRPr="004A5CEF">
                              <w:rPr>
                                <w:rFonts w:ascii="Cambria" w:hAnsi="Cambria" w:cs="Cambria"/>
                                <w:b/>
                                <w:bCs/>
                                <w:i/>
                                <w:iCs/>
                              </w:rPr>
                              <w:t>ẓ</w:t>
                            </w:r>
                            <w:r w:rsidRPr="004A5CEF">
                              <w:rPr>
                                <w:rFonts w:ascii="Garamond" w:hAnsi="Garamond"/>
                                <w:b/>
                                <w:bCs/>
                                <w:i/>
                                <w:iCs/>
                              </w:rPr>
                              <w:t>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FA7D2D5" id="Rounded Rectangle 26" o:spid="_x0000_s1032" style="position:absolute;left:0;text-align:left;margin-left:258.25pt;margin-top:8.6pt;width:76.7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" fillcolor="white [3201]" strokecolor="#70ad47 [3209]" strokeweight="1pt">
                <v:stroke joinstyle="miter"/>
                <v:textbox>
                  <w:txbxContent>
                    <w:p w:rsidR="003127C4" w:rsidRPr="004A5CEF" w:rsidRDefault="003127C4" w:rsidP="005544BC">
                      <w:pPr>
                        <w:jc w:val="center"/>
                        <w:rPr>
                          <w:rFonts w:ascii="Garamond" w:hAnsi="Garamond"/>
                          <w:b/>
                          <w:bCs/>
                          <w:i/>
                          <w:iCs/>
                        </w:rPr>
                      </w:pPr>
                      <w:r w:rsidRPr="004A5CEF">
                        <w:rPr>
                          <w:rFonts w:ascii="Garamond" w:hAnsi="Garamond"/>
                          <w:b/>
                          <w:bCs/>
                          <w:i/>
                          <w:iCs/>
                        </w:rPr>
                        <w:t>Hāfi</w:t>
                      </w:r>
                      <w:r w:rsidRPr="004A5CEF">
                        <w:rPr>
                          <w:rFonts w:ascii="Cambria" w:hAnsi="Cambria" w:cs="Cambria"/>
                          <w:b/>
                          <w:bCs/>
                          <w:i/>
                          <w:iCs/>
                        </w:rPr>
                        <w:t>ẓ</w:t>
                      </w:r>
                      <w:r w:rsidRPr="004A5CEF">
                        <w:rPr>
                          <w:rFonts w:ascii="Garamond" w:hAnsi="Garamond"/>
                          <w:b/>
                          <w:bCs/>
                          <w:i/>
                          <w:iCs/>
                        </w:rPr>
                        <w:t>ah</w:t>
                      </w:r>
                    </w:p>
                  </w:txbxContent>
                </v:textbox>
              </v:roundrect>
            </w:pict>
          </mc:Fallback>
        </mc:AlternateContent>
      </w:r>
      <w:r w:rsidRPr="009F77A7">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7803F278" wp14:editId="4A79E5F2">
                <wp:simplePos x="0" y="0"/>
                <wp:positionH relativeFrom="column">
                  <wp:posOffset>2233295</wp:posOffset>
                </wp:positionH>
                <wp:positionV relativeFrom="paragraph">
                  <wp:posOffset>112053</wp:posOffset>
                </wp:positionV>
                <wp:extent cx="974090" cy="528955"/>
                <wp:effectExtent l="0" t="0" r="16510" b="23495"/>
                <wp:wrapNone/>
                <wp:docPr id="24" name="Rounded Rectangle 24"/>
                <wp:cNvGraphicFramePr/>
                <a:graphic xmlns:a="http://schemas.openxmlformats.org/drawingml/2006/main">
                  <a:graphicData uri="http://schemas.microsoft.com/office/word/2010/wordprocessingShape">
                    <wps:wsp>
                      <wps:cNvSpPr/>
                      <wps:spPr>
                        <a:xfrm>
                          <a:off x="0" y="0"/>
                          <a:ext cx="974090" cy="52895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27C4" w:rsidRPr="004A5CEF" w:rsidRDefault="003127C4" w:rsidP="005544BC">
                            <w:pPr>
                              <w:jc w:val="center"/>
                              <w:rPr>
                                <w:rFonts w:ascii="Garamond" w:hAnsi="Garamond"/>
                                <w:b/>
                                <w:bCs/>
                                <w:i/>
                                <w:iCs/>
                              </w:rPr>
                            </w:pPr>
                            <w:r w:rsidRPr="004A5CEF">
                              <w:rPr>
                                <w:rFonts w:ascii="Garamond" w:hAnsi="Garamond"/>
                                <w:b/>
                                <w:bCs/>
                                <w:i/>
                                <w:iCs/>
                              </w:rPr>
                              <w:t>Khayāl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803F278" id="Rounded Rectangle 24" o:spid="_x0000_s1033" style="position:absolute;left:0;text-align:left;margin-left:175.85pt;margin-top:8.8pt;width:76.7pt;height:4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" fillcolor="white [3201]" strokecolor="#70ad47 [3209]" strokeweight="1pt">
                <v:stroke joinstyle="miter"/>
                <v:textbox>
                  <w:txbxContent>
                    <w:p w:rsidR="003127C4" w:rsidRPr="004A5CEF" w:rsidRDefault="003127C4" w:rsidP="005544BC">
                      <w:pPr>
                        <w:jc w:val="center"/>
                        <w:rPr>
                          <w:rFonts w:ascii="Garamond" w:hAnsi="Garamond"/>
                          <w:b/>
                          <w:bCs/>
                          <w:i/>
                          <w:iCs/>
                        </w:rPr>
                      </w:pPr>
                      <w:r w:rsidRPr="004A5CEF">
                        <w:rPr>
                          <w:rFonts w:ascii="Garamond" w:hAnsi="Garamond"/>
                          <w:b/>
                          <w:bCs/>
                          <w:i/>
                          <w:iCs/>
                        </w:rPr>
                        <w:t>Khayāl</w:t>
                      </w:r>
                    </w:p>
                  </w:txbxContent>
                </v:textbox>
              </v:roundrect>
            </w:pict>
          </mc:Fallback>
        </mc:AlternateContent>
      </w:r>
    </w:p>
    <w:p w:rsidR="00062CDB" w:rsidRPr="009F77A7" w:rsidRDefault="00062CDB" w:rsidP="00062CDB">
      <w:pPr>
        <w:autoSpaceDE w:val="0"/>
        <w:autoSpaceDN w:val="0"/>
        <w:adjustRightInd w:val="0"/>
        <w:spacing w:after="120" w:line="240" w:lineRule="auto"/>
        <w:jc w:val="both"/>
        <w:rPr>
          <w:rFonts w:asciiTheme="majorBidi" w:hAnsiTheme="majorBidi" w:cstheme="majorBidi"/>
          <w:b/>
          <w:bCs/>
          <w:sz w:val="24"/>
          <w:szCs w:val="24"/>
        </w:rPr>
      </w:pPr>
    </w:p>
    <w:p w:rsidR="00073463" w:rsidRDefault="00073463" w:rsidP="00062CDB">
      <w:pPr>
        <w:autoSpaceDE w:val="0"/>
        <w:autoSpaceDN w:val="0"/>
        <w:adjustRightInd w:val="0"/>
        <w:spacing w:after="120" w:line="240" w:lineRule="auto"/>
        <w:ind w:left="273" w:firstLine="578"/>
        <w:jc w:val="both"/>
        <w:rPr>
          <w:rFonts w:asciiTheme="majorBidi" w:hAnsiTheme="majorBidi" w:cstheme="majorBidi"/>
          <w:b/>
          <w:bCs/>
          <w:sz w:val="24"/>
          <w:szCs w:val="24"/>
          <w:lang w:val="en-US"/>
        </w:rPr>
      </w:pPr>
    </w:p>
    <w:p w:rsidR="00073463" w:rsidRDefault="00073463" w:rsidP="00062CDB">
      <w:pPr>
        <w:autoSpaceDE w:val="0"/>
        <w:autoSpaceDN w:val="0"/>
        <w:adjustRightInd w:val="0"/>
        <w:spacing w:after="120" w:line="240" w:lineRule="auto"/>
        <w:ind w:left="273" w:firstLine="578"/>
        <w:jc w:val="both"/>
        <w:rPr>
          <w:rFonts w:asciiTheme="majorBidi" w:hAnsiTheme="majorBidi" w:cstheme="majorBidi"/>
          <w:b/>
          <w:bCs/>
          <w:sz w:val="24"/>
          <w:szCs w:val="24"/>
          <w:lang w:val="en-US"/>
        </w:rPr>
      </w:pPr>
    </w:p>
    <w:p w:rsidR="00EC133F" w:rsidRPr="009F77A7" w:rsidRDefault="00EC133F" w:rsidP="00062CDB">
      <w:pPr>
        <w:autoSpaceDE w:val="0"/>
        <w:autoSpaceDN w:val="0"/>
        <w:adjustRightInd w:val="0"/>
        <w:spacing w:after="120" w:line="240" w:lineRule="auto"/>
        <w:ind w:left="273" w:firstLine="578"/>
        <w:jc w:val="both"/>
        <w:rPr>
          <w:rFonts w:asciiTheme="majorBidi" w:hAnsiTheme="majorBidi" w:cstheme="majorBidi"/>
          <w:b/>
          <w:bCs/>
          <w:sz w:val="24"/>
          <w:szCs w:val="24"/>
        </w:rPr>
      </w:pPr>
      <w:r w:rsidRPr="009F77A7">
        <w:rPr>
          <w:rFonts w:asciiTheme="majorBidi" w:hAnsiTheme="majorBidi" w:cstheme="majorBidi"/>
          <w:b/>
          <w:bCs/>
          <w:sz w:val="24"/>
          <w:szCs w:val="24"/>
        </w:rPr>
        <w:t>Jalan Lurus Akhirat</w:t>
      </w:r>
    </w:p>
    <w:p w:rsidR="00095178" w:rsidRPr="009F77A7" w:rsidRDefault="00095178" w:rsidP="00EF23A8">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 xml:space="preserve">Pembagian terakhir menurut Mulla Sadra, ialah jalan lurus akhirat. Pembagian terakhir ini hanya bisa dicapai melalui kesempurnaan </w:t>
      </w:r>
      <w:r w:rsidRPr="009F77A7">
        <w:rPr>
          <w:rFonts w:asciiTheme="majorBidi" w:hAnsiTheme="majorBidi" w:cstheme="majorBidi"/>
          <w:i/>
          <w:iCs/>
          <w:sz w:val="24"/>
          <w:szCs w:val="24"/>
        </w:rPr>
        <w:t xml:space="preserve">al-mukāshafah </w:t>
      </w:r>
      <w:r w:rsidRPr="009F77A7">
        <w:rPr>
          <w:rFonts w:asciiTheme="majorBidi" w:hAnsiTheme="majorBidi" w:cstheme="majorBidi"/>
          <w:sz w:val="24"/>
          <w:szCs w:val="24"/>
        </w:rPr>
        <w:t xml:space="preserve">ditandai tersingkap segala hijab yang membatasi cara pandang individu melihat hakikat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00002A03" w:rsidRPr="009F77A7">
        <w:rPr>
          <w:rFonts w:asciiTheme="majorBidi" w:hAnsiTheme="majorBidi" w:cstheme="majorBidi"/>
          <w:sz w:val="24"/>
          <w:szCs w:val="24"/>
        </w:rPr>
        <w:t xml:space="preserve">. Individu yang mencapai kesempurnaan </w:t>
      </w:r>
      <w:r w:rsidR="00002A03" w:rsidRPr="009F77A7">
        <w:rPr>
          <w:rFonts w:asciiTheme="majorBidi" w:hAnsiTheme="majorBidi" w:cstheme="majorBidi"/>
          <w:i/>
          <w:iCs/>
          <w:sz w:val="24"/>
          <w:szCs w:val="24"/>
        </w:rPr>
        <w:t xml:space="preserve">al-mukāshafah </w:t>
      </w:r>
      <w:r w:rsidR="00002A03" w:rsidRPr="009F77A7">
        <w:rPr>
          <w:rFonts w:asciiTheme="majorBidi" w:hAnsiTheme="majorBidi" w:cstheme="majorBidi"/>
          <w:sz w:val="24"/>
          <w:szCs w:val="24"/>
        </w:rPr>
        <w:t>akan memahami bahwa jalan yang lurus merupakan cerminan dari perbuatan manusia selama hidup di dunia.</w:t>
      </w:r>
      <w:r w:rsidR="00F30950" w:rsidRPr="009F77A7">
        <w:rPr>
          <w:rStyle w:val="FootnoteReference"/>
          <w:rFonts w:asciiTheme="majorBidi" w:hAnsiTheme="majorBidi" w:cstheme="majorBidi"/>
          <w:sz w:val="24"/>
          <w:szCs w:val="24"/>
        </w:rPr>
        <w:footnoteReference w:id="62"/>
      </w:r>
      <w:r w:rsidR="00002A03" w:rsidRPr="009F77A7">
        <w:rPr>
          <w:rFonts w:asciiTheme="majorBidi" w:hAnsiTheme="majorBidi" w:cstheme="majorBidi"/>
          <w:sz w:val="24"/>
          <w:szCs w:val="24"/>
        </w:rPr>
        <w:t xml:space="preserve"> </w:t>
      </w:r>
      <w:r w:rsidR="00F30950" w:rsidRPr="009F77A7">
        <w:rPr>
          <w:rFonts w:asciiTheme="majorBidi" w:hAnsiTheme="majorBidi" w:cstheme="majorBidi"/>
          <w:sz w:val="24"/>
          <w:szCs w:val="24"/>
        </w:rPr>
        <w:t>Manusia yang menjaga dirinya dari ragam perbuatan tercela dan senantiasa mengaktualkan hidayah Allah swt akan memperoleh sebuah kebahagiaan. Sebaliknya, individu yang tidak menjaga dirinya dari perbuatan tercela akan memperoleh sebuah kesengsaraan di akhirat. Mulla Sadra menjelaskan, manusia yang mencapai kebahagiaan di akhirat akan berjalan lurus menuju surga Sedangkan, individu yang memperoleh kesengsaraan akan tergelincir di jalan lurus menuju neraka.</w:t>
      </w:r>
      <w:r w:rsidR="00F30950" w:rsidRPr="009F77A7">
        <w:rPr>
          <w:rStyle w:val="FootnoteReference"/>
          <w:rFonts w:asciiTheme="majorBidi" w:hAnsiTheme="majorBidi" w:cstheme="majorBidi"/>
          <w:sz w:val="24"/>
          <w:szCs w:val="24"/>
        </w:rPr>
        <w:footnoteReference w:id="63"/>
      </w:r>
      <w:r w:rsidR="00F30950" w:rsidRPr="009F77A7">
        <w:rPr>
          <w:rFonts w:asciiTheme="majorBidi" w:hAnsiTheme="majorBidi" w:cstheme="majorBidi"/>
          <w:sz w:val="24"/>
          <w:szCs w:val="24"/>
        </w:rPr>
        <w:t xml:space="preserve">  </w:t>
      </w:r>
      <w:r w:rsidR="00002A03" w:rsidRPr="009F77A7">
        <w:rPr>
          <w:rFonts w:asciiTheme="majorBidi" w:hAnsiTheme="majorBidi" w:cstheme="majorBidi"/>
          <w:sz w:val="24"/>
          <w:szCs w:val="24"/>
        </w:rPr>
        <w:t xml:space="preserve">  </w:t>
      </w:r>
      <w:r w:rsidRPr="009F77A7">
        <w:rPr>
          <w:rFonts w:asciiTheme="majorBidi" w:hAnsiTheme="majorBidi" w:cstheme="majorBidi"/>
          <w:sz w:val="24"/>
          <w:szCs w:val="24"/>
        </w:rPr>
        <w:t xml:space="preserve">    </w:t>
      </w:r>
    </w:p>
    <w:p w:rsidR="00295A23" w:rsidRPr="009F77A7" w:rsidRDefault="0048349D" w:rsidP="00EF23A8">
      <w:pPr>
        <w:autoSpaceDE w:val="0"/>
        <w:autoSpaceDN w:val="0"/>
        <w:adjustRightInd w:val="0"/>
        <w:spacing w:after="120" w:line="360"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Dengan demikian</w:t>
      </w:r>
      <w:r w:rsidR="009B1333" w:rsidRPr="009F77A7">
        <w:rPr>
          <w:rFonts w:asciiTheme="majorBidi" w:hAnsiTheme="majorBidi" w:cstheme="majorBidi"/>
          <w:sz w:val="24"/>
          <w:szCs w:val="24"/>
        </w:rPr>
        <w:t xml:space="preserve"> dipahami bahwa setiap manusia memiliki jalan lurus dan tujuan yang berbeda-beda di akhirat</w:t>
      </w:r>
      <w:r w:rsidR="00152A0B" w:rsidRPr="009F77A7">
        <w:rPr>
          <w:rFonts w:asciiTheme="majorBidi" w:hAnsiTheme="majorBidi" w:cstheme="majorBidi"/>
          <w:sz w:val="24"/>
          <w:szCs w:val="24"/>
        </w:rPr>
        <w:t xml:space="preserve"> berdasarkan perilakunya di dunia. Mulla Sadra mengibaratkan perilaku manusia ibarat sebuah cahaya dalam menapaki sebuah jalan lurus. Individu yang memiliki cahaya kecil akan menjatuhkannya ke dalam jurang keseng</w:t>
      </w:r>
      <w:r w:rsidR="004F1004" w:rsidRPr="009F77A7">
        <w:rPr>
          <w:rFonts w:asciiTheme="majorBidi" w:hAnsiTheme="majorBidi" w:cstheme="majorBidi"/>
          <w:sz w:val="24"/>
          <w:szCs w:val="24"/>
        </w:rPr>
        <w:t>s</w:t>
      </w:r>
      <w:r w:rsidR="00152A0B" w:rsidRPr="009F77A7">
        <w:rPr>
          <w:rFonts w:asciiTheme="majorBidi" w:hAnsiTheme="majorBidi" w:cstheme="majorBidi"/>
          <w:sz w:val="24"/>
          <w:szCs w:val="24"/>
        </w:rPr>
        <w:t xml:space="preserve">araan, dikarenakan kurangnya intensitas cahaya akan membuatnya </w:t>
      </w:r>
      <w:r w:rsidR="004F1004" w:rsidRPr="009F77A7">
        <w:rPr>
          <w:rFonts w:asciiTheme="majorBidi" w:hAnsiTheme="majorBidi" w:cstheme="majorBidi"/>
          <w:sz w:val="24"/>
          <w:szCs w:val="24"/>
        </w:rPr>
        <w:lastRenderedPageBreak/>
        <w:t>t</w:t>
      </w:r>
      <w:r w:rsidR="00152A0B" w:rsidRPr="009F77A7">
        <w:rPr>
          <w:rFonts w:asciiTheme="majorBidi" w:hAnsiTheme="majorBidi" w:cstheme="majorBidi"/>
          <w:sz w:val="24"/>
          <w:szCs w:val="24"/>
        </w:rPr>
        <w:t xml:space="preserve">ergelincir. Sebaliknya, individu yang memiliki intensitas cahaya kuat akan memberikan kemudahan untuk melalui jalan yang lurus untuk mencapai sebuah tujuan kebahagiaan dan kesempurnaan eksistensinya. Dengan demikian, dapat diketahui bahwa jalan lurus di akhir bergantung pada perilaku manusia selama hidup di dunia. Semakin manusia berbuat baik dengan menyucikan jiwa, </w:t>
      </w:r>
      <w:r w:rsidR="002C3794" w:rsidRPr="009F77A7">
        <w:rPr>
          <w:rFonts w:asciiTheme="majorBidi" w:hAnsiTheme="majorBidi" w:cstheme="majorBidi"/>
          <w:sz w:val="24"/>
          <w:szCs w:val="24"/>
        </w:rPr>
        <w:t>proses ini akan membawanya pada kesempurnaan yang sesuai dengan penakwilan Mulla Sadra dalam memahami jalan yang lurus</w:t>
      </w:r>
      <w:r w:rsidR="00152A0B" w:rsidRPr="009F77A7">
        <w:rPr>
          <w:rFonts w:asciiTheme="majorBidi" w:hAnsiTheme="majorBidi" w:cstheme="majorBidi"/>
          <w:sz w:val="24"/>
          <w:szCs w:val="24"/>
        </w:rPr>
        <w:t>. Demi memperjelas ragam penj</w:t>
      </w:r>
      <w:r w:rsidR="004F1004" w:rsidRPr="009F77A7">
        <w:rPr>
          <w:rFonts w:asciiTheme="majorBidi" w:hAnsiTheme="majorBidi" w:cstheme="majorBidi"/>
          <w:sz w:val="24"/>
          <w:szCs w:val="24"/>
        </w:rPr>
        <w:t>el</w:t>
      </w:r>
      <w:r w:rsidR="00152A0B" w:rsidRPr="009F77A7">
        <w:rPr>
          <w:rFonts w:asciiTheme="majorBidi" w:hAnsiTheme="majorBidi" w:cstheme="majorBidi"/>
          <w:sz w:val="24"/>
          <w:szCs w:val="24"/>
        </w:rPr>
        <w:t xml:space="preserve">asan mengenai konsep </w:t>
      </w:r>
      <w:r w:rsidR="00152A0B" w:rsidRPr="009F77A7">
        <w:rPr>
          <w:rFonts w:asciiTheme="majorBidi" w:hAnsiTheme="majorBidi" w:cstheme="majorBidi"/>
          <w:i/>
          <w:iCs/>
          <w:sz w:val="24"/>
          <w:szCs w:val="24"/>
        </w:rPr>
        <w:t>as-ṣirāṭ</w:t>
      </w:r>
      <w:r w:rsidR="00152A0B" w:rsidRPr="009F77A7">
        <w:rPr>
          <w:rFonts w:asciiTheme="majorBidi" w:hAnsiTheme="majorBidi" w:cstheme="majorBidi"/>
          <w:sz w:val="24"/>
          <w:szCs w:val="24"/>
        </w:rPr>
        <w:t xml:space="preserve"> </w:t>
      </w:r>
      <w:r w:rsidR="00152A0B" w:rsidRPr="009F77A7">
        <w:rPr>
          <w:rFonts w:asciiTheme="majorBidi" w:hAnsiTheme="majorBidi" w:cstheme="majorBidi"/>
          <w:i/>
          <w:iCs/>
          <w:sz w:val="24"/>
          <w:szCs w:val="24"/>
        </w:rPr>
        <w:t>al-mustaqīm,</w:t>
      </w:r>
      <w:r w:rsidR="00FE26E0" w:rsidRPr="009F77A7">
        <w:rPr>
          <w:rFonts w:asciiTheme="majorBidi" w:hAnsiTheme="majorBidi" w:cstheme="majorBidi"/>
          <w:sz w:val="24"/>
          <w:szCs w:val="24"/>
        </w:rPr>
        <w:t xml:space="preserve"> penulis akan menyusun</w:t>
      </w:r>
      <w:r w:rsidR="00152A0B" w:rsidRPr="009F77A7">
        <w:rPr>
          <w:rFonts w:asciiTheme="majorBidi" w:hAnsiTheme="majorBidi" w:cstheme="majorBidi"/>
          <w:sz w:val="24"/>
          <w:szCs w:val="24"/>
        </w:rPr>
        <w:t xml:space="preserve"> tabel referen jalan yang lurus;  </w:t>
      </w:r>
    </w:p>
    <w:p w:rsidR="00BC076E" w:rsidRPr="009F77A7" w:rsidRDefault="0048349D" w:rsidP="00BC076E">
      <w:pPr>
        <w:autoSpaceDE w:val="0"/>
        <w:autoSpaceDN w:val="0"/>
        <w:adjustRightInd w:val="0"/>
        <w:spacing w:after="0" w:line="240" w:lineRule="auto"/>
        <w:ind w:left="993" w:firstLine="447"/>
        <w:jc w:val="center"/>
        <w:rPr>
          <w:rFonts w:asciiTheme="majorBidi" w:hAnsiTheme="majorBidi" w:cstheme="majorBidi"/>
          <w:b/>
          <w:bCs/>
          <w:sz w:val="24"/>
          <w:szCs w:val="24"/>
        </w:rPr>
      </w:pPr>
      <w:r w:rsidRPr="009F77A7">
        <w:rPr>
          <w:rFonts w:asciiTheme="majorBidi" w:hAnsiTheme="majorBidi" w:cstheme="majorBidi"/>
          <w:b/>
          <w:bCs/>
          <w:sz w:val="24"/>
          <w:szCs w:val="24"/>
        </w:rPr>
        <w:t xml:space="preserve">Tabel </w:t>
      </w:r>
      <w:r w:rsidR="00BC076E" w:rsidRPr="009F77A7">
        <w:rPr>
          <w:rFonts w:asciiTheme="majorBidi" w:hAnsiTheme="majorBidi" w:cstheme="majorBidi"/>
          <w:b/>
          <w:bCs/>
          <w:sz w:val="24"/>
          <w:szCs w:val="24"/>
        </w:rPr>
        <w:t>2 Referen Jalan Yang Lurus dalam Penakwilan Mulla Sadra</w:t>
      </w:r>
    </w:p>
    <w:tbl>
      <w:tblPr>
        <w:tblpPr w:leftFromText="180" w:rightFromText="180" w:vertAnchor="text" w:horzAnchor="page" w:tblpX="3309" w:tblpY="146"/>
        <w:tblW w:w="6700" w:type="dxa"/>
        <w:tblLook w:val="04A0" w:firstRow="1" w:lastRow="0" w:firstColumn="1" w:lastColumn="0" w:noHBand="0" w:noVBand="1"/>
      </w:tblPr>
      <w:tblGrid>
        <w:gridCol w:w="960"/>
        <w:gridCol w:w="2560"/>
        <w:gridCol w:w="3180"/>
      </w:tblGrid>
      <w:tr w:rsidR="00AE4CD6" w:rsidRPr="009F77A7" w:rsidTr="00AE4CD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b/>
                <w:bCs/>
                <w:color w:val="000000"/>
                <w:sz w:val="24"/>
                <w:szCs w:val="24"/>
                <w:lang w:eastAsia="id-ID"/>
              </w:rPr>
            </w:pPr>
            <w:r w:rsidRPr="009F77A7">
              <w:rPr>
                <w:rFonts w:asciiTheme="majorBidi" w:eastAsia="Times New Roman" w:hAnsiTheme="majorBidi" w:cstheme="majorBidi"/>
                <w:b/>
                <w:bCs/>
                <w:color w:val="000000"/>
                <w:sz w:val="24"/>
                <w:szCs w:val="24"/>
                <w:lang w:eastAsia="id-ID"/>
              </w:rPr>
              <w:t>No</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b/>
                <w:bCs/>
                <w:color w:val="000000"/>
                <w:sz w:val="24"/>
                <w:szCs w:val="24"/>
                <w:lang w:eastAsia="id-ID"/>
              </w:rPr>
            </w:pPr>
            <w:r w:rsidRPr="009F77A7">
              <w:rPr>
                <w:rFonts w:asciiTheme="majorBidi" w:eastAsia="Times New Roman" w:hAnsiTheme="majorBidi" w:cstheme="majorBidi"/>
                <w:b/>
                <w:bCs/>
                <w:color w:val="000000"/>
                <w:sz w:val="24"/>
                <w:szCs w:val="24"/>
                <w:lang w:eastAsia="id-ID"/>
              </w:rPr>
              <w:t>Sumber Referen</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b/>
                <w:bCs/>
                <w:color w:val="000000"/>
                <w:sz w:val="24"/>
                <w:szCs w:val="24"/>
                <w:lang w:eastAsia="id-ID"/>
              </w:rPr>
            </w:pPr>
            <w:r w:rsidRPr="009F77A7">
              <w:rPr>
                <w:rFonts w:asciiTheme="majorBidi" w:eastAsia="Times New Roman" w:hAnsiTheme="majorBidi" w:cstheme="majorBidi"/>
                <w:b/>
                <w:bCs/>
                <w:color w:val="000000"/>
                <w:sz w:val="24"/>
                <w:szCs w:val="24"/>
                <w:lang w:eastAsia="id-ID"/>
              </w:rPr>
              <w:t>Referen</w:t>
            </w:r>
          </w:p>
        </w:tc>
      </w:tr>
      <w:tr w:rsidR="00AE4CD6" w:rsidRPr="009F77A7" w:rsidTr="00AE4CD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1.</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Riwayat</w:t>
            </w: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Kitab Allah</w:t>
            </w:r>
          </w:p>
        </w:tc>
      </w:tr>
      <w:tr w:rsidR="00AE4CD6" w:rsidRPr="009F77A7" w:rsidTr="00AE4CD6">
        <w:trPr>
          <w:trHeight w:val="315"/>
        </w:trPr>
        <w:tc>
          <w:tcPr>
            <w:tcW w:w="9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25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Islam</w:t>
            </w:r>
          </w:p>
        </w:tc>
      </w:tr>
      <w:tr w:rsidR="00AE4CD6" w:rsidRPr="009F77A7" w:rsidTr="00AE4CD6">
        <w:trPr>
          <w:trHeight w:val="315"/>
        </w:trPr>
        <w:tc>
          <w:tcPr>
            <w:tcW w:w="9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25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Agama yang diterima Allah</w:t>
            </w:r>
          </w:p>
        </w:tc>
      </w:tr>
      <w:tr w:rsidR="00AE4CD6" w:rsidRPr="009F77A7" w:rsidTr="00AE4CD6">
        <w:trPr>
          <w:trHeight w:val="315"/>
        </w:trPr>
        <w:tc>
          <w:tcPr>
            <w:tcW w:w="9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25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Nabi dan Para Imam Maksum</w:t>
            </w:r>
          </w:p>
        </w:tc>
      </w:tr>
      <w:tr w:rsidR="00AE4CD6" w:rsidRPr="009F77A7" w:rsidTr="00AE4CD6">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2.</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Ijtihad</w:t>
            </w: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Jalan Lurus Esensial</w:t>
            </w:r>
          </w:p>
        </w:tc>
      </w:tr>
      <w:tr w:rsidR="00AE4CD6" w:rsidRPr="009F77A7" w:rsidTr="00AE4CD6">
        <w:trPr>
          <w:trHeight w:val="315"/>
        </w:trPr>
        <w:tc>
          <w:tcPr>
            <w:tcW w:w="9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25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Jalan Lurus Ikhtiar</w:t>
            </w:r>
          </w:p>
        </w:tc>
      </w:tr>
      <w:tr w:rsidR="00AE4CD6" w:rsidRPr="009F77A7" w:rsidTr="00AE4CD6">
        <w:trPr>
          <w:trHeight w:val="315"/>
        </w:trPr>
        <w:tc>
          <w:tcPr>
            <w:tcW w:w="9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2560" w:type="dxa"/>
            <w:vMerge/>
            <w:tcBorders>
              <w:top w:val="nil"/>
              <w:left w:val="single" w:sz="4" w:space="0" w:color="auto"/>
              <w:bottom w:val="single" w:sz="4" w:space="0" w:color="000000"/>
              <w:right w:val="single" w:sz="4" w:space="0" w:color="auto"/>
            </w:tcBorders>
            <w:vAlign w:val="center"/>
            <w:hideMark/>
          </w:tcPr>
          <w:p w:rsidR="00AE4CD6" w:rsidRPr="009F77A7" w:rsidRDefault="00AE4CD6" w:rsidP="00AE4CD6">
            <w:pPr>
              <w:spacing w:after="0" w:line="240" w:lineRule="auto"/>
              <w:rPr>
                <w:rFonts w:asciiTheme="majorBidi" w:eastAsia="Times New Roman" w:hAnsiTheme="majorBidi" w:cstheme="majorBidi"/>
                <w:color w:val="000000"/>
                <w:sz w:val="24"/>
                <w:szCs w:val="24"/>
                <w:lang w:eastAsia="id-ID"/>
              </w:rPr>
            </w:pPr>
          </w:p>
        </w:tc>
        <w:tc>
          <w:tcPr>
            <w:tcW w:w="3180" w:type="dxa"/>
            <w:tcBorders>
              <w:top w:val="nil"/>
              <w:left w:val="nil"/>
              <w:bottom w:val="single" w:sz="4" w:space="0" w:color="auto"/>
              <w:right w:val="single" w:sz="4" w:space="0" w:color="auto"/>
            </w:tcBorders>
            <w:shd w:val="clear" w:color="auto" w:fill="auto"/>
            <w:noWrap/>
            <w:vAlign w:val="center"/>
            <w:hideMark/>
          </w:tcPr>
          <w:p w:rsidR="00AE4CD6" w:rsidRPr="009F77A7" w:rsidRDefault="00AE4CD6" w:rsidP="00AE4CD6">
            <w:pPr>
              <w:spacing w:after="0" w:line="240" w:lineRule="auto"/>
              <w:jc w:val="center"/>
              <w:rPr>
                <w:rFonts w:asciiTheme="majorBidi" w:eastAsia="Times New Roman" w:hAnsiTheme="majorBidi" w:cstheme="majorBidi"/>
                <w:color w:val="000000"/>
                <w:sz w:val="24"/>
                <w:szCs w:val="24"/>
                <w:lang w:eastAsia="id-ID"/>
              </w:rPr>
            </w:pPr>
            <w:r w:rsidRPr="009F77A7">
              <w:rPr>
                <w:rFonts w:asciiTheme="majorBidi" w:eastAsia="Times New Roman" w:hAnsiTheme="majorBidi" w:cstheme="majorBidi"/>
                <w:color w:val="000000"/>
                <w:sz w:val="24"/>
                <w:szCs w:val="24"/>
                <w:lang w:eastAsia="id-ID"/>
              </w:rPr>
              <w:t>Jalan Lurus Akhirat</w:t>
            </w:r>
          </w:p>
        </w:tc>
      </w:tr>
    </w:tbl>
    <w:p w:rsidR="00BC076E" w:rsidRPr="009F77A7" w:rsidRDefault="00BC076E" w:rsidP="00BC076E">
      <w:pPr>
        <w:autoSpaceDE w:val="0"/>
        <w:autoSpaceDN w:val="0"/>
        <w:adjustRightInd w:val="0"/>
        <w:spacing w:after="0" w:line="240" w:lineRule="auto"/>
        <w:jc w:val="both"/>
        <w:rPr>
          <w:rFonts w:asciiTheme="majorBidi" w:hAnsiTheme="majorBidi" w:cstheme="majorBidi"/>
          <w:sz w:val="24"/>
          <w:szCs w:val="24"/>
        </w:rPr>
      </w:pPr>
    </w:p>
    <w:p w:rsidR="00EC133F" w:rsidRPr="009F77A7" w:rsidRDefault="00EC133F"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EC133F">
      <w:pPr>
        <w:autoSpaceDE w:val="0"/>
        <w:autoSpaceDN w:val="0"/>
        <w:adjustRightInd w:val="0"/>
        <w:spacing w:after="0" w:line="240" w:lineRule="auto"/>
        <w:ind w:left="993" w:firstLine="447"/>
        <w:jc w:val="both"/>
        <w:rPr>
          <w:rFonts w:asciiTheme="majorBidi" w:hAnsiTheme="majorBidi" w:cstheme="majorBidi"/>
          <w:sz w:val="24"/>
          <w:szCs w:val="24"/>
        </w:rPr>
      </w:pPr>
    </w:p>
    <w:p w:rsidR="00AE4CD6" w:rsidRPr="009F77A7" w:rsidRDefault="00AE4CD6" w:rsidP="0048349D">
      <w:pPr>
        <w:autoSpaceDE w:val="0"/>
        <w:autoSpaceDN w:val="0"/>
        <w:adjustRightInd w:val="0"/>
        <w:spacing w:after="0" w:line="240" w:lineRule="auto"/>
        <w:jc w:val="both"/>
        <w:rPr>
          <w:rFonts w:asciiTheme="majorBidi" w:hAnsiTheme="majorBidi" w:cstheme="majorBidi"/>
          <w:sz w:val="24"/>
          <w:szCs w:val="24"/>
        </w:rPr>
      </w:pPr>
    </w:p>
    <w:p w:rsidR="001F0D12" w:rsidRPr="009F77A7" w:rsidRDefault="0048349D" w:rsidP="00B74429">
      <w:pPr>
        <w:autoSpaceDE w:val="0"/>
        <w:autoSpaceDN w:val="0"/>
        <w:adjustRightInd w:val="0"/>
        <w:spacing w:after="120" w:line="276" w:lineRule="auto"/>
        <w:ind w:left="851" w:firstLine="283"/>
        <w:jc w:val="both"/>
        <w:rPr>
          <w:rFonts w:asciiTheme="majorBidi" w:hAnsiTheme="majorBidi" w:cstheme="majorBidi"/>
          <w:sz w:val="24"/>
          <w:szCs w:val="24"/>
        </w:rPr>
      </w:pPr>
      <w:r w:rsidRPr="009F77A7">
        <w:rPr>
          <w:rFonts w:asciiTheme="majorBidi" w:hAnsiTheme="majorBidi" w:cstheme="majorBidi"/>
          <w:sz w:val="24"/>
          <w:szCs w:val="24"/>
        </w:rPr>
        <w:t xml:space="preserve">Berdasarkan ragam penjelasan di atas, diketahui bahwa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dalam penakwilan Mulla Sadra merupakan hidayah yang diberikan Allah swt kepada setiap manusia melalui perantaran kitab-Nya, Islam, agama yang diterima-Nya, dan para Nabi dan Imam </w:t>
      </w:r>
      <w:r w:rsidR="008A2A0B" w:rsidRPr="009F77A7">
        <w:rPr>
          <w:rFonts w:asciiTheme="majorBidi" w:hAnsiTheme="majorBidi" w:cstheme="majorBidi"/>
          <w:sz w:val="24"/>
          <w:szCs w:val="24"/>
        </w:rPr>
        <w:t>m</w:t>
      </w:r>
      <w:r w:rsidRPr="009F77A7">
        <w:rPr>
          <w:rFonts w:asciiTheme="majorBidi" w:hAnsiTheme="majorBidi" w:cstheme="majorBidi"/>
          <w:sz w:val="24"/>
          <w:szCs w:val="24"/>
        </w:rPr>
        <w:t xml:space="preserve">aksum, sebagaimana Mulla Sadra mengkaji kata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secara tekstual dan menegaskan melalui pendekatan riwayat.</w:t>
      </w:r>
      <w:r w:rsidR="00AA22CA" w:rsidRPr="009F77A7">
        <w:rPr>
          <w:rStyle w:val="FootnoteReference"/>
          <w:rFonts w:asciiTheme="majorBidi" w:hAnsiTheme="majorBidi" w:cstheme="majorBidi"/>
          <w:sz w:val="24"/>
          <w:szCs w:val="24"/>
        </w:rPr>
        <w:footnoteReference w:id="64"/>
      </w:r>
      <w:r w:rsidRPr="009F77A7">
        <w:rPr>
          <w:rFonts w:asciiTheme="majorBidi" w:hAnsiTheme="majorBidi" w:cstheme="majorBidi"/>
          <w:sz w:val="24"/>
          <w:szCs w:val="24"/>
        </w:rPr>
        <w:t xml:space="preserve"> </w:t>
      </w:r>
      <w:r w:rsidR="001F0D12" w:rsidRPr="009F77A7">
        <w:rPr>
          <w:rFonts w:asciiTheme="majorBidi" w:hAnsiTheme="majorBidi" w:cstheme="majorBidi"/>
          <w:sz w:val="24"/>
          <w:szCs w:val="24"/>
        </w:rPr>
        <w:t xml:space="preserve">Kemudian, metode analisis teks dikaji kembali oleh Mulla Sadra melalui kaidah </w:t>
      </w:r>
      <w:r w:rsidR="001F0D12" w:rsidRPr="009F77A7">
        <w:rPr>
          <w:rFonts w:asciiTheme="majorBidi" w:hAnsiTheme="majorBidi" w:cstheme="majorBidi"/>
          <w:i/>
          <w:iCs/>
          <w:sz w:val="24"/>
          <w:szCs w:val="24"/>
        </w:rPr>
        <w:t>rūḥ al-ma’nā</w:t>
      </w:r>
      <w:r w:rsidR="001F0D12" w:rsidRPr="009F77A7">
        <w:rPr>
          <w:rFonts w:asciiTheme="majorBidi" w:hAnsiTheme="majorBidi" w:cstheme="majorBidi"/>
          <w:sz w:val="24"/>
          <w:szCs w:val="24"/>
        </w:rPr>
        <w:t xml:space="preserve"> disimpulkan bahwa hidayah Allah swt memiliki dua karakteristik, yaitu tetap dan gerak. Hidayah yang tetap adalah petunjuk yang tidak melibatkan ikhtiar manusia, sehingga Allah swt membimbingnya secara langsung mencapai tingkat kesempurnaan, seperti para Nabi dan Imam suci. Sedangkan, hidayah gerak adalah hasil ikhtiar manusia dengan mengikuti setiap petunjuk yang diberikan Allah swt melalui referen riwayat dengan melibatkan akal untuk menganalisis jalan menuju kesempurnaan.</w:t>
      </w:r>
      <w:r w:rsidR="00AA22CA" w:rsidRPr="009F77A7">
        <w:rPr>
          <w:rStyle w:val="FootnoteReference"/>
          <w:rFonts w:asciiTheme="majorBidi" w:hAnsiTheme="majorBidi" w:cstheme="majorBidi"/>
          <w:sz w:val="24"/>
          <w:szCs w:val="24"/>
        </w:rPr>
        <w:footnoteReference w:id="65"/>
      </w:r>
      <w:r w:rsidR="001F0D12" w:rsidRPr="009F77A7">
        <w:rPr>
          <w:rFonts w:asciiTheme="majorBidi" w:hAnsiTheme="majorBidi" w:cstheme="majorBidi"/>
          <w:sz w:val="24"/>
          <w:szCs w:val="24"/>
        </w:rPr>
        <w:t xml:space="preserve"> </w:t>
      </w:r>
    </w:p>
    <w:p w:rsidR="00073463" w:rsidRPr="00073463" w:rsidRDefault="001F0D12" w:rsidP="00073463">
      <w:pPr>
        <w:autoSpaceDE w:val="0"/>
        <w:autoSpaceDN w:val="0"/>
        <w:adjustRightInd w:val="0"/>
        <w:spacing w:after="240" w:line="276" w:lineRule="auto"/>
        <w:ind w:left="851" w:firstLine="283"/>
        <w:jc w:val="both"/>
        <w:rPr>
          <w:rFonts w:asciiTheme="majorBidi" w:hAnsiTheme="majorBidi" w:cstheme="majorBidi"/>
          <w:sz w:val="24"/>
          <w:szCs w:val="24"/>
          <w:lang w:val="en-US"/>
        </w:rPr>
      </w:pPr>
      <w:r w:rsidRPr="009F77A7">
        <w:rPr>
          <w:rFonts w:asciiTheme="majorBidi" w:hAnsiTheme="majorBidi" w:cstheme="majorBidi"/>
          <w:sz w:val="24"/>
          <w:szCs w:val="24"/>
        </w:rPr>
        <w:t xml:space="preserve">Mulla Sadra menyebutkan </w:t>
      </w:r>
      <w:r w:rsidR="008A2A0B" w:rsidRPr="009F77A7">
        <w:rPr>
          <w:rFonts w:asciiTheme="majorBidi" w:hAnsiTheme="majorBidi" w:cstheme="majorBidi"/>
          <w:sz w:val="24"/>
          <w:szCs w:val="24"/>
        </w:rPr>
        <w:t xml:space="preserve">akal akan membersihkan sedikit demi sedikit noda yang memalingkan pandangannya dari hidayah Allah swt, sehingga individu yang mampu menyempurnakan akal melalui pengetahuan dan perilakunya </w:t>
      </w:r>
      <w:r w:rsidR="009E38F2" w:rsidRPr="009F77A7">
        <w:rPr>
          <w:rFonts w:asciiTheme="majorBidi" w:hAnsiTheme="majorBidi" w:cstheme="majorBidi"/>
          <w:sz w:val="24"/>
          <w:szCs w:val="24"/>
        </w:rPr>
        <w:t>merupakan</w:t>
      </w:r>
      <w:r w:rsidR="008A2A0B" w:rsidRPr="009F77A7">
        <w:rPr>
          <w:rFonts w:asciiTheme="majorBidi" w:hAnsiTheme="majorBidi" w:cstheme="majorBidi"/>
          <w:sz w:val="24"/>
          <w:szCs w:val="24"/>
        </w:rPr>
        <w:t xml:space="preserve"> proses pembersihan jiwa. Pembersihan jiwa akan membersihkan idrak batin manusia, sehingga segala hijab yang membatasi pandangannya terhadap hakikat </w:t>
      </w:r>
      <w:r w:rsidR="008A2A0B" w:rsidRPr="009F77A7">
        <w:rPr>
          <w:rFonts w:asciiTheme="majorBidi" w:hAnsiTheme="majorBidi" w:cstheme="majorBidi"/>
          <w:i/>
          <w:iCs/>
          <w:sz w:val="24"/>
          <w:szCs w:val="24"/>
        </w:rPr>
        <w:t>as-ṣirāṭ</w:t>
      </w:r>
      <w:r w:rsidR="008A2A0B" w:rsidRPr="009F77A7">
        <w:rPr>
          <w:rFonts w:asciiTheme="majorBidi" w:hAnsiTheme="majorBidi" w:cstheme="majorBidi"/>
          <w:sz w:val="24"/>
          <w:szCs w:val="24"/>
        </w:rPr>
        <w:t xml:space="preserve"> </w:t>
      </w:r>
      <w:r w:rsidR="008A2A0B" w:rsidRPr="009F77A7">
        <w:rPr>
          <w:rFonts w:asciiTheme="majorBidi" w:hAnsiTheme="majorBidi" w:cstheme="majorBidi"/>
          <w:i/>
          <w:iCs/>
          <w:sz w:val="24"/>
          <w:szCs w:val="24"/>
        </w:rPr>
        <w:t xml:space="preserve">al-mustaqīm </w:t>
      </w:r>
      <w:r w:rsidR="00115849" w:rsidRPr="009F77A7">
        <w:rPr>
          <w:rFonts w:asciiTheme="majorBidi" w:hAnsiTheme="majorBidi" w:cstheme="majorBidi"/>
          <w:sz w:val="24"/>
          <w:szCs w:val="24"/>
        </w:rPr>
        <w:t>akan terangkat atau tersingkap.</w:t>
      </w:r>
      <w:r w:rsidR="00AA22CA" w:rsidRPr="009F77A7">
        <w:rPr>
          <w:rStyle w:val="FootnoteReference"/>
          <w:rFonts w:asciiTheme="majorBidi" w:hAnsiTheme="majorBidi" w:cstheme="majorBidi"/>
          <w:sz w:val="24"/>
          <w:szCs w:val="24"/>
        </w:rPr>
        <w:footnoteReference w:id="66"/>
      </w:r>
      <w:r w:rsidR="00115849" w:rsidRPr="009F77A7">
        <w:rPr>
          <w:rFonts w:asciiTheme="majorBidi" w:hAnsiTheme="majorBidi" w:cstheme="majorBidi"/>
          <w:sz w:val="24"/>
          <w:szCs w:val="24"/>
        </w:rPr>
        <w:t xml:space="preserve"> Tersingkapnya hijab penghalang </w:t>
      </w:r>
      <w:r w:rsidR="00115849" w:rsidRPr="009F77A7">
        <w:rPr>
          <w:rFonts w:asciiTheme="majorBidi" w:hAnsiTheme="majorBidi" w:cstheme="majorBidi"/>
          <w:sz w:val="24"/>
          <w:szCs w:val="24"/>
        </w:rPr>
        <w:lastRenderedPageBreak/>
        <w:t xml:space="preserve">akan mengantarkan manusia pada sebuah pemahaman bahwa setiap manusia memiliki jalan dengan tujuan berbeda, sebagaimana telah dijelaskan pada pembahasan sebelumnya. Dengan demikian, dapat dipahami bahwa makna term </w:t>
      </w:r>
      <w:r w:rsidR="00115849" w:rsidRPr="009F77A7">
        <w:rPr>
          <w:rFonts w:asciiTheme="majorBidi" w:hAnsiTheme="majorBidi" w:cstheme="majorBidi"/>
          <w:i/>
          <w:iCs/>
          <w:sz w:val="24"/>
          <w:szCs w:val="24"/>
        </w:rPr>
        <w:t>as-ṣirāṭ</w:t>
      </w:r>
      <w:r w:rsidR="00115849" w:rsidRPr="009F77A7">
        <w:rPr>
          <w:rFonts w:asciiTheme="majorBidi" w:hAnsiTheme="majorBidi" w:cstheme="majorBidi"/>
          <w:sz w:val="24"/>
          <w:szCs w:val="24"/>
        </w:rPr>
        <w:t xml:space="preserve"> </w:t>
      </w:r>
      <w:r w:rsidR="00115849" w:rsidRPr="009F77A7">
        <w:rPr>
          <w:rFonts w:asciiTheme="majorBidi" w:hAnsiTheme="majorBidi" w:cstheme="majorBidi"/>
          <w:i/>
          <w:iCs/>
          <w:sz w:val="24"/>
          <w:szCs w:val="24"/>
        </w:rPr>
        <w:t xml:space="preserve">al-mustaqīm </w:t>
      </w:r>
      <w:r w:rsidR="00115849" w:rsidRPr="009F77A7">
        <w:rPr>
          <w:rFonts w:asciiTheme="majorBidi" w:hAnsiTheme="majorBidi" w:cstheme="majorBidi"/>
          <w:sz w:val="24"/>
          <w:szCs w:val="24"/>
        </w:rPr>
        <w:t xml:space="preserve">merupakan hidayah yang diberikan oleh Allah swt kepada setiap hambanya untuk melewati jalannya masing-masing di akhirat. Adapun hakikat dari </w:t>
      </w:r>
      <w:r w:rsidR="00115849" w:rsidRPr="009F77A7">
        <w:rPr>
          <w:rFonts w:asciiTheme="majorBidi" w:hAnsiTheme="majorBidi" w:cstheme="majorBidi"/>
          <w:i/>
          <w:iCs/>
          <w:sz w:val="24"/>
          <w:szCs w:val="24"/>
        </w:rPr>
        <w:t>as-ṣirāṭ</w:t>
      </w:r>
      <w:r w:rsidR="00115849" w:rsidRPr="009F77A7">
        <w:rPr>
          <w:rFonts w:asciiTheme="majorBidi" w:hAnsiTheme="majorBidi" w:cstheme="majorBidi"/>
          <w:sz w:val="24"/>
          <w:szCs w:val="24"/>
        </w:rPr>
        <w:t xml:space="preserve"> </w:t>
      </w:r>
      <w:r w:rsidR="00115849" w:rsidRPr="009F77A7">
        <w:rPr>
          <w:rFonts w:asciiTheme="majorBidi" w:hAnsiTheme="majorBidi" w:cstheme="majorBidi"/>
          <w:i/>
          <w:iCs/>
          <w:sz w:val="24"/>
          <w:szCs w:val="24"/>
        </w:rPr>
        <w:t xml:space="preserve">al-mustaqīm </w:t>
      </w:r>
      <w:r w:rsidR="00115849" w:rsidRPr="009F77A7">
        <w:rPr>
          <w:rFonts w:asciiTheme="majorBidi" w:hAnsiTheme="majorBidi" w:cstheme="majorBidi"/>
          <w:sz w:val="24"/>
          <w:szCs w:val="24"/>
        </w:rPr>
        <w:t xml:space="preserve">menurut penakwilan Mulla Sadra adalah proses penyempurnakan eksistensi manusia untuk mendekatkan diri kepada-Nya. </w:t>
      </w:r>
    </w:p>
    <w:p w:rsidR="00554A2F" w:rsidRPr="00062CDB" w:rsidRDefault="00554A2F" w:rsidP="00073463">
      <w:pPr>
        <w:autoSpaceDE w:val="0"/>
        <w:autoSpaceDN w:val="0"/>
        <w:adjustRightInd w:val="0"/>
        <w:spacing w:after="120" w:line="240" w:lineRule="auto"/>
        <w:ind w:firstLine="426"/>
        <w:jc w:val="both"/>
        <w:rPr>
          <w:rFonts w:asciiTheme="majorBidi" w:hAnsiTheme="majorBidi" w:cstheme="majorBidi"/>
          <w:b/>
          <w:bCs/>
          <w:sz w:val="24"/>
          <w:szCs w:val="24"/>
        </w:rPr>
      </w:pPr>
      <w:r w:rsidRPr="00062CDB">
        <w:rPr>
          <w:rFonts w:asciiTheme="majorBidi" w:hAnsiTheme="majorBidi" w:cstheme="majorBidi"/>
          <w:b/>
          <w:bCs/>
          <w:sz w:val="24"/>
          <w:szCs w:val="24"/>
        </w:rPr>
        <w:t>Kesimpulan</w:t>
      </w:r>
    </w:p>
    <w:p w:rsidR="00B46716" w:rsidRPr="009F77A7" w:rsidRDefault="00FF60B6" w:rsidP="00073463">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Berdasarkan pmbahasan sebelumnya mengenai takwil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dalam pandangan Mulla Sadra dapat disimpulkan bahwa Mulla Sadra mengkaji term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melalui dua pendekatan yaitu </w:t>
      </w:r>
      <w:r w:rsidR="00843A5F" w:rsidRPr="009F77A7">
        <w:rPr>
          <w:rFonts w:asciiTheme="majorBidi" w:hAnsiTheme="majorBidi" w:cstheme="majorBidi"/>
          <w:sz w:val="24"/>
          <w:szCs w:val="24"/>
        </w:rPr>
        <w:t>metode analisis teks</w:t>
      </w:r>
      <w:r w:rsidRPr="009F77A7">
        <w:rPr>
          <w:rFonts w:asciiTheme="majorBidi" w:hAnsiTheme="majorBidi" w:cstheme="majorBidi"/>
          <w:sz w:val="24"/>
          <w:szCs w:val="24"/>
        </w:rPr>
        <w:t xml:space="preserve"> dan </w:t>
      </w:r>
      <w:r w:rsidR="00843A5F" w:rsidRPr="009F77A7">
        <w:rPr>
          <w:rFonts w:asciiTheme="majorBidi" w:hAnsiTheme="majorBidi" w:cstheme="majorBidi"/>
          <w:i/>
          <w:iCs/>
          <w:sz w:val="24"/>
          <w:szCs w:val="24"/>
        </w:rPr>
        <w:t xml:space="preserve">mukashāfah. </w:t>
      </w:r>
      <w:r w:rsidR="00843A5F" w:rsidRPr="009F77A7">
        <w:rPr>
          <w:rFonts w:asciiTheme="majorBidi" w:hAnsiTheme="majorBidi" w:cstheme="majorBidi"/>
          <w:sz w:val="24"/>
          <w:szCs w:val="24"/>
        </w:rPr>
        <w:t xml:space="preserve">Metode analisis teks bertujuan untuk mengetahui makna lahiriah dari suatu teks, sehingga penafsiran </w:t>
      </w:r>
      <w:r w:rsidR="00843A5F" w:rsidRPr="009F77A7">
        <w:rPr>
          <w:rFonts w:asciiTheme="majorBidi" w:hAnsiTheme="majorBidi" w:cstheme="majorBidi"/>
          <w:i/>
          <w:iCs/>
          <w:sz w:val="24"/>
          <w:szCs w:val="24"/>
        </w:rPr>
        <w:t xml:space="preserve">mukashāfah </w:t>
      </w:r>
      <w:r w:rsidR="00843A5F" w:rsidRPr="009F77A7">
        <w:rPr>
          <w:rFonts w:asciiTheme="majorBidi" w:hAnsiTheme="majorBidi" w:cstheme="majorBidi"/>
          <w:sz w:val="24"/>
          <w:szCs w:val="24"/>
        </w:rPr>
        <w:t xml:space="preserve">tidak keluar dari jalur teks. Mulla Sadra menjelaskan bahwa metode analisis teks mengkaji setiap akar kata, bahasa, dan kalimat mengenai term </w:t>
      </w:r>
      <w:r w:rsidR="00843A5F" w:rsidRPr="009F77A7">
        <w:rPr>
          <w:rFonts w:asciiTheme="majorBidi" w:hAnsiTheme="majorBidi" w:cstheme="majorBidi"/>
          <w:i/>
          <w:iCs/>
          <w:sz w:val="24"/>
          <w:szCs w:val="24"/>
        </w:rPr>
        <w:t>as-ṣirāṭ</w:t>
      </w:r>
      <w:r w:rsidR="00843A5F" w:rsidRPr="009F77A7">
        <w:rPr>
          <w:rFonts w:asciiTheme="majorBidi" w:hAnsiTheme="majorBidi" w:cstheme="majorBidi"/>
          <w:sz w:val="24"/>
          <w:szCs w:val="24"/>
        </w:rPr>
        <w:t xml:space="preserve"> </w:t>
      </w:r>
      <w:r w:rsidR="00843A5F" w:rsidRPr="009F77A7">
        <w:rPr>
          <w:rFonts w:asciiTheme="majorBidi" w:hAnsiTheme="majorBidi" w:cstheme="majorBidi"/>
          <w:i/>
          <w:iCs/>
          <w:sz w:val="24"/>
          <w:szCs w:val="24"/>
        </w:rPr>
        <w:t xml:space="preserve">al-mustaqīm </w:t>
      </w:r>
      <w:r w:rsidR="00843A5F" w:rsidRPr="009F77A7">
        <w:rPr>
          <w:rFonts w:asciiTheme="majorBidi" w:hAnsiTheme="majorBidi" w:cstheme="majorBidi"/>
          <w:sz w:val="24"/>
          <w:szCs w:val="24"/>
        </w:rPr>
        <w:t xml:space="preserve">dengan melibatkan kaidah </w:t>
      </w:r>
      <w:r w:rsidR="00843A5F" w:rsidRPr="009F77A7">
        <w:rPr>
          <w:rFonts w:asciiTheme="majorBidi" w:hAnsiTheme="majorBidi" w:cstheme="majorBidi"/>
          <w:i/>
          <w:iCs/>
          <w:sz w:val="24"/>
          <w:szCs w:val="24"/>
        </w:rPr>
        <w:t xml:space="preserve">rūḥ al-ma’nā. </w:t>
      </w:r>
      <w:r w:rsidR="00843A5F" w:rsidRPr="009F77A7">
        <w:rPr>
          <w:rFonts w:asciiTheme="majorBidi" w:hAnsiTheme="majorBidi" w:cstheme="majorBidi"/>
          <w:sz w:val="24"/>
          <w:szCs w:val="24"/>
        </w:rPr>
        <w:t xml:space="preserve">Kaidah </w:t>
      </w:r>
      <w:r w:rsidR="00843A5F" w:rsidRPr="009F77A7">
        <w:rPr>
          <w:rFonts w:asciiTheme="majorBidi" w:hAnsiTheme="majorBidi" w:cstheme="majorBidi"/>
          <w:i/>
          <w:iCs/>
          <w:sz w:val="24"/>
          <w:szCs w:val="24"/>
        </w:rPr>
        <w:t xml:space="preserve">rūḥ al-ma’nā </w:t>
      </w:r>
      <w:r w:rsidR="00843A5F" w:rsidRPr="009F77A7">
        <w:rPr>
          <w:rFonts w:asciiTheme="majorBidi" w:hAnsiTheme="majorBidi" w:cstheme="majorBidi"/>
          <w:sz w:val="24"/>
          <w:szCs w:val="24"/>
        </w:rPr>
        <w:t xml:space="preserve">dalam takwil </w:t>
      </w:r>
      <w:r w:rsidR="00843A5F" w:rsidRPr="009F77A7">
        <w:rPr>
          <w:rFonts w:asciiTheme="majorBidi" w:hAnsiTheme="majorBidi" w:cstheme="majorBidi"/>
          <w:i/>
          <w:iCs/>
          <w:sz w:val="24"/>
          <w:szCs w:val="24"/>
        </w:rPr>
        <w:t>as-ṣirāṭ</w:t>
      </w:r>
      <w:r w:rsidR="00843A5F" w:rsidRPr="009F77A7">
        <w:rPr>
          <w:rFonts w:asciiTheme="majorBidi" w:hAnsiTheme="majorBidi" w:cstheme="majorBidi"/>
          <w:sz w:val="24"/>
          <w:szCs w:val="24"/>
        </w:rPr>
        <w:t xml:space="preserve"> </w:t>
      </w:r>
      <w:r w:rsidR="00843A5F" w:rsidRPr="009F77A7">
        <w:rPr>
          <w:rFonts w:asciiTheme="majorBidi" w:hAnsiTheme="majorBidi" w:cstheme="majorBidi"/>
          <w:i/>
          <w:iCs/>
          <w:sz w:val="24"/>
          <w:szCs w:val="24"/>
        </w:rPr>
        <w:t xml:space="preserve">al-mustaqīm </w:t>
      </w:r>
      <w:r w:rsidR="00843A5F" w:rsidRPr="009F77A7">
        <w:rPr>
          <w:rFonts w:asciiTheme="majorBidi" w:hAnsiTheme="majorBidi" w:cstheme="majorBidi"/>
          <w:sz w:val="24"/>
          <w:szCs w:val="24"/>
        </w:rPr>
        <w:t xml:space="preserve">bertujuan untuk menemukan redaksi universal yang terdapat di setiap istilah jalan yang lurus dalam Alquran. Berdasarkan kaidah </w:t>
      </w:r>
      <w:r w:rsidR="00843A5F" w:rsidRPr="009F77A7">
        <w:rPr>
          <w:rFonts w:asciiTheme="majorBidi" w:hAnsiTheme="majorBidi" w:cstheme="majorBidi"/>
          <w:i/>
          <w:iCs/>
          <w:sz w:val="24"/>
          <w:szCs w:val="24"/>
        </w:rPr>
        <w:t xml:space="preserve">rūḥ al-ma’nā, </w:t>
      </w:r>
      <w:r w:rsidR="00843A5F" w:rsidRPr="009F77A7">
        <w:rPr>
          <w:rFonts w:asciiTheme="majorBidi" w:hAnsiTheme="majorBidi" w:cstheme="majorBidi"/>
          <w:sz w:val="24"/>
          <w:szCs w:val="24"/>
        </w:rPr>
        <w:t xml:space="preserve">diketahui bahwa </w:t>
      </w:r>
      <w:r w:rsidR="00843A5F" w:rsidRPr="009F77A7">
        <w:rPr>
          <w:rFonts w:asciiTheme="majorBidi" w:hAnsiTheme="majorBidi" w:cstheme="majorBidi"/>
          <w:i/>
          <w:iCs/>
          <w:sz w:val="24"/>
          <w:szCs w:val="24"/>
        </w:rPr>
        <w:t>as-ṣirāṭ</w:t>
      </w:r>
      <w:r w:rsidR="00843A5F" w:rsidRPr="009F77A7">
        <w:rPr>
          <w:rFonts w:asciiTheme="majorBidi" w:hAnsiTheme="majorBidi" w:cstheme="majorBidi"/>
          <w:sz w:val="24"/>
          <w:szCs w:val="24"/>
        </w:rPr>
        <w:t xml:space="preserve"> </w:t>
      </w:r>
      <w:r w:rsidR="00843A5F" w:rsidRPr="009F77A7">
        <w:rPr>
          <w:rFonts w:asciiTheme="majorBidi" w:hAnsiTheme="majorBidi" w:cstheme="majorBidi"/>
          <w:i/>
          <w:iCs/>
          <w:sz w:val="24"/>
          <w:szCs w:val="24"/>
        </w:rPr>
        <w:t xml:space="preserve">al-mustaqīm </w:t>
      </w:r>
      <w:r w:rsidR="00843A5F" w:rsidRPr="009F77A7">
        <w:rPr>
          <w:rFonts w:asciiTheme="majorBidi" w:hAnsiTheme="majorBidi" w:cstheme="majorBidi"/>
          <w:sz w:val="24"/>
          <w:szCs w:val="24"/>
        </w:rPr>
        <w:t>berarti petunjuk</w:t>
      </w:r>
      <w:r w:rsidR="001B4DBC" w:rsidRPr="009F77A7">
        <w:rPr>
          <w:rFonts w:asciiTheme="majorBidi" w:hAnsiTheme="majorBidi" w:cstheme="majorBidi"/>
          <w:sz w:val="24"/>
          <w:szCs w:val="24"/>
        </w:rPr>
        <w:t>, ibadah penyembahan, dan kesempurnaan eksistensi manusia</w:t>
      </w:r>
      <w:r w:rsidR="00843A5F" w:rsidRPr="009F77A7">
        <w:rPr>
          <w:rFonts w:asciiTheme="majorBidi" w:hAnsiTheme="majorBidi" w:cstheme="majorBidi"/>
          <w:sz w:val="24"/>
          <w:szCs w:val="24"/>
        </w:rPr>
        <w:t>.</w:t>
      </w:r>
    </w:p>
    <w:p w:rsidR="00793434" w:rsidRPr="009F77A7" w:rsidRDefault="00B46716" w:rsidP="00EF23A8">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t xml:space="preserve">Penjelasan makna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 xml:space="preserve">secara tekstual mulai dikembangkan Mulla Sadra melalui metode </w:t>
      </w:r>
      <w:r w:rsidRPr="009F77A7">
        <w:rPr>
          <w:rFonts w:asciiTheme="majorBidi" w:hAnsiTheme="majorBidi" w:cstheme="majorBidi"/>
          <w:i/>
          <w:iCs/>
          <w:sz w:val="24"/>
          <w:szCs w:val="24"/>
        </w:rPr>
        <w:t>mukashāfah</w:t>
      </w:r>
      <w:r w:rsidRPr="009F77A7">
        <w:rPr>
          <w:rFonts w:asciiTheme="majorBidi" w:hAnsiTheme="majorBidi" w:cstheme="majorBidi"/>
          <w:sz w:val="24"/>
          <w:szCs w:val="24"/>
        </w:rPr>
        <w:t xml:space="preserve">, setelah melalui proses penyucian jiwa sebagai syarat utama mencapai </w:t>
      </w:r>
      <w:r w:rsidRPr="009F77A7">
        <w:rPr>
          <w:rFonts w:asciiTheme="majorBidi" w:hAnsiTheme="majorBidi" w:cstheme="majorBidi"/>
          <w:i/>
          <w:iCs/>
          <w:sz w:val="24"/>
          <w:szCs w:val="24"/>
        </w:rPr>
        <w:t>mukashāfah.</w:t>
      </w:r>
      <w:r w:rsidRPr="009F77A7">
        <w:rPr>
          <w:rFonts w:asciiTheme="majorBidi" w:hAnsiTheme="majorBidi" w:cstheme="majorBidi"/>
          <w:sz w:val="24"/>
          <w:szCs w:val="24"/>
        </w:rPr>
        <w:t xml:space="preserve"> Berdasarkan metode </w:t>
      </w:r>
      <w:r w:rsidRPr="009F77A7">
        <w:rPr>
          <w:rFonts w:asciiTheme="majorBidi" w:hAnsiTheme="majorBidi" w:cstheme="majorBidi"/>
          <w:i/>
          <w:iCs/>
          <w:sz w:val="24"/>
          <w:szCs w:val="24"/>
        </w:rPr>
        <w:t>mukashāfah,</w:t>
      </w:r>
      <w:r w:rsidRPr="009F77A7">
        <w:rPr>
          <w:rFonts w:asciiTheme="majorBidi" w:hAnsiTheme="majorBidi" w:cstheme="majorBidi"/>
          <w:sz w:val="24"/>
          <w:szCs w:val="24"/>
        </w:rPr>
        <w:t xml:space="preserve"> Mulla Sadra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al-mustaqīm </w:t>
      </w:r>
      <w:r w:rsidRPr="009F77A7">
        <w:rPr>
          <w:rFonts w:asciiTheme="majorBidi" w:hAnsiTheme="majorBidi" w:cstheme="majorBidi"/>
          <w:sz w:val="24"/>
          <w:szCs w:val="24"/>
        </w:rPr>
        <w:t>merupakan jalan yang satu memiliki tiga tingkatan</w:t>
      </w:r>
      <w:r w:rsidR="005C7002" w:rsidRPr="009F77A7">
        <w:rPr>
          <w:rFonts w:asciiTheme="majorBidi" w:hAnsiTheme="majorBidi" w:cstheme="majorBidi"/>
          <w:sz w:val="24"/>
          <w:szCs w:val="24"/>
        </w:rPr>
        <w:t>. Tingkatan pertama, ialah</w:t>
      </w:r>
      <w:r w:rsidRPr="009F77A7">
        <w:rPr>
          <w:rFonts w:asciiTheme="majorBidi" w:hAnsiTheme="majorBidi" w:cstheme="majorBidi"/>
          <w:sz w:val="24"/>
          <w:szCs w:val="24"/>
        </w:rPr>
        <w:t xml:space="preserve"> jalan lurus esensial yang diperoleh melalui petunjuk Allah swt secara langsung. Individu yang berada pada jalan yang lurus esensial akan terhindari dari berbagai kesengsaraan, sebab Allah swt yang menjaga keselamatannya selama menapaki jalan yang lurus. </w:t>
      </w:r>
      <w:r w:rsidR="007D1204" w:rsidRPr="009F77A7">
        <w:rPr>
          <w:rFonts w:asciiTheme="majorBidi" w:hAnsiTheme="majorBidi" w:cstheme="majorBidi"/>
          <w:sz w:val="24"/>
          <w:szCs w:val="24"/>
        </w:rPr>
        <w:t>Tingkatan kedua, yaitu</w:t>
      </w:r>
      <w:r w:rsidR="00B12D29" w:rsidRPr="009F77A7">
        <w:rPr>
          <w:rFonts w:asciiTheme="majorBidi" w:hAnsiTheme="majorBidi" w:cstheme="majorBidi"/>
          <w:sz w:val="24"/>
          <w:szCs w:val="24"/>
        </w:rPr>
        <w:t xml:space="preserve"> </w:t>
      </w:r>
      <w:r w:rsidR="00B12D29" w:rsidRPr="009F77A7">
        <w:rPr>
          <w:rFonts w:asciiTheme="majorBidi" w:hAnsiTheme="majorBidi" w:cstheme="majorBidi"/>
          <w:i/>
          <w:iCs/>
          <w:sz w:val="24"/>
          <w:szCs w:val="24"/>
        </w:rPr>
        <w:t>as-ṣirāṭ</w:t>
      </w:r>
      <w:r w:rsidR="00B12D29" w:rsidRPr="009F77A7">
        <w:rPr>
          <w:rFonts w:asciiTheme="majorBidi" w:hAnsiTheme="majorBidi" w:cstheme="majorBidi"/>
          <w:sz w:val="24"/>
          <w:szCs w:val="24"/>
        </w:rPr>
        <w:t xml:space="preserve"> </w:t>
      </w:r>
      <w:r w:rsidR="00B12D29" w:rsidRPr="009F77A7">
        <w:rPr>
          <w:rFonts w:asciiTheme="majorBidi" w:hAnsiTheme="majorBidi" w:cstheme="majorBidi"/>
          <w:i/>
          <w:iCs/>
          <w:sz w:val="24"/>
          <w:szCs w:val="24"/>
        </w:rPr>
        <w:t>al-mustaqīm</w:t>
      </w:r>
      <w:r w:rsidR="00B12D29" w:rsidRPr="009F77A7">
        <w:rPr>
          <w:rFonts w:asciiTheme="majorBidi" w:hAnsiTheme="majorBidi" w:cstheme="majorBidi"/>
          <w:sz w:val="24"/>
          <w:szCs w:val="24"/>
        </w:rPr>
        <w:t xml:space="preserve"> </w:t>
      </w:r>
      <w:r w:rsidR="00793434" w:rsidRPr="009F77A7">
        <w:rPr>
          <w:rFonts w:asciiTheme="majorBidi" w:hAnsiTheme="majorBidi" w:cstheme="majorBidi"/>
          <w:sz w:val="24"/>
          <w:szCs w:val="24"/>
        </w:rPr>
        <w:t>merupakan proses penghambaan manusia kepada Allah swt. Allah swt telah memberikan akal dan petunjuk kepada manusia yang disampaikan kepada Nabi, Imam, dan sahabat suci untuk menjauhi segala larangan dan menjalankan perintah-Nya. Manusia memiliki pilihan untuk menentukan eksistensinya berada di dekat Allah swt dengan menjalankan perintah-Nya atau justru mengerjakan ragam larangan-Nya yang mendeskripsikan jauhnya eksistensi manusia dan Allah swt.</w:t>
      </w:r>
      <w:r w:rsidR="009E0D4D" w:rsidRPr="009F77A7">
        <w:rPr>
          <w:rFonts w:asciiTheme="majorBidi" w:hAnsiTheme="majorBidi" w:cstheme="majorBidi"/>
          <w:sz w:val="24"/>
          <w:szCs w:val="24"/>
        </w:rPr>
        <w:t xml:space="preserve"> Mulla Sadra menyebutkan pembagian kedua sebagai jalan yang lurus ikhtiar. </w:t>
      </w:r>
    </w:p>
    <w:p w:rsidR="00B74429" w:rsidRDefault="008D6C2C" w:rsidP="00EF23A8">
      <w:pPr>
        <w:autoSpaceDE w:val="0"/>
        <w:autoSpaceDN w:val="0"/>
        <w:adjustRightInd w:val="0"/>
        <w:spacing w:after="120" w:line="360" w:lineRule="auto"/>
        <w:ind w:left="426" w:firstLine="283"/>
        <w:jc w:val="both"/>
        <w:rPr>
          <w:rFonts w:asciiTheme="majorBidi" w:hAnsiTheme="majorBidi" w:cstheme="majorBidi"/>
          <w:sz w:val="24"/>
          <w:szCs w:val="24"/>
        </w:rPr>
      </w:pPr>
      <w:r w:rsidRPr="009F77A7">
        <w:rPr>
          <w:rFonts w:asciiTheme="majorBidi" w:hAnsiTheme="majorBidi" w:cstheme="majorBidi"/>
          <w:sz w:val="24"/>
          <w:szCs w:val="24"/>
        </w:rPr>
        <w:lastRenderedPageBreak/>
        <w:t>Jauh dan dekat</w:t>
      </w:r>
      <w:r w:rsidR="005015C7" w:rsidRPr="009F77A7">
        <w:rPr>
          <w:rFonts w:asciiTheme="majorBidi" w:hAnsiTheme="majorBidi" w:cstheme="majorBidi"/>
          <w:sz w:val="24"/>
          <w:szCs w:val="24"/>
        </w:rPr>
        <w:t>nya</w:t>
      </w:r>
      <w:r w:rsidRPr="009F77A7">
        <w:rPr>
          <w:rFonts w:asciiTheme="majorBidi" w:hAnsiTheme="majorBidi" w:cstheme="majorBidi"/>
          <w:sz w:val="24"/>
          <w:szCs w:val="24"/>
        </w:rPr>
        <w:t xml:space="preserve"> eksistensi manusia kepada Allah swt</w:t>
      </w:r>
      <w:r w:rsidR="005015C7" w:rsidRPr="009F77A7">
        <w:rPr>
          <w:rFonts w:asciiTheme="majorBidi" w:hAnsiTheme="majorBidi" w:cstheme="majorBidi"/>
          <w:sz w:val="24"/>
          <w:szCs w:val="24"/>
        </w:rPr>
        <w:t>,</w:t>
      </w:r>
      <w:r w:rsidRPr="009F77A7">
        <w:rPr>
          <w:rFonts w:asciiTheme="majorBidi" w:hAnsiTheme="majorBidi" w:cstheme="majorBidi"/>
          <w:sz w:val="24"/>
          <w:szCs w:val="24"/>
        </w:rPr>
        <w:t xml:space="preserve"> akan mendeskripsikan kesempurnaan keberadaannya di akhirat. Manusia yang mengaktualkan ragam perintah-Nya akan mengarahkan dirinya pada kebahagiaan di akhirat sebagai bentuk kesempurnaan eksistensi. Sebaliknya, manusia yang mengaktualkan ragam larangan-Nya akan </w:t>
      </w:r>
      <w:r w:rsidR="00DF1052" w:rsidRPr="009F77A7">
        <w:rPr>
          <w:rFonts w:asciiTheme="majorBidi" w:hAnsiTheme="majorBidi" w:cstheme="majorBidi"/>
          <w:sz w:val="24"/>
          <w:szCs w:val="24"/>
        </w:rPr>
        <w:t>membawa</w:t>
      </w:r>
      <w:r w:rsidRPr="009F77A7">
        <w:rPr>
          <w:rFonts w:asciiTheme="majorBidi" w:hAnsiTheme="majorBidi" w:cstheme="majorBidi"/>
          <w:sz w:val="24"/>
          <w:szCs w:val="24"/>
        </w:rPr>
        <w:t xml:space="preserve"> dirinya menuju kesengsaraan sebagai bentuk ketidaksempurnaan eksistensinya di akhirat. Dengan demikian dapat dipahami bahwa makna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Pr="009F77A7">
        <w:rPr>
          <w:rFonts w:asciiTheme="majorBidi" w:hAnsiTheme="majorBidi" w:cstheme="majorBidi"/>
          <w:sz w:val="24"/>
          <w:szCs w:val="24"/>
        </w:rPr>
        <w:t xml:space="preserve"> adalah hidayah yang diberikan kepada Allah swt untuk membimbing manusia menuju sebuah kesempurnaan. Sedangkan, hakikat </w:t>
      </w:r>
      <w:r w:rsidRPr="009F77A7">
        <w:rPr>
          <w:rFonts w:asciiTheme="majorBidi" w:hAnsiTheme="majorBidi" w:cstheme="majorBidi"/>
          <w:i/>
          <w:iCs/>
          <w:sz w:val="24"/>
          <w:szCs w:val="24"/>
        </w:rPr>
        <w:t>as-ṣirāṭ</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al-mustaqīm</w:t>
      </w:r>
      <w:r w:rsidRPr="009F77A7">
        <w:rPr>
          <w:rFonts w:asciiTheme="majorBidi" w:hAnsiTheme="majorBidi" w:cstheme="majorBidi"/>
          <w:sz w:val="24"/>
          <w:szCs w:val="24"/>
        </w:rPr>
        <w:t xml:space="preserve"> ialah proses mencapai kebahagiaan dan kesengsaraan sebagai bentuk kesempurnaan eksistensinya di akhirat. </w:t>
      </w:r>
      <w:r w:rsidR="00D80483" w:rsidRPr="009F77A7">
        <w:rPr>
          <w:rFonts w:asciiTheme="majorBidi" w:hAnsiTheme="majorBidi" w:cstheme="majorBidi"/>
          <w:sz w:val="24"/>
          <w:szCs w:val="24"/>
        </w:rPr>
        <w:t xml:space="preserve">Menurut Mulla Sadra, setiap manusia memiliki jalan yang lurus, akan tetapi tujuan dari jalan yang lurus berbeda-beda bergantung pada aktualitas perintah dan larangan Allah swt. </w:t>
      </w:r>
      <w:r w:rsidRPr="009F77A7">
        <w:rPr>
          <w:rFonts w:asciiTheme="majorBidi" w:hAnsiTheme="majorBidi" w:cstheme="majorBidi"/>
          <w:sz w:val="24"/>
          <w:szCs w:val="24"/>
        </w:rPr>
        <w:t xml:space="preserve"> </w:t>
      </w:r>
      <w:r w:rsidR="00A027FA" w:rsidRPr="009F77A7">
        <w:rPr>
          <w:rFonts w:asciiTheme="majorBidi" w:hAnsiTheme="majorBidi" w:cstheme="majorBidi"/>
          <w:sz w:val="24"/>
          <w:szCs w:val="24"/>
        </w:rPr>
        <w:t xml:space="preserve"> </w:t>
      </w:r>
    </w:p>
    <w:p w:rsidR="00EF23A8" w:rsidRDefault="00EF23A8"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073463" w:rsidRPr="00073463" w:rsidRDefault="00073463" w:rsidP="00EF23A8">
      <w:pPr>
        <w:autoSpaceDE w:val="0"/>
        <w:autoSpaceDN w:val="0"/>
        <w:adjustRightInd w:val="0"/>
        <w:spacing w:after="120" w:line="360" w:lineRule="auto"/>
        <w:ind w:left="426" w:firstLine="283"/>
        <w:jc w:val="both"/>
        <w:rPr>
          <w:rFonts w:asciiTheme="majorBidi" w:hAnsiTheme="majorBidi" w:cstheme="majorBidi"/>
          <w:sz w:val="24"/>
          <w:szCs w:val="24"/>
          <w:lang w:val="en-US"/>
        </w:rPr>
      </w:pPr>
    </w:p>
    <w:p w:rsidR="00554A2F" w:rsidRPr="009F77A7" w:rsidRDefault="00554A2F" w:rsidP="00554A2F">
      <w:pPr>
        <w:autoSpaceDE w:val="0"/>
        <w:autoSpaceDN w:val="0"/>
        <w:adjustRightInd w:val="0"/>
        <w:spacing w:after="0" w:line="240" w:lineRule="auto"/>
        <w:jc w:val="center"/>
        <w:rPr>
          <w:rFonts w:asciiTheme="majorBidi" w:hAnsiTheme="majorBidi" w:cstheme="majorBidi"/>
          <w:b/>
          <w:bCs/>
          <w:sz w:val="24"/>
          <w:szCs w:val="24"/>
        </w:rPr>
      </w:pPr>
      <w:r w:rsidRPr="009F77A7">
        <w:rPr>
          <w:rFonts w:asciiTheme="majorBidi" w:hAnsiTheme="majorBidi" w:cstheme="majorBidi"/>
          <w:b/>
          <w:bCs/>
          <w:sz w:val="24"/>
          <w:szCs w:val="24"/>
        </w:rPr>
        <w:lastRenderedPageBreak/>
        <w:t>DAFTAR PUSTAKA</w:t>
      </w:r>
    </w:p>
    <w:p w:rsidR="00554A2F" w:rsidRPr="009F77A7" w:rsidRDefault="00554A2F" w:rsidP="00554A2F">
      <w:pPr>
        <w:autoSpaceDE w:val="0"/>
        <w:autoSpaceDN w:val="0"/>
        <w:adjustRightInd w:val="0"/>
        <w:spacing w:after="0" w:line="240" w:lineRule="auto"/>
        <w:jc w:val="both"/>
        <w:rPr>
          <w:rFonts w:asciiTheme="majorBidi" w:hAnsiTheme="majorBidi" w:cstheme="majorBidi"/>
          <w:b/>
          <w:bCs/>
          <w:sz w:val="24"/>
          <w:szCs w:val="24"/>
        </w:rPr>
      </w:pPr>
    </w:p>
    <w:p w:rsidR="004A5CEF" w:rsidRPr="009F77A7" w:rsidRDefault="004A5CEF" w:rsidP="002C2504">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Ali, Mohammad. </w:t>
      </w:r>
      <w:r w:rsidRPr="009F77A7">
        <w:rPr>
          <w:rFonts w:asciiTheme="majorBidi" w:hAnsiTheme="majorBidi" w:cstheme="majorBidi"/>
          <w:i/>
          <w:iCs/>
          <w:sz w:val="24"/>
          <w:szCs w:val="24"/>
        </w:rPr>
        <w:t>Memahami Riset</w:t>
      </w:r>
      <w:r w:rsidRPr="009F77A7">
        <w:rPr>
          <w:rFonts w:asciiTheme="majorBidi" w:hAnsiTheme="majorBidi" w:cstheme="majorBidi"/>
          <w:sz w:val="24"/>
          <w:szCs w:val="24"/>
        </w:rPr>
        <w:t xml:space="preserve">. </w:t>
      </w:r>
      <w:r w:rsidR="002C2504">
        <w:rPr>
          <w:rFonts w:asciiTheme="majorBidi" w:hAnsiTheme="majorBidi" w:cstheme="majorBidi"/>
          <w:sz w:val="24"/>
          <w:szCs w:val="24"/>
        </w:rPr>
        <w:t xml:space="preserve">Jakarta: Pustaka Cendikia Utama, </w:t>
      </w:r>
      <w:r w:rsidR="002C2504" w:rsidRPr="009F77A7">
        <w:rPr>
          <w:rFonts w:asciiTheme="majorBidi" w:hAnsiTheme="majorBidi" w:cstheme="majorBidi"/>
          <w:sz w:val="24"/>
          <w:szCs w:val="24"/>
        </w:rPr>
        <w:t>2011.</w:t>
      </w:r>
      <w:r w:rsidRPr="009F77A7">
        <w:rPr>
          <w:rFonts w:asciiTheme="majorBidi" w:hAnsiTheme="majorBidi" w:cstheme="majorBidi"/>
          <w:sz w:val="24"/>
          <w:szCs w:val="24"/>
        </w:rPr>
        <w:t xml:space="preserve">  </w:t>
      </w:r>
    </w:p>
    <w:p w:rsidR="009B5529" w:rsidRPr="009F77A7" w:rsidRDefault="009B5529" w:rsidP="002C2504">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Asfahānī, Ar-Rāgib, Al. </w:t>
      </w:r>
      <w:r w:rsidRPr="009F77A7">
        <w:rPr>
          <w:rFonts w:asciiTheme="majorBidi" w:hAnsiTheme="majorBidi" w:cstheme="majorBidi"/>
          <w:i/>
          <w:iCs/>
          <w:sz w:val="24"/>
          <w:szCs w:val="24"/>
        </w:rPr>
        <w:t xml:space="preserve">Mu’jam Mufradāt alfāẓ al-Qur’an. </w:t>
      </w:r>
      <w:r w:rsidRPr="009F77A7">
        <w:rPr>
          <w:rFonts w:asciiTheme="majorBidi" w:hAnsiTheme="majorBidi" w:cstheme="majorBidi"/>
          <w:sz w:val="24"/>
          <w:szCs w:val="24"/>
        </w:rPr>
        <w:t>Damaskus: Dār al-Qalam</w:t>
      </w:r>
      <w:r w:rsidR="002C2504">
        <w:rPr>
          <w:rFonts w:asciiTheme="majorBidi" w:hAnsiTheme="majorBidi" w:cstheme="majorBidi"/>
          <w:sz w:val="24"/>
          <w:szCs w:val="24"/>
        </w:rPr>
        <w:t xml:space="preserve">, </w:t>
      </w:r>
      <w:r w:rsidR="002C2504" w:rsidRPr="009F77A7">
        <w:rPr>
          <w:rFonts w:asciiTheme="majorBidi" w:hAnsiTheme="majorBidi" w:cstheme="majorBidi"/>
          <w:sz w:val="24"/>
          <w:szCs w:val="24"/>
        </w:rPr>
        <w:t>1430 H.</w:t>
      </w:r>
      <w:r w:rsidRPr="009F77A7">
        <w:rPr>
          <w:rFonts w:asciiTheme="majorBidi" w:hAnsiTheme="majorBidi" w:cstheme="majorBidi"/>
          <w:sz w:val="24"/>
          <w:szCs w:val="24"/>
        </w:rPr>
        <w:t xml:space="preserve"> </w:t>
      </w:r>
    </w:p>
    <w:p w:rsidR="004F2D65" w:rsidRPr="009F77A7" w:rsidRDefault="004F2D65" w:rsidP="00843A5F">
      <w:pPr>
        <w:spacing w:after="120"/>
        <w:ind w:firstLine="426"/>
        <w:jc w:val="both"/>
        <w:rPr>
          <w:rFonts w:asciiTheme="majorBidi" w:hAnsiTheme="majorBidi" w:cstheme="majorBidi"/>
          <w:sz w:val="24"/>
          <w:szCs w:val="24"/>
        </w:rPr>
      </w:pPr>
      <w:r w:rsidRPr="009F77A7">
        <w:rPr>
          <w:rFonts w:asciiTheme="majorBidi" w:hAnsiTheme="majorBidi" w:cstheme="majorBidi"/>
          <w:sz w:val="24"/>
          <w:szCs w:val="24"/>
        </w:rPr>
        <w:t xml:space="preserve">‘Arabī, Ibn. </w:t>
      </w:r>
      <w:r w:rsidRPr="009F77A7">
        <w:rPr>
          <w:rFonts w:asciiTheme="majorBidi" w:hAnsiTheme="majorBidi" w:cstheme="majorBidi"/>
          <w:i/>
          <w:iCs/>
          <w:sz w:val="24"/>
          <w:szCs w:val="24"/>
        </w:rPr>
        <w:t xml:space="preserve">al-Futūḥāt al-Makkiyyah. </w:t>
      </w:r>
      <w:r w:rsidRPr="009F77A7">
        <w:rPr>
          <w:rFonts w:asciiTheme="majorBidi" w:hAnsiTheme="majorBidi" w:cstheme="majorBidi"/>
          <w:sz w:val="24"/>
          <w:szCs w:val="24"/>
        </w:rPr>
        <w:t>Beirut: Dār aṣ-Ṣ</w:t>
      </w:r>
      <w:r w:rsidR="00B8588D">
        <w:rPr>
          <w:rFonts w:asciiTheme="majorBidi" w:hAnsiTheme="majorBidi" w:cstheme="majorBidi"/>
          <w:sz w:val="24"/>
          <w:szCs w:val="24"/>
        </w:rPr>
        <w:t>adīr</w:t>
      </w:r>
    </w:p>
    <w:p w:rsidR="009F77A7" w:rsidRPr="009F77A7" w:rsidRDefault="009F77A7" w:rsidP="00B8588D">
      <w:pPr>
        <w:spacing w:after="120"/>
        <w:ind w:left="993" w:hanging="567"/>
        <w:jc w:val="both"/>
        <w:rPr>
          <w:rFonts w:asciiTheme="majorBidi" w:hAnsiTheme="majorBidi" w:cstheme="majorBidi"/>
          <w:i/>
          <w:iCs/>
          <w:sz w:val="24"/>
          <w:szCs w:val="24"/>
        </w:rPr>
      </w:pPr>
      <w:r w:rsidRPr="009F77A7">
        <w:rPr>
          <w:rFonts w:asciiTheme="majorBidi" w:hAnsiTheme="majorBidi" w:cstheme="majorBidi"/>
          <w:sz w:val="24"/>
          <w:szCs w:val="24"/>
        </w:rPr>
        <w:t xml:space="preserve">Arief, dkk. “Konsep al-Sirāṭ al-Mustaqīm dalam Alquran (Studi Tafsir Tematik Ayat-Ayat yang Menjelaskan Term al-Sirāṭ al-Mustaqīm)”. STAIA Bogor, </w:t>
      </w:r>
      <w:r w:rsidRPr="009F77A7">
        <w:rPr>
          <w:rFonts w:asciiTheme="majorBidi" w:hAnsiTheme="majorBidi" w:cstheme="majorBidi"/>
          <w:i/>
          <w:iCs/>
          <w:sz w:val="24"/>
          <w:szCs w:val="24"/>
        </w:rPr>
        <w:t>Jurnal Al-Tadabbur: Ilmu Alquran dan Tafsir</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2018.</w:t>
      </w:r>
      <w:r w:rsidRPr="009F77A7">
        <w:rPr>
          <w:rFonts w:asciiTheme="majorBidi" w:hAnsiTheme="majorBidi" w:cstheme="majorBidi"/>
          <w:sz w:val="24"/>
          <w:szCs w:val="24"/>
        </w:rPr>
        <w:t xml:space="preserve"> </w:t>
      </w:r>
    </w:p>
    <w:p w:rsidR="003C6256" w:rsidRPr="009F77A7" w:rsidRDefault="003C6256"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Azhārī, Mahmūd, Al. </w:t>
      </w:r>
      <w:r w:rsidRPr="009F77A7">
        <w:rPr>
          <w:rFonts w:asciiTheme="majorBidi" w:hAnsiTheme="majorBidi" w:cstheme="majorBidi"/>
          <w:i/>
          <w:iCs/>
          <w:sz w:val="24"/>
          <w:szCs w:val="24"/>
        </w:rPr>
        <w:t xml:space="preserve">as-Ṣirāṭ al-Mustaqīm al-Hādī ilā Rabb al-‘Ālamīn. </w:t>
      </w:r>
      <w:r w:rsidR="00B8588D">
        <w:rPr>
          <w:rFonts w:asciiTheme="majorBidi" w:hAnsiTheme="majorBidi" w:cstheme="majorBidi"/>
          <w:sz w:val="24"/>
          <w:szCs w:val="24"/>
        </w:rPr>
        <w:t xml:space="preserve">Kairo: al-Istiqāmah, </w:t>
      </w:r>
      <w:r w:rsidR="00B8588D" w:rsidRPr="009F77A7">
        <w:rPr>
          <w:rFonts w:asciiTheme="majorBidi" w:hAnsiTheme="majorBidi" w:cstheme="majorBidi"/>
          <w:sz w:val="24"/>
          <w:szCs w:val="24"/>
        </w:rPr>
        <w:t>1370 H.</w:t>
      </w:r>
      <w:r w:rsidRPr="009F77A7">
        <w:rPr>
          <w:rFonts w:asciiTheme="majorBidi" w:hAnsiTheme="majorBidi" w:cstheme="majorBidi"/>
          <w:sz w:val="24"/>
          <w:szCs w:val="24"/>
        </w:rPr>
        <w:t xml:space="preserve"> </w:t>
      </w:r>
    </w:p>
    <w:p w:rsidR="002465D2" w:rsidRPr="009F77A7" w:rsidRDefault="002465D2"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Bāqī, Muhammad, Fuād, Abdul. </w:t>
      </w:r>
      <w:r w:rsidRPr="009F77A7">
        <w:rPr>
          <w:rFonts w:asciiTheme="majorBidi" w:hAnsiTheme="majorBidi" w:cstheme="majorBidi"/>
          <w:i/>
          <w:iCs/>
          <w:sz w:val="24"/>
          <w:szCs w:val="24"/>
        </w:rPr>
        <w:t xml:space="preserve">Mu’jam al-Mufahras lialfāẓil Qur’ān al-Karīm. </w:t>
      </w:r>
      <w:r w:rsidR="00B8588D">
        <w:rPr>
          <w:rFonts w:asciiTheme="majorBidi" w:hAnsiTheme="majorBidi" w:cstheme="majorBidi"/>
          <w:sz w:val="24"/>
          <w:szCs w:val="24"/>
        </w:rPr>
        <w:t xml:space="preserve">Kairo: Darul Hadith, </w:t>
      </w:r>
      <w:r w:rsidR="00B8588D" w:rsidRPr="009F77A7">
        <w:rPr>
          <w:rFonts w:asciiTheme="majorBidi" w:hAnsiTheme="majorBidi" w:cstheme="majorBidi"/>
          <w:sz w:val="24"/>
          <w:szCs w:val="24"/>
        </w:rPr>
        <w:t>2018.</w:t>
      </w:r>
    </w:p>
    <w:p w:rsidR="00AE5F98" w:rsidRPr="009F77A7" w:rsidRDefault="00AE5F98"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Hākim, Muḥammad, Bāqir. </w:t>
      </w:r>
      <w:r w:rsidRPr="009F77A7">
        <w:rPr>
          <w:rFonts w:asciiTheme="majorBidi" w:hAnsiTheme="majorBidi" w:cstheme="majorBidi"/>
          <w:i/>
          <w:iCs/>
          <w:sz w:val="24"/>
          <w:szCs w:val="24"/>
        </w:rPr>
        <w:t xml:space="preserve">‘Ulūm al-Qur’ān. </w:t>
      </w:r>
      <w:r w:rsidRPr="009F77A7">
        <w:rPr>
          <w:rFonts w:asciiTheme="majorBidi" w:hAnsiTheme="majorBidi" w:cstheme="majorBidi"/>
          <w:sz w:val="24"/>
          <w:szCs w:val="24"/>
        </w:rPr>
        <w:t>Qum: Dār al-Fikr al-Islāmī.</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1427</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H.</w:t>
      </w:r>
      <w:r w:rsidRPr="009F77A7">
        <w:rPr>
          <w:rFonts w:asciiTheme="majorBidi" w:hAnsiTheme="majorBidi" w:cstheme="majorBidi"/>
          <w:sz w:val="24"/>
          <w:szCs w:val="24"/>
        </w:rPr>
        <w:t xml:space="preserve"> </w:t>
      </w:r>
    </w:p>
    <w:p w:rsidR="0059389B" w:rsidRPr="00C81E02" w:rsidRDefault="00A15F88"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Huwaizī, Ab</w:t>
      </w:r>
      <w:r w:rsidRPr="00C81E02">
        <w:rPr>
          <w:rFonts w:asciiTheme="majorBidi" w:hAnsiTheme="majorBidi" w:cstheme="majorBidi"/>
          <w:sz w:val="24"/>
          <w:szCs w:val="24"/>
        </w:rPr>
        <w:t>dul, Ali, Al.</w:t>
      </w:r>
      <w:r w:rsidR="0059389B" w:rsidRPr="00C81E02">
        <w:rPr>
          <w:rFonts w:asciiTheme="majorBidi" w:hAnsiTheme="majorBidi" w:cstheme="majorBidi"/>
          <w:sz w:val="24"/>
          <w:szCs w:val="24"/>
        </w:rPr>
        <w:t xml:space="preserve"> </w:t>
      </w:r>
      <w:r w:rsidRPr="00C81E02">
        <w:rPr>
          <w:rFonts w:asciiTheme="majorBidi" w:hAnsiTheme="majorBidi" w:cstheme="majorBidi"/>
          <w:i/>
          <w:iCs/>
          <w:sz w:val="24"/>
          <w:szCs w:val="24"/>
        </w:rPr>
        <w:t>Tafsīr Nūr al-Thaqalain</w:t>
      </w:r>
      <w:r w:rsidRPr="00C81E02">
        <w:rPr>
          <w:rFonts w:asciiTheme="majorBidi" w:hAnsiTheme="majorBidi" w:cstheme="majorBidi"/>
          <w:sz w:val="24"/>
          <w:szCs w:val="24"/>
        </w:rPr>
        <w:t xml:space="preserve">. </w:t>
      </w:r>
      <w:r w:rsidR="0059389B" w:rsidRPr="00C81E02">
        <w:rPr>
          <w:rFonts w:asciiTheme="majorBidi" w:hAnsiTheme="majorBidi" w:cstheme="majorBidi"/>
          <w:sz w:val="24"/>
          <w:szCs w:val="24"/>
        </w:rPr>
        <w:t>Qum: Mansyurat isma’iliyani.</w:t>
      </w:r>
      <w:r w:rsidR="00B8588D">
        <w:rPr>
          <w:rFonts w:asciiTheme="majorBidi" w:hAnsiTheme="majorBidi" w:cstheme="majorBidi"/>
          <w:sz w:val="24"/>
          <w:szCs w:val="24"/>
        </w:rPr>
        <w:t xml:space="preserve"> </w:t>
      </w:r>
      <w:r w:rsidR="00B8588D" w:rsidRPr="00C81E02">
        <w:rPr>
          <w:rFonts w:asciiTheme="majorBidi" w:hAnsiTheme="majorBidi" w:cstheme="majorBidi"/>
          <w:sz w:val="24"/>
          <w:szCs w:val="24"/>
        </w:rPr>
        <w:t>1415 H.</w:t>
      </w:r>
      <w:r w:rsidR="00B8588D">
        <w:rPr>
          <w:rFonts w:asciiTheme="majorBidi" w:hAnsiTheme="majorBidi" w:cstheme="majorBidi"/>
          <w:sz w:val="24"/>
          <w:szCs w:val="24"/>
        </w:rPr>
        <w:t xml:space="preserve"> </w:t>
      </w:r>
    </w:p>
    <w:p w:rsidR="00C81E02" w:rsidRPr="009F77A7" w:rsidRDefault="00C81E02" w:rsidP="00B8588D">
      <w:pPr>
        <w:spacing w:after="120"/>
        <w:ind w:left="993" w:hanging="567"/>
        <w:jc w:val="both"/>
        <w:rPr>
          <w:rFonts w:asciiTheme="majorBidi" w:hAnsiTheme="majorBidi" w:cstheme="majorBidi"/>
          <w:sz w:val="24"/>
          <w:szCs w:val="24"/>
        </w:rPr>
      </w:pPr>
      <w:r w:rsidRPr="00C81E02">
        <w:rPr>
          <w:rFonts w:asciiTheme="majorBidi" w:hAnsiTheme="majorBidi" w:cstheme="majorBidi"/>
          <w:sz w:val="24"/>
          <w:szCs w:val="24"/>
        </w:rPr>
        <w:t xml:space="preserve">Ibrahim. </w:t>
      </w:r>
      <w:r w:rsidRPr="00C81E02">
        <w:rPr>
          <w:rFonts w:asciiTheme="majorBidi" w:hAnsiTheme="majorBidi" w:cstheme="majorBidi"/>
          <w:i/>
          <w:iCs/>
          <w:sz w:val="24"/>
          <w:szCs w:val="24"/>
        </w:rPr>
        <w:t>Konsep al-Sirāṭ al-Mustaqīm (Suatu Kajian Tafsir Tematik).</w:t>
      </w:r>
      <w:r w:rsidRPr="00C81E02">
        <w:rPr>
          <w:rFonts w:asciiTheme="majorBidi" w:hAnsiTheme="majorBidi" w:cstheme="majorBidi"/>
          <w:sz w:val="24"/>
          <w:szCs w:val="24"/>
        </w:rPr>
        <w:t xml:space="preserve"> Makassar: UIN Alauddin, Skripsi</w:t>
      </w:r>
      <w:r w:rsidR="00B8588D">
        <w:rPr>
          <w:rFonts w:asciiTheme="majorBidi" w:hAnsiTheme="majorBidi" w:cstheme="majorBidi"/>
          <w:sz w:val="24"/>
          <w:szCs w:val="24"/>
        </w:rPr>
        <w:t>, 2014</w:t>
      </w:r>
      <w:r w:rsidRPr="00C81E02">
        <w:rPr>
          <w:rFonts w:asciiTheme="majorBidi" w:hAnsiTheme="majorBidi" w:cstheme="majorBidi"/>
          <w:sz w:val="24"/>
          <w:szCs w:val="24"/>
        </w:rPr>
        <w:t xml:space="preserve">. </w:t>
      </w:r>
      <w:r w:rsidRPr="001B2E5E">
        <w:rPr>
          <w:rFonts w:ascii="Garamond" w:hAnsi="Garamond"/>
        </w:rPr>
        <w:t xml:space="preserve"> </w:t>
      </w:r>
    </w:p>
    <w:p w:rsidR="004A5CEF" w:rsidRPr="009F77A7" w:rsidRDefault="004A5CEF"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Kaelan. </w:t>
      </w:r>
      <w:r w:rsidRPr="009F77A7">
        <w:rPr>
          <w:rFonts w:asciiTheme="majorBidi" w:hAnsiTheme="majorBidi" w:cstheme="majorBidi"/>
          <w:i/>
          <w:iCs/>
          <w:sz w:val="24"/>
          <w:szCs w:val="24"/>
        </w:rPr>
        <w:t xml:space="preserve">Metode Penelitian Agama Kualitatif Interdisipliner. </w:t>
      </w:r>
      <w:r w:rsidR="00B8588D">
        <w:rPr>
          <w:rFonts w:asciiTheme="majorBidi" w:hAnsiTheme="majorBidi" w:cstheme="majorBidi"/>
          <w:sz w:val="24"/>
          <w:szCs w:val="24"/>
        </w:rPr>
        <w:t xml:space="preserve">Yogjakarta: Paradigma, </w:t>
      </w:r>
      <w:r w:rsidR="00B8588D" w:rsidRPr="009F77A7">
        <w:rPr>
          <w:rFonts w:asciiTheme="majorBidi" w:hAnsiTheme="majorBidi" w:cstheme="majorBidi"/>
          <w:sz w:val="24"/>
          <w:szCs w:val="24"/>
        </w:rPr>
        <w:t>2010.</w:t>
      </w:r>
      <w:r w:rsidRPr="009F77A7">
        <w:rPr>
          <w:rFonts w:asciiTheme="majorBidi" w:hAnsiTheme="majorBidi" w:cstheme="majorBidi"/>
          <w:sz w:val="24"/>
          <w:szCs w:val="24"/>
        </w:rPr>
        <w:t xml:space="preserve"> </w:t>
      </w:r>
    </w:p>
    <w:p w:rsidR="003D2855" w:rsidRPr="00B8588D" w:rsidRDefault="003D2855"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Kalin, Ibrahim. “Knowledge as the Unity of the Intellect and the Object of Intellection in Islamic Philosophy: A Historical Survey from Plato to Mulla Sadra”</w:t>
      </w:r>
      <w:r w:rsidRPr="009F77A7">
        <w:rPr>
          <w:rFonts w:asciiTheme="majorBidi" w:hAnsiTheme="majorBidi" w:cstheme="majorBidi"/>
          <w:i/>
          <w:iCs/>
          <w:sz w:val="24"/>
          <w:szCs w:val="24"/>
        </w:rPr>
        <w:t xml:space="preserve">. </w:t>
      </w:r>
      <w:r w:rsidRPr="009F77A7">
        <w:rPr>
          <w:rFonts w:asciiTheme="majorBidi" w:hAnsiTheme="majorBidi" w:cstheme="majorBidi"/>
          <w:sz w:val="24"/>
          <w:szCs w:val="24"/>
        </w:rPr>
        <w:t xml:space="preserve"> London: </w:t>
      </w:r>
      <w:r w:rsidRPr="009F77A7">
        <w:rPr>
          <w:rFonts w:asciiTheme="majorBidi" w:hAnsiTheme="majorBidi" w:cstheme="majorBidi"/>
          <w:i/>
          <w:iCs/>
          <w:sz w:val="24"/>
          <w:szCs w:val="24"/>
        </w:rPr>
        <w:t>Journa</w:t>
      </w:r>
      <w:r w:rsidR="00B8588D">
        <w:rPr>
          <w:rFonts w:asciiTheme="majorBidi" w:hAnsiTheme="majorBidi" w:cstheme="majorBidi"/>
          <w:i/>
          <w:iCs/>
          <w:sz w:val="24"/>
          <w:szCs w:val="24"/>
        </w:rPr>
        <w:t xml:space="preserve">l for Comparative and Mysticism, </w:t>
      </w:r>
      <w:r w:rsidR="00B8588D" w:rsidRPr="00B8588D">
        <w:rPr>
          <w:rFonts w:asciiTheme="majorBidi" w:hAnsiTheme="majorBidi" w:cstheme="majorBidi"/>
          <w:sz w:val="24"/>
          <w:szCs w:val="24"/>
        </w:rPr>
        <w:t>2000.</w:t>
      </w:r>
      <w:r w:rsidR="00B8588D">
        <w:rPr>
          <w:rFonts w:asciiTheme="majorBidi" w:hAnsiTheme="majorBidi" w:cstheme="majorBidi"/>
          <w:i/>
          <w:iCs/>
          <w:sz w:val="24"/>
          <w:szCs w:val="24"/>
        </w:rPr>
        <w:t xml:space="preserve"> </w:t>
      </w:r>
    </w:p>
    <w:p w:rsidR="003D2855" w:rsidRPr="009F77A7" w:rsidRDefault="003D2855"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Knowledge in Later Islamic Philosophy: Mulla Sadra on Existence, Intellect, and Intuition. </w:t>
      </w:r>
      <w:r w:rsidRPr="009F77A7">
        <w:rPr>
          <w:rFonts w:asciiTheme="majorBidi" w:hAnsiTheme="majorBidi" w:cstheme="majorBidi"/>
          <w:sz w:val="24"/>
          <w:szCs w:val="24"/>
        </w:rPr>
        <w:t>Oxford: Oxfod University Press</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2010.</w:t>
      </w:r>
    </w:p>
    <w:p w:rsidR="003D2855" w:rsidRPr="009F77A7" w:rsidRDefault="003D2855"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Kamal, Muhammad. </w:t>
      </w:r>
      <w:r w:rsidRPr="009F77A7">
        <w:rPr>
          <w:rFonts w:asciiTheme="majorBidi" w:hAnsiTheme="majorBidi" w:cstheme="majorBidi"/>
          <w:i/>
          <w:iCs/>
          <w:sz w:val="24"/>
          <w:szCs w:val="24"/>
        </w:rPr>
        <w:t xml:space="preserve">Mulla Sadra’s Transcendent Philosophy. </w:t>
      </w:r>
      <w:r w:rsidRPr="009F77A7">
        <w:rPr>
          <w:rFonts w:asciiTheme="majorBidi" w:hAnsiTheme="majorBidi" w:cstheme="majorBidi"/>
          <w:sz w:val="24"/>
          <w:szCs w:val="24"/>
        </w:rPr>
        <w:t>Burlington: Ashgate Publishing</w:t>
      </w:r>
      <w:r w:rsidR="00B8588D">
        <w:rPr>
          <w:rFonts w:asciiTheme="majorBidi" w:hAnsiTheme="majorBidi" w:cstheme="majorBidi"/>
          <w:sz w:val="24"/>
          <w:szCs w:val="24"/>
        </w:rPr>
        <w:t>, 1988.</w:t>
      </w:r>
    </w:p>
    <w:p w:rsidR="00045F12" w:rsidRPr="009F77A7" w:rsidRDefault="00732022"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Kerwanto. </w:t>
      </w:r>
      <w:r w:rsidRPr="009F77A7">
        <w:rPr>
          <w:rFonts w:asciiTheme="majorBidi" w:hAnsiTheme="majorBidi" w:cstheme="majorBidi"/>
          <w:i/>
          <w:iCs/>
          <w:sz w:val="24"/>
          <w:szCs w:val="24"/>
        </w:rPr>
        <w:t xml:space="preserve">Pemikiran Filosofis Ṣadrā dalam Tafsir Q.S Al-‘A’la: Studi atas Tafsir Mullā Ṣadrā. </w:t>
      </w:r>
      <w:r w:rsidRPr="009F77A7">
        <w:rPr>
          <w:rFonts w:asciiTheme="majorBidi" w:hAnsiTheme="majorBidi" w:cstheme="majorBidi"/>
          <w:sz w:val="24"/>
          <w:szCs w:val="24"/>
        </w:rPr>
        <w:t>Jakarta: ICAS-Paramadina</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2014.</w:t>
      </w:r>
    </w:p>
    <w:p w:rsidR="00B31E71" w:rsidRPr="009F77A7" w:rsidRDefault="00B31E71"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Khamenei, Sayyed, Muhammad. </w:t>
      </w:r>
      <w:r w:rsidRPr="009F77A7">
        <w:rPr>
          <w:rFonts w:asciiTheme="majorBidi" w:hAnsiTheme="majorBidi" w:cstheme="majorBidi"/>
          <w:i/>
          <w:iCs/>
          <w:sz w:val="24"/>
          <w:szCs w:val="24"/>
        </w:rPr>
        <w:t>Mulla Sadra’s Trancendent Philosophy</w:t>
      </w:r>
      <w:r w:rsidRPr="009F77A7">
        <w:rPr>
          <w:rFonts w:asciiTheme="majorBidi" w:hAnsiTheme="majorBidi" w:cstheme="majorBidi"/>
          <w:sz w:val="24"/>
          <w:szCs w:val="24"/>
        </w:rPr>
        <w:t>. Tehran: SIPRIn</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2004.</w:t>
      </w:r>
    </w:p>
    <w:p w:rsidR="00AE5F98" w:rsidRPr="009F77A7" w:rsidRDefault="00AE5F98" w:rsidP="00B8588D">
      <w:pPr>
        <w:spacing w:after="120"/>
        <w:ind w:left="993" w:hanging="567"/>
        <w:jc w:val="both"/>
        <w:rPr>
          <w:rFonts w:asciiTheme="majorBidi" w:hAnsiTheme="majorBidi" w:cstheme="majorBidi"/>
          <w:i/>
          <w:iCs/>
          <w:sz w:val="24"/>
          <w:szCs w:val="24"/>
        </w:rPr>
      </w:pPr>
      <w:r w:rsidRPr="009F77A7">
        <w:rPr>
          <w:rFonts w:asciiTheme="majorBidi" w:hAnsiTheme="majorBidi" w:cstheme="majorBidi"/>
          <w:sz w:val="24"/>
          <w:szCs w:val="24"/>
        </w:rPr>
        <w:t>Ma’rifat, Muḥ</w:t>
      </w:r>
      <w:r w:rsidR="00B8588D">
        <w:rPr>
          <w:rFonts w:asciiTheme="majorBidi" w:hAnsiTheme="majorBidi" w:cstheme="majorBidi"/>
          <w:sz w:val="24"/>
          <w:szCs w:val="24"/>
        </w:rPr>
        <w:t>ammad, Hādī</w:t>
      </w:r>
      <w:r w:rsidRPr="009F77A7">
        <w:rPr>
          <w:rFonts w:asciiTheme="majorBidi" w:hAnsiTheme="majorBidi" w:cstheme="majorBidi"/>
          <w:sz w:val="24"/>
          <w:szCs w:val="24"/>
        </w:rPr>
        <w:t xml:space="preserve">. </w:t>
      </w:r>
      <w:r w:rsidR="00B8588D">
        <w:rPr>
          <w:rFonts w:asciiTheme="majorBidi" w:hAnsiTheme="majorBidi" w:cstheme="majorBidi"/>
          <w:i/>
          <w:iCs/>
          <w:sz w:val="24"/>
          <w:szCs w:val="24"/>
        </w:rPr>
        <w:t xml:space="preserve">Tārīkh al-Qur’ān, </w:t>
      </w:r>
      <w:r w:rsidR="00B8588D" w:rsidRPr="009F77A7">
        <w:rPr>
          <w:rFonts w:asciiTheme="majorBidi" w:hAnsiTheme="majorBidi" w:cstheme="majorBidi"/>
          <w:sz w:val="24"/>
          <w:szCs w:val="24"/>
        </w:rPr>
        <w:t>1428 H</w:t>
      </w:r>
      <w:r w:rsidR="00B8588D">
        <w:rPr>
          <w:rFonts w:asciiTheme="majorBidi" w:hAnsiTheme="majorBidi" w:cstheme="majorBidi"/>
          <w:sz w:val="24"/>
          <w:szCs w:val="24"/>
        </w:rPr>
        <w:t>.</w:t>
      </w:r>
      <w:r w:rsidRPr="009F77A7">
        <w:rPr>
          <w:rFonts w:asciiTheme="majorBidi" w:hAnsiTheme="majorBidi" w:cstheme="majorBidi"/>
          <w:i/>
          <w:iCs/>
          <w:sz w:val="24"/>
          <w:szCs w:val="24"/>
        </w:rPr>
        <w:t xml:space="preserve"> </w:t>
      </w:r>
    </w:p>
    <w:p w:rsidR="00111F1F" w:rsidRPr="009F77A7" w:rsidRDefault="00111F1F" w:rsidP="00843A5F">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Marāghī, Aḥmad, Muṣṭafā, Al. </w:t>
      </w:r>
      <w:r w:rsidRPr="009F77A7">
        <w:rPr>
          <w:rFonts w:asciiTheme="majorBidi" w:hAnsiTheme="majorBidi" w:cstheme="majorBidi"/>
          <w:i/>
          <w:iCs/>
          <w:sz w:val="24"/>
          <w:szCs w:val="24"/>
        </w:rPr>
        <w:t xml:space="preserve">Tafsīr al-Marāghī. </w:t>
      </w:r>
      <w:r w:rsidRPr="009F77A7">
        <w:rPr>
          <w:rFonts w:asciiTheme="majorBidi" w:hAnsiTheme="majorBidi" w:cstheme="majorBidi"/>
          <w:sz w:val="24"/>
          <w:szCs w:val="24"/>
        </w:rPr>
        <w:t>Beirut: Dār iḥyā’ at-Turāth al-‘Ārabī.</w:t>
      </w:r>
    </w:p>
    <w:p w:rsidR="004A5CEF" w:rsidRPr="009F77A7" w:rsidRDefault="004A5CEF"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Mustaqim, Abdul. </w:t>
      </w:r>
      <w:r w:rsidRPr="009F77A7">
        <w:rPr>
          <w:rFonts w:asciiTheme="majorBidi" w:hAnsiTheme="majorBidi" w:cstheme="majorBidi"/>
          <w:i/>
          <w:iCs/>
          <w:sz w:val="24"/>
          <w:szCs w:val="24"/>
        </w:rPr>
        <w:t>Metode Penelitian Alquran dan Tafsir</w:t>
      </w:r>
      <w:r w:rsidRPr="009F77A7">
        <w:rPr>
          <w:rFonts w:asciiTheme="majorBidi" w:hAnsiTheme="majorBidi" w:cstheme="majorBidi"/>
          <w:sz w:val="24"/>
          <w:szCs w:val="24"/>
        </w:rPr>
        <w:t>. Yogjakarta: Idea Press</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2017.</w:t>
      </w:r>
      <w:r w:rsidRPr="009F77A7">
        <w:rPr>
          <w:rFonts w:asciiTheme="majorBidi" w:hAnsiTheme="majorBidi" w:cstheme="majorBidi"/>
          <w:sz w:val="24"/>
          <w:szCs w:val="24"/>
        </w:rPr>
        <w:t xml:space="preserve"> </w:t>
      </w:r>
    </w:p>
    <w:p w:rsidR="007C4E13" w:rsidRPr="009F77A7" w:rsidRDefault="007C4E13"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Nasr, Seyyed, Hossein. </w:t>
      </w:r>
      <w:r w:rsidRPr="009F77A7">
        <w:rPr>
          <w:rFonts w:asciiTheme="majorBidi" w:hAnsiTheme="majorBidi" w:cstheme="majorBidi"/>
          <w:i/>
          <w:iCs/>
          <w:sz w:val="24"/>
          <w:szCs w:val="24"/>
        </w:rPr>
        <w:t xml:space="preserve">Al-Hikmah Al-Muta’aliyah Mullā Sadra: Sebuah Terobosan dalam Filsafat Islam, </w:t>
      </w:r>
      <w:r w:rsidRPr="009F77A7">
        <w:rPr>
          <w:rFonts w:asciiTheme="majorBidi" w:hAnsiTheme="majorBidi" w:cstheme="majorBidi"/>
          <w:sz w:val="24"/>
          <w:szCs w:val="24"/>
        </w:rPr>
        <w:t>diterjemahkan oleh Mustamin al-Mandary. Jakarta: Sadra Press</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2017.</w:t>
      </w:r>
    </w:p>
    <w:p w:rsidR="000A5D77" w:rsidRPr="009F77A7" w:rsidRDefault="000A5D77"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Nur, Muhammad. “Takwil dalam Pandangan Mullā Ṣadrā”. Jakarta: </w:t>
      </w:r>
      <w:r w:rsidRPr="009F77A7">
        <w:rPr>
          <w:rFonts w:asciiTheme="majorBidi" w:hAnsiTheme="majorBidi" w:cstheme="majorBidi"/>
          <w:i/>
          <w:iCs/>
          <w:sz w:val="24"/>
          <w:szCs w:val="24"/>
        </w:rPr>
        <w:t>Kanz Philosophia</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2012.</w:t>
      </w:r>
      <w:r w:rsidRPr="009F77A7">
        <w:rPr>
          <w:rFonts w:asciiTheme="majorBidi" w:hAnsiTheme="majorBidi" w:cstheme="majorBidi"/>
          <w:sz w:val="24"/>
          <w:szCs w:val="24"/>
        </w:rPr>
        <w:t xml:space="preserve"> </w:t>
      </w:r>
    </w:p>
    <w:p w:rsidR="004A5CEF" w:rsidRPr="009F77A7" w:rsidRDefault="004A5CEF"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lastRenderedPageBreak/>
        <w:t xml:space="preserve">Prastowo, Andi. </w:t>
      </w:r>
      <w:r w:rsidRPr="009F77A7">
        <w:rPr>
          <w:rFonts w:asciiTheme="majorBidi" w:hAnsiTheme="majorBidi" w:cstheme="majorBidi"/>
          <w:i/>
          <w:iCs/>
          <w:sz w:val="24"/>
          <w:szCs w:val="24"/>
        </w:rPr>
        <w:t xml:space="preserve">Metode Penelitian Kualitatif dalam Perspektif Rancangan Penelitian. </w:t>
      </w:r>
      <w:r w:rsidRPr="009F77A7">
        <w:rPr>
          <w:rFonts w:asciiTheme="majorBidi" w:hAnsiTheme="majorBidi" w:cstheme="majorBidi"/>
          <w:sz w:val="24"/>
          <w:szCs w:val="24"/>
        </w:rPr>
        <w:t>Yogjakarta: Ar-Ruzz Media</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2011.</w:t>
      </w:r>
      <w:r w:rsidRPr="009F77A7">
        <w:rPr>
          <w:rFonts w:asciiTheme="majorBidi" w:hAnsiTheme="majorBidi" w:cstheme="majorBidi"/>
          <w:sz w:val="24"/>
          <w:szCs w:val="24"/>
        </w:rPr>
        <w:t xml:space="preserve"> </w:t>
      </w:r>
    </w:p>
    <w:p w:rsidR="00AE5F98" w:rsidRPr="009F77A7" w:rsidRDefault="00AE5F98" w:rsidP="00B8588D">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Qushsyairī, Al-.  </w:t>
      </w:r>
      <w:r w:rsidRPr="009F77A7">
        <w:rPr>
          <w:rFonts w:asciiTheme="majorBidi" w:hAnsiTheme="majorBidi" w:cstheme="majorBidi"/>
          <w:i/>
          <w:iCs/>
          <w:sz w:val="24"/>
          <w:szCs w:val="24"/>
        </w:rPr>
        <w:t xml:space="preserve">Laṭāif al-Ishārāt. </w:t>
      </w:r>
      <w:r w:rsidRPr="009F77A7">
        <w:rPr>
          <w:rFonts w:asciiTheme="majorBidi" w:hAnsiTheme="majorBidi" w:cstheme="majorBidi"/>
          <w:sz w:val="24"/>
          <w:szCs w:val="24"/>
        </w:rPr>
        <w:t>Beirut: Dār al-Kutub al-‘Ilmiyyah</w:t>
      </w:r>
      <w:r w:rsidR="00B8588D">
        <w:rPr>
          <w:rFonts w:asciiTheme="majorBidi" w:hAnsiTheme="majorBidi" w:cstheme="majorBidi"/>
          <w:sz w:val="24"/>
          <w:szCs w:val="24"/>
        </w:rPr>
        <w:t xml:space="preserve">, </w:t>
      </w:r>
      <w:r w:rsidR="00B8588D" w:rsidRPr="009F77A7">
        <w:rPr>
          <w:rFonts w:asciiTheme="majorBidi" w:hAnsiTheme="majorBidi" w:cstheme="majorBidi"/>
          <w:sz w:val="24"/>
          <w:szCs w:val="24"/>
        </w:rPr>
        <w:t>2007.</w:t>
      </w:r>
    </w:p>
    <w:p w:rsidR="002A0882" w:rsidRPr="009F77A7" w:rsidRDefault="002A0882" w:rsidP="00176797">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Rahman, Arief. “Konsep Al-Sirat Al-Mustaqim dalam Al-Qur’an: Studi Tafsir Tematik Ayat-ayat yang Menjelaskan Term Al-Sirat Al-Mustaqim”. Bogor: </w:t>
      </w:r>
      <w:r w:rsidR="00176797">
        <w:rPr>
          <w:rFonts w:asciiTheme="majorBidi" w:hAnsiTheme="majorBidi" w:cstheme="majorBidi"/>
          <w:i/>
          <w:iCs/>
          <w:sz w:val="24"/>
          <w:szCs w:val="24"/>
        </w:rPr>
        <w:t>Jurnal Al-Tadabbur</w:t>
      </w:r>
      <w:r w:rsidR="00176797">
        <w:rPr>
          <w:rFonts w:asciiTheme="majorBidi" w:hAnsiTheme="majorBidi" w:cstheme="majorBidi"/>
          <w:sz w:val="24"/>
          <w:szCs w:val="24"/>
        </w:rPr>
        <w:t>, 2018.</w:t>
      </w:r>
      <w:r w:rsidRPr="009F77A7">
        <w:rPr>
          <w:rFonts w:asciiTheme="majorBidi" w:hAnsiTheme="majorBidi" w:cstheme="majorBidi"/>
          <w:sz w:val="24"/>
          <w:szCs w:val="24"/>
        </w:rPr>
        <w:t xml:space="preserve"> </w:t>
      </w:r>
    </w:p>
    <w:p w:rsidR="00A15F88" w:rsidRPr="009F77A7" w:rsidRDefault="0059389B" w:rsidP="00176797">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Rāzī, Fakhr, Ar. </w:t>
      </w:r>
      <w:r w:rsidRPr="009F77A7">
        <w:rPr>
          <w:rFonts w:asciiTheme="majorBidi" w:hAnsiTheme="majorBidi" w:cstheme="majorBidi"/>
          <w:i/>
          <w:iCs/>
          <w:sz w:val="24"/>
          <w:szCs w:val="24"/>
        </w:rPr>
        <w:t xml:space="preserve">Mafātīh al-Ghaib. </w:t>
      </w:r>
      <w:r w:rsidRPr="009F77A7">
        <w:rPr>
          <w:rFonts w:asciiTheme="majorBidi" w:hAnsiTheme="majorBidi" w:cstheme="majorBidi"/>
          <w:sz w:val="24"/>
          <w:szCs w:val="24"/>
        </w:rPr>
        <w:t>Beirut: Dār ihyā’ al-Turāth al-‘arabī</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1420 H.</w:t>
      </w:r>
      <w:r w:rsidR="00A15F88" w:rsidRPr="009F77A7">
        <w:rPr>
          <w:rFonts w:asciiTheme="majorBidi" w:hAnsiTheme="majorBidi" w:cstheme="majorBidi"/>
          <w:sz w:val="24"/>
          <w:szCs w:val="24"/>
        </w:rPr>
        <w:t xml:space="preserve"> </w:t>
      </w:r>
    </w:p>
    <w:p w:rsidR="008A5FF2" w:rsidRPr="009F77A7" w:rsidRDefault="008A5FF2" w:rsidP="00176797">
      <w:pPr>
        <w:spacing w:after="120" w:line="240" w:lineRule="auto"/>
        <w:ind w:firstLine="426"/>
        <w:jc w:val="both"/>
        <w:rPr>
          <w:rFonts w:asciiTheme="majorBidi" w:hAnsiTheme="majorBidi" w:cstheme="majorBidi"/>
          <w:sz w:val="24"/>
          <w:szCs w:val="24"/>
        </w:rPr>
      </w:pPr>
      <w:r w:rsidRPr="009F77A7">
        <w:rPr>
          <w:rFonts w:asciiTheme="majorBidi" w:eastAsia="Batang" w:hAnsiTheme="majorBidi" w:cstheme="majorBidi"/>
          <w:sz w:val="24"/>
          <w:szCs w:val="24"/>
        </w:rPr>
        <w:t xml:space="preserve">Sadra, Mulla. </w:t>
      </w:r>
      <w:r w:rsidRPr="009F77A7">
        <w:rPr>
          <w:rFonts w:asciiTheme="majorBidi" w:eastAsia="Batang" w:hAnsiTheme="majorBidi" w:cstheme="majorBidi"/>
          <w:i/>
          <w:iCs/>
          <w:sz w:val="24"/>
          <w:szCs w:val="24"/>
        </w:rPr>
        <w:t>Mafātīh al-Ghaib</w:t>
      </w:r>
      <w:r w:rsidRPr="009F77A7">
        <w:rPr>
          <w:rFonts w:asciiTheme="majorBidi" w:eastAsia="Batang" w:hAnsiTheme="majorBidi" w:cstheme="majorBidi"/>
          <w:sz w:val="24"/>
          <w:szCs w:val="24"/>
        </w:rPr>
        <w:t xml:space="preserve">. </w:t>
      </w:r>
      <w:r w:rsidR="005D6E5E" w:rsidRPr="009F77A7">
        <w:rPr>
          <w:rFonts w:asciiTheme="majorBidi" w:hAnsiTheme="majorBidi" w:cstheme="majorBidi"/>
          <w:sz w:val="24"/>
          <w:szCs w:val="24"/>
        </w:rPr>
        <w:t>Tehran: Muassasah Muṭāla’āt wa Taḥqīqāt Farangi</w:t>
      </w:r>
      <w:r w:rsidR="00176797">
        <w:rPr>
          <w:rFonts w:asciiTheme="majorBidi" w:hAnsiTheme="majorBidi" w:cstheme="majorBidi"/>
          <w:sz w:val="24"/>
          <w:szCs w:val="24"/>
        </w:rPr>
        <w:t xml:space="preserve">, </w:t>
      </w:r>
      <w:r w:rsidR="00176797" w:rsidRPr="009F77A7">
        <w:rPr>
          <w:rFonts w:asciiTheme="majorBidi" w:eastAsia="Batang" w:hAnsiTheme="majorBidi" w:cstheme="majorBidi"/>
          <w:sz w:val="24"/>
          <w:szCs w:val="24"/>
        </w:rPr>
        <w:t>1984.</w:t>
      </w:r>
    </w:p>
    <w:p w:rsidR="00124A6C" w:rsidRPr="009F77A7" w:rsidRDefault="00124A6C" w:rsidP="00176797">
      <w:pPr>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w:t>
      </w:r>
      <w:r w:rsidR="00471E91" w:rsidRPr="009F77A7">
        <w:rPr>
          <w:rFonts w:asciiTheme="majorBidi" w:hAnsiTheme="majorBidi" w:cstheme="majorBidi"/>
          <w:sz w:val="24"/>
          <w:szCs w:val="24"/>
        </w:rPr>
        <w:t>--------</w:t>
      </w: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Tafsīr al-Qur’ān al-Karīm. </w:t>
      </w:r>
      <w:r w:rsidRPr="009F77A7">
        <w:rPr>
          <w:rFonts w:asciiTheme="majorBidi" w:hAnsiTheme="majorBidi" w:cstheme="majorBidi"/>
          <w:sz w:val="24"/>
          <w:szCs w:val="24"/>
        </w:rPr>
        <w:t>Qum: Bīdār</w:t>
      </w:r>
      <w:r w:rsidR="00176797">
        <w:rPr>
          <w:rFonts w:asciiTheme="majorBidi" w:hAnsiTheme="majorBidi" w:cstheme="majorBidi"/>
          <w:sz w:val="24"/>
          <w:szCs w:val="24"/>
        </w:rPr>
        <w:t>, 1379 HS.</w:t>
      </w:r>
      <w:r w:rsidRPr="009F77A7">
        <w:rPr>
          <w:rFonts w:asciiTheme="majorBidi" w:hAnsiTheme="majorBidi" w:cstheme="majorBidi"/>
          <w:sz w:val="24"/>
          <w:szCs w:val="24"/>
        </w:rPr>
        <w:t xml:space="preserve">  </w:t>
      </w:r>
    </w:p>
    <w:p w:rsidR="00124A6C" w:rsidRPr="009F77A7" w:rsidRDefault="00471E91" w:rsidP="00176797">
      <w:pPr>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w:t>
      </w:r>
      <w:r w:rsidR="00124A6C" w:rsidRPr="009F77A7">
        <w:rPr>
          <w:rFonts w:asciiTheme="majorBidi" w:hAnsiTheme="majorBidi" w:cstheme="majorBidi"/>
          <w:sz w:val="24"/>
          <w:szCs w:val="24"/>
        </w:rPr>
        <w:t xml:space="preserve">. </w:t>
      </w:r>
      <w:r w:rsidR="00124A6C" w:rsidRPr="009F77A7">
        <w:rPr>
          <w:rFonts w:asciiTheme="majorBidi" w:hAnsiTheme="majorBidi" w:cstheme="majorBidi"/>
          <w:i/>
          <w:iCs/>
          <w:sz w:val="24"/>
          <w:szCs w:val="24"/>
        </w:rPr>
        <w:t xml:space="preserve">Asrār al-Āyāt wa Anwār al-Bayyināt. </w:t>
      </w:r>
      <w:r w:rsidR="00124A6C" w:rsidRPr="009F77A7">
        <w:rPr>
          <w:rFonts w:asciiTheme="majorBidi" w:hAnsiTheme="majorBidi" w:cstheme="majorBidi"/>
          <w:sz w:val="24"/>
          <w:szCs w:val="24"/>
        </w:rPr>
        <w:t xml:space="preserve">Tehran: Injaman Islāmī </w:t>
      </w:r>
      <w:r w:rsidR="00784A76" w:rsidRPr="009F77A7">
        <w:rPr>
          <w:rFonts w:asciiTheme="majorBidi" w:hAnsiTheme="majorBidi" w:cstheme="majorBidi"/>
          <w:sz w:val="24"/>
          <w:szCs w:val="24"/>
        </w:rPr>
        <w:t>H</w:t>
      </w:r>
      <w:r w:rsidR="00124A6C" w:rsidRPr="009F77A7">
        <w:rPr>
          <w:rFonts w:asciiTheme="majorBidi" w:hAnsiTheme="majorBidi" w:cstheme="majorBidi"/>
          <w:sz w:val="24"/>
          <w:szCs w:val="24"/>
        </w:rPr>
        <w:t xml:space="preserve">ikmat wa </w:t>
      </w:r>
      <w:r w:rsidR="00784A76" w:rsidRPr="009F77A7">
        <w:rPr>
          <w:rFonts w:asciiTheme="majorBidi" w:hAnsiTheme="majorBidi" w:cstheme="majorBidi"/>
          <w:sz w:val="24"/>
          <w:szCs w:val="24"/>
        </w:rPr>
        <w:t>F</w:t>
      </w:r>
      <w:r w:rsidR="00124A6C" w:rsidRPr="009F77A7">
        <w:rPr>
          <w:rFonts w:asciiTheme="majorBidi" w:hAnsiTheme="majorBidi" w:cstheme="majorBidi"/>
          <w:sz w:val="24"/>
          <w:szCs w:val="24"/>
        </w:rPr>
        <w:t>alsafah Islāmī</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 xml:space="preserve">1360 HS. </w:t>
      </w:r>
      <w:r w:rsidR="00124A6C" w:rsidRPr="009F77A7">
        <w:rPr>
          <w:rFonts w:asciiTheme="majorBidi" w:hAnsiTheme="majorBidi" w:cstheme="majorBidi"/>
          <w:sz w:val="24"/>
          <w:szCs w:val="24"/>
        </w:rPr>
        <w:t xml:space="preserve">   </w:t>
      </w:r>
    </w:p>
    <w:p w:rsidR="009D59F3" w:rsidRPr="009F77A7" w:rsidRDefault="00471E91" w:rsidP="00176797">
      <w:pPr>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w:t>
      </w:r>
      <w:r w:rsidR="009D59F3" w:rsidRPr="009F77A7">
        <w:rPr>
          <w:rFonts w:asciiTheme="majorBidi" w:hAnsiTheme="majorBidi" w:cstheme="majorBidi"/>
          <w:sz w:val="24"/>
          <w:szCs w:val="24"/>
        </w:rPr>
        <w:t xml:space="preserve">.  </w:t>
      </w:r>
      <w:r w:rsidR="009D59F3" w:rsidRPr="009F77A7">
        <w:rPr>
          <w:rFonts w:asciiTheme="majorBidi" w:hAnsiTheme="majorBidi" w:cstheme="majorBidi"/>
          <w:i/>
          <w:iCs/>
          <w:sz w:val="24"/>
          <w:szCs w:val="24"/>
        </w:rPr>
        <w:t xml:space="preserve">al-Ḥikmah al-Muta’āliyah fī al-Asfār al-‘Aqliyyah al-Arba’ah. </w:t>
      </w:r>
      <w:r w:rsidR="009D59F3" w:rsidRPr="009F77A7">
        <w:rPr>
          <w:rFonts w:asciiTheme="majorBidi" w:hAnsiTheme="majorBidi" w:cstheme="majorBidi"/>
          <w:sz w:val="24"/>
          <w:szCs w:val="24"/>
        </w:rPr>
        <w:t>Tehran: Injaman Islāmī Hikmat wa Falsafe Islāmī</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1360 HS.</w:t>
      </w:r>
      <w:r w:rsidR="009D59F3" w:rsidRPr="009F77A7">
        <w:rPr>
          <w:rFonts w:asciiTheme="majorBidi" w:hAnsiTheme="majorBidi" w:cstheme="majorBidi"/>
          <w:sz w:val="24"/>
          <w:szCs w:val="24"/>
        </w:rPr>
        <w:t xml:space="preserve"> </w:t>
      </w:r>
    </w:p>
    <w:p w:rsidR="00471E91" w:rsidRPr="009F77A7" w:rsidRDefault="00471E91" w:rsidP="00176797">
      <w:pPr>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 </w:t>
      </w:r>
      <w:r w:rsidRPr="009F77A7">
        <w:rPr>
          <w:rFonts w:asciiTheme="majorBidi" w:hAnsiTheme="majorBidi" w:cstheme="majorBidi"/>
          <w:i/>
          <w:iCs/>
          <w:sz w:val="24"/>
          <w:szCs w:val="24"/>
        </w:rPr>
        <w:t xml:space="preserve">al-Shawāhid ar-Rubūbiyyah fī al-Manāhij as-Sulūkiyyah. </w:t>
      </w:r>
      <w:r w:rsidRPr="009F77A7">
        <w:rPr>
          <w:rFonts w:asciiTheme="majorBidi" w:hAnsiTheme="majorBidi" w:cstheme="majorBidi"/>
          <w:sz w:val="24"/>
          <w:szCs w:val="24"/>
        </w:rPr>
        <w:t>Beirut: Mu’athathah at-Tarikh al-Arabī</w:t>
      </w:r>
      <w:r w:rsidR="00176797">
        <w:rPr>
          <w:rFonts w:asciiTheme="majorBidi" w:hAnsiTheme="majorBidi" w:cstheme="majorBidi"/>
          <w:sz w:val="24"/>
          <w:szCs w:val="24"/>
        </w:rPr>
        <w:t>, 1050 HQ.</w:t>
      </w:r>
    </w:p>
    <w:p w:rsidR="002465D2" w:rsidRPr="009F77A7" w:rsidRDefault="002465D2" w:rsidP="00176797">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Shihab, M. Quraish. </w:t>
      </w:r>
      <w:r w:rsidRPr="009F77A7">
        <w:rPr>
          <w:rFonts w:asciiTheme="majorBidi" w:hAnsiTheme="majorBidi" w:cstheme="majorBidi"/>
          <w:i/>
          <w:iCs/>
          <w:sz w:val="24"/>
          <w:szCs w:val="24"/>
        </w:rPr>
        <w:t xml:space="preserve">Tafsir al-Misbāh. </w:t>
      </w:r>
      <w:r w:rsidRPr="009F77A7">
        <w:rPr>
          <w:rFonts w:asciiTheme="majorBidi" w:hAnsiTheme="majorBidi" w:cstheme="majorBidi"/>
          <w:sz w:val="24"/>
          <w:szCs w:val="24"/>
        </w:rPr>
        <w:t>Jakarta: Lentera Hati</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2002.</w:t>
      </w:r>
    </w:p>
    <w:p w:rsidR="00173665" w:rsidRPr="009F77A7" w:rsidRDefault="00173665" w:rsidP="00176797">
      <w:pPr>
        <w:spacing w:after="120"/>
        <w:ind w:left="993" w:hanging="567"/>
        <w:jc w:val="both"/>
        <w:rPr>
          <w:rFonts w:asciiTheme="majorBidi" w:hAnsiTheme="majorBidi" w:cstheme="majorBidi"/>
          <w:sz w:val="24"/>
          <w:szCs w:val="24"/>
        </w:rPr>
      </w:pPr>
      <w:r w:rsidRPr="009F77A7">
        <w:rPr>
          <w:rFonts w:asciiTheme="majorBidi" w:hAnsiTheme="majorBidi" w:cstheme="majorBidi"/>
          <w:sz w:val="24"/>
          <w:szCs w:val="24"/>
        </w:rPr>
        <w:t>--------------------</w:t>
      </w:r>
      <w:r w:rsidR="00176797">
        <w:rPr>
          <w:rFonts w:asciiTheme="majorBidi" w:hAnsiTheme="majorBidi" w:cstheme="majorBidi"/>
          <w:sz w:val="24"/>
          <w:szCs w:val="24"/>
        </w:rPr>
        <w:t xml:space="preserve">----. </w:t>
      </w:r>
      <w:r w:rsidRPr="009F77A7">
        <w:rPr>
          <w:rFonts w:asciiTheme="majorBidi" w:hAnsiTheme="majorBidi" w:cstheme="majorBidi"/>
          <w:i/>
          <w:iCs/>
          <w:sz w:val="24"/>
          <w:szCs w:val="24"/>
        </w:rPr>
        <w:t xml:space="preserve">Tafsir al-Qur’an al-Karim: Tafsir atas Surat-Surat Pendek Berdasarkan Urutan Turunnya Wahyu. </w:t>
      </w:r>
      <w:r w:rsidRPr="009F77A7">
        <w:rPr>
          <w:rFonts w:asciiTheme="majorBidi" w:hAnsiTheme="majorBidi" w:cstheme="majorBidi"/>
          <w:sz w:val="24"/>
          <w:szCs w:val="24"/>
        </w:rPr>
        <w:t>Bandung: Pustaka Hidayah</w:t>
      </w:r>
      <w:r w:rsidR="00176797">
        <w:rPr>
          <w:rFonts w:asciiTheme="majorBidi" w:hAnsiTheme="majorBidi" w:cstheme="majorBidi"/>
          <w:sz w:val="24"/>
          <w:szCs w:val="24"/>
        </w:rPr>
        <w:t>, 1999.</w:t>
      </w:r>
    </w:p>
    <w:p w:rsidR="00233139" w:rsidRPr="009F77A7" w:rsidRDefault="002465D2"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Shīrāzī, Nāsir, Makārim. </w:t>
      </w:r>
      <w:r w:rsidRPr="009F77A7">
        <w:rPr>
          <w:rFonts w:asciiTheme="majorBidi" w:hAnsiTheme="majorBidi" w:cstheme="majorBidi"/>
          <w:i/>
          <w:iCs/>
          <w:sz w:val="24"/>
          <w:szCs w:val="24"/>
        </w:rPr>
        <w:t xml:space="preserve">al-Amthāl fī tafsīr kitābillah al-munzal. </w:t>
      </w:r>
      <w:r w:rsidR="00176797">
        <w:rPr>
          <w:rFonts w:asciiTheme="majorBidi" w:hAnsiTheme="majorBidi" w:cstheme="majorBidi"/>
          <w:sz w:val="24"/>
          <w:szCs w:val="24"/>
        </w:rPr>
        <w:t xml:space="preserve">Qum: Madrasah Amirul mukminin, </w:t>
      </w:r>
      <w:r w:rsidR="00176797" w:rsidRPr="009F77A7">
        <w:rPr>
          <w:rFonts w:asciiTheme="majorBidi" w:hAnsiTheme="majorBidi" w:cstheme="majorBidi"/>
          <w:sz w:val="24"/>
          <w:szCs w:val="24"/>
        </w:rPr>
        <w:t>1421 HQ.</w:t>
      </w:r>
    </w:p>
    <w:p w:rsidR="00554A2F" w:rsidRPr="009F77A7" w:rsidRDefault="00233139"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Sina, Ibn. </w:t>
      </w:r>
      <w:r w:rsidRPr="009F77A7">
        <w:rPr>
          <w:rFonts w:asciiTheme="majorBidi" w:hAnsiTheme="majorBidi" w:cstheme="majorBidi"/>
          <w:i/>
          <w:iCs/>
          <w:sz w:val="24"/>
          <w:szCs w:val="24"/>
        </w:rPr>
        <w:t>al-Mabdā wa al-ma’ād</w:t>
      </w:r>
      <w:r w:rsidRPr="009F77A7">
        <w:rPr>
          <w:rFonts w:asciiTheme="majorBidi" w:hAnsiTheme="majorBidi" w:cstheme="majorBidi"/>
          <w:sz w:val="24"/>
          <w:szCs w:val="24"/>
        </w:rPr>
        <w:t>.  Tehran: Tehran Universitas Press</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1998.</w:t>
      </w:r>
      <w:r w:rsidRPr="009F77A7">
        <w:rPr>
          <w:rFonts w:asciiTheme="majorBidi" w:hAnsiTheme="majorBidi" w:cstheme="majorBidi"/>
          <w:sz w:val="24"/>
          <w:szCs w:val="24"/>
        </w:rPr>
        <w:t xml:space="preserve"> </w:t>
      </w:r>
    </w:p>
    <w:p w:rsidR="002465D2" w:rsidRPr="009F77A7" w:rsidRDefault="001C7A51"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Suyūṭī, </w:t>
      </w:r>
      <w:r w:rsidR="002465D2" w:rsidRPr="009F77A7">
        <w:rPr>
          <w:rFonts w:asciiTheme="majorBidi" w:hAnsiTheme="majorBidi" w:cstheme="majorBidi"/>
          <w:sz w:val="24"/>
          <w:szCs w:val="24"/>
        </w:rPr>
        <w:t>Jalāluddīn</w:t>
      </w:r>
      <w:r w:rsidRPr="009F77A7">
        <w:rPr>
          <w:rFonts w:asciiTheme="majorBidi" w:hAnsiTheme="majorBidi" w:cstheme="majorBidi"/>
          <w:sz w:val="24"/>
          <w:szCs w:val="24"/>
        </w:rPr>
        <w:t>,</w:t>
      </w:r>
      <w:r w:rsidR="002465D2" w:rsidRPr="009F77A7">
        <w:rPr>
          <w:rFonts w:asciiTheme="majorBidi" w:hAnsiTheme="majorBidi" w:cstheme="majorBidi"/>
          <w:sz w:val="24"/>
          <w:szCs w:val="24"/>
        </w:rPr>
        <w:t xml:space="preserve"> </w:t>
      </w:r>
      <w:r w:rsidRPr="009F77A7">
        <w:rPr>
          <w:rFonts w:asciiTheme="majorBidi" w:hAnsiTheme="majorBidi" w:cstheme="majorBidi"/>
          <w:sz w:val="24"/>
          <w:szCs w:val="24"/>
        </w:rPr>
        <w:t>A</w:t>
      </w:r>
      <w:r w:rsidR="002465D2" w:rsidRPr="009F77A7">
        <w:rPr>
          <w:rFonts w:asciiTheme="majorBidi" w:hAnsiTheme="majorBidi" w:cstheme="majorBidi"/>
          <w:sz w:val="24"/>
          <w:szCs w:val="24"/>
        </w:rPr>
        <w:t>s</w:t>
      </w:r>
      <w:r w:rsidRPr="009F77A7">
        <w:rPr>
          <w:rFonts w:asciiTheme="majorBidi" w:hAnsiTheme="majorBidi" w:cstheme="majorBidi"/>
          <w:i/>
          <w:iCs/>
          <w:sz w:val="24"/>
          <w:szCs w:val="24"/>
        </w:rPr>
        <w:t xml:space="preserve">. </w:t>
      </w:r>
      <w:r w:rsidR="002465D2" w:rsidRPr="009F77A7">
        <w:rPr>
          <w:rFonts w:asciiTheme="majorBidi" w:hAnsiTheme="majorBidi" w:cstheme="majorBidi"/>
          <w:i/>
          <w:iCs/>
          <w:sz w:val="24"/>
          <w:szCs w:val="24"/>
        </w:rPr>
        <w:t>al-Durr al-Manthūr fī Tafsīr bi al-</w:t>
      </w:r>
      <w:r w:rsidRPr="009F77A7">
        <w:rPr>
          <w:rFonts w:asciiTheme="majorBidi" w:hAnsiTheme="majorBidi" w:cstheme="majorBidi"/>
          <w:i/>
          <w:iCs/>
          <w:sz w:val="24"/>
          <w:szCs w:val="24"/>
        </w:rPr>
        <w:t>Ma’thūr.</w:t>
      </w:r>
      <w:r w:rsidR="002465D2" w:rsidRPr="009F77A7">
        <w:rPr>
          <w:rFonts w:asciiTheme="majorBidi" w:hAnsiTheme="majorBidi" w:cstheme="majorBidi"/>
          <w:i/>
          <w:iCs/>
          <w:sz w:val="24"/>
          <w:szCs w:val="24"/>
        </w:rPr>
        <w:t xml:space="preserve"> </w:t>
      </w:r>
      <w:r w:rsidR="002465D2" w:rsidRPr="009F77A7">
        <w:rPr>
          <w:rFonts w:asciiTheme="majorBidi" w:hAnsiTheme="majorBidi" w:cstheme="majorBidi"/>
          <w:sz w:val="24"/>
          <w:szCs w:val="24"/>
        </w:rPr>
        <w:t>Qum: Maktabah Ayatullah Mar’asyi al-Najafi</w:t>
      </w:r>
      <w:r w:rsidR="00176797">
        <w:rPr>
          <w:rFonts w:asciiTheme="majorBidi" w:hAnsiTheme="majorBidi" w:cstheme="majorBidi"/>
          <w:sz w:val="24"/>
          <w:szCs w:val="24"/>
        </w:rPr>
        <w:t>,1440 H.</w:t>
      </w:r>
    </w:p>
    <w:p w:rsidR="00732022" w:rsidRPr="009F77A7" w:rsidRDefault="00732022"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Syāhrūdī, ‘Alī, An-Namāzī, Asy. </w:t>
      </w:r>
      <w:r w:rsidRPr="009F77A7">
        <w:rPr>
          <w:rFonts w:asciiTheme="majorBidi" w:hAnsiTheme="majorBidi" w:cstheme="majorBidi"/>
          <w:i/>
          <w:iCs/>
          <w:sz w:val="24"/>
          <w:szCs w:val="24"/>
        </w:rPr>
        <w:t xml:space="preserve">Mustadrak Safīnah al-Bihār, </w:t>
      </w:r>
      <w:r w:rsidRPr="009F77A7">
        <w:rPr>
          <w:rFonts w:asciiTheme="majorBidi" w:hAnsiTheme="majorBidi" w:cstheme="majorBidi"/>
          <w:sz w:val="24"/>
          <w:szCs w:val="24"/>
        </w:rPr>
        <w:t>(Qum: Mu’assasah an-Nasyr al-Islāmī</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1469 HQ.</w:t>
      </w:r>
    </w:p>
    <w:p w:rsidR="009D59F3" w:rsidRPr="009F77A7" w:rsidRDefault="009D59F3"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Ṭabāṭabā’ī, Muḥammad, Ḥusein. </w:t>
      </w:r>
      <w:r w:rsidRPr="009F77A7">
        <w:rPr>
          <w:rFonts w:asciiTheme="majorBidi" w:hAnsiTheme="majorBidi" w:cstheme="majorBidi"/>
          <w:i/>
          <w:iCs/>
          <w:sz w:val="24"/>
          <w:szCs w:val="24"/>
        </w:rPr>
        <w:t xml:space="preserve">al-Mīzān fī Tafsīr al-Qur’ān. </w:t>
      </w:r>
      <w:r w:rsidRPr="009F77A7">
        <w:rPr>
          <w:rFonts w:asciiTheme="majorBidi" w:hAnsiTheme="majorBidi" w:cstheme="majorBidi"/>
          <w:sz w:val="24"/>
          <w:szCs w:val="24"/>
        </w:rPr>
        <w:t>Qum: al-Mu’assasah al-Nasyr al-Islāmī</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1417 H.</w:t>
      </w:r>
      <w:r w:rsidRPr="009F77A7">
        <w:rPr>
          <w:rFonts w:asciiTheme="majorBidi" w:hAnsiTheme="majorBidi" w:cstheme="majorBidi"/>
          <w:sz w:val="24"/>
          <w:szCs w:val="24"/>
        </w:rPr>
        <w:t xml:space="preserve">  </w:t>
      </w:r>
    </w:p>
    <w:p w:rsidR="00732022" w:rsidRPr="009F77A7" w:rsidRDefault="00732022"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Ṭabarī, Muḥammad, bin, Jarīr, At. </w:t>
      </w:r>
      <w:r w:rsidRPr="009F77A7">
        <w:rPr>
          <w:rFonts w:asciiTheme="majorBidi" w:hAnsiTheme="majorBidi" w:cstheme="majorBidi"/>
          <w:i/>
          <w:iCs/>
          <w:sz w:val="24"/>
          <w:szCs w:val="24"/>
        </w:rPr>
        <w:t xml:space="preserve">Tafsīr at-Ṭabarī. </w:t>
      </w:r>
      <w:r w:rsidRPr="009F77A7">
        <w:rPr>
          <w:rFonts w:asciiTheme="majorBidi" w:hAnsiTheme="majorBidi" w:cstheme="majorBidi"/>
          <w:sz w:val="24"/>
          <w:szCs w:val="24"/>
        </w:rPr>
        <w:t>Kairo: Dār as-Salām</w:t>
      </w:r>
      <w:r w:rsidR="00176797">
        <w:rPr>
          <w:rFonts w:asciiTheme="majorBidi" w:hAnsiTheme="majorBidi" w:cstheme="majorBidi"/>
          <w:sz w:val="24"/>
          <w:szCs w:val="24"/>
        </w:rPr>
        <w:t xml:space="preserve">, </w:t>
      </w:r>
      <w:r w:rsidR="00176797" w:rsidRPr="009F77A7">
        <w:rPr>
          <w:rFonts w:asciiTheme="majorBidi" w:hAnsiTheme="majorBidi" w:cstheme="majorBidi"/>
          <w:sz w:val="24"/>
          <w:szCs w:val="24"/>
        </w:rPr>
        <w:t>1430 H.</w:t>
      </w:r>
    </w:p>
    <w:p w:rsidR="004A5CEF" w:rsidRPr="009F77A7" w:rsidRDefault="004A5CEF" w:rsidP="00176797">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Usman, Husaini dan Purnomo Setiady Akbar. </w:t>
      </w:r>
      <w:r w:rsidRPr="009F77A7">
        <w:rPr>
          <w:rFonts w:asciiTheme="majorBidi" w:hAnsiTheme="majorBidi" w:cstheme="majorBidi"/>
          <w:i/>
          <w:iCs/>
          <w:sz w:val="24"/>
          <w:szCs w:val="24"/>
        </w:rPr>
        <w:t>Metode Penelitian Sosial.</w:t>
      </w:r>
      <w:r w:rsidR="00176797">
        <w:rPr>
          <w:rFonts w:asciiTheme="majorBidi" w:hAnsiTheme="majorBidi" w:cstheme="majorBidi"/>
          <w:sz w:val="24"/>
          <w:szCs w:val="24"/>
        </w:rPr>
        <w:t xml:space="preserve"> Jakarta: Bumi Aksara, 2014.</w:t>
      </w:r>
      <w:r w:rsidRPr="009F77A7">
        <w:rPr>
          <w:rFonts w:asciiTheme="majorBidi" w:hAnsiTheme="majorBidi" w:cstheme="majorBidi"/>
          <w:sz w:val="24"/>
          <w:szCs w:val="24"/>
        </w:rPr>
        <w:t xml:space="preserve"> </w:t>
      </w:r>
    </w:p>
    <w:p w:rsidR="009B5529" w:rsidRPr="009F77A7" w:rsidRDefault="009B5529" w:rsidP="00B01F7F">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Walid, Kholid, Al. </w:t>
      </w:r>
      <w:r w:rsidRPr="009F77A7">
        <w:rPr>
          <w:rFonts w:asciiTheme="majorBidi" w:hAnsiTheme="majorBidi" w:cstheme="majorBidi"/>
          <w:i/>
          <w:iCs/>
          <w:sz w:val="24"/>
          <w:szCs w:val="24"/>
        </w:rPr>
        <w:t xml:space="preserve">Perjalanan Jiwa Menuju Akhirat: Filsafat Ekastologi Mulla Sadra. </w:t>
      </w:r>
      <w:r w:rsidR="00B01F7F">
        <w:rPr>
          <w:rFonts w:asciiTheme="majorBidi" w:hAnsiTheme="majorBidi" w:cstheme="majorBidi"/>
          <w:sz w:val="24"/>
          <w:szCs w:val="24"/>
        </w:rPr>
        <w:t xml:space="preserve">Jakarta: Sadra Press, </w:t>
      </w:r>
      <w:r w:rsidR="00B01F7F" w:rsidRPr="009F77A7">
        <w:rPr>
          <w:rFonts w:asciiTheme="majorBidi" w:hAnsiTheme="majorBidi" w:cstheme="majorBidi"/>
          <w:sz w:val="24"/>
          <w:szCs w:val="24"/>
        </w:rPr>
        <w:t>2012.</w:t>
      </w:r>
      <w:r w:rsidRPr="009F77A7">
        <w:rPr>
          <w:rFonts w:asciiTheme="majorBidi" w:hAnsiTheme="majorBidi" w:cstheme="majorBidi"/>
          <w:sz w:val="24"/>
          <w:szCs w:val="24"/>
        </w:rPr>
        <w:t xml:space="preserve"> </w:t>
      </w:r>
    </w:p>
    <w:p w:rsidR="00D7700B" w:rsidRPr="009F77A7" w:rsidRDefault="00D7700B" w:rsidP="00B01F7F">
      <w:pPr>
        <w:autoSpaceDE w:val="0"/>
        <w:autoSpaceDN w:val="0"/>
        <w:adjustRightInd w:val="0"/>
        <w:spacing w:after="120" w:line="240" w:lineRule="auto"/>
        <w:ind w:left="993" w:hanging="567"/>
        <w:jc w:val="both"/>
        <w:rPr>
          <w:rFonts w:asciiTheme="majorBidi" w:hAnsiTheme="majorBidi" w:cstheme="majorBidi"/>
          <w:sz w:val="24"/>
          <w:szCs w:val="24"/>
        </w:rPr>
      </w:pPr>
      <w:r w:rsidRPr="009F77A7">
        <w:rPr>
          <w:rFonts w:asciiTheme="majorBidi" w:hAnsiTheme="majorBidi" w:cstheme="majorBidi"/>
          <w:sz w:val="24"/>
          <w:szCs w:val="24"/>
        </w:rPr>
        <w:t xml:space="preserve">Yazdī, M. Taqī, Misbah. </w:t>
      </w:r>
      <w:r w:rsidRPr="009F77A7">
        <w:rPr>
          <w:rFonts w:asciiTheme="majorBidi" w:hAnsiTheme="majorBidi" w:cstheme="majorBidi"/>
          <w:i/>
          <w:iCs/>
          <w:sz w:val="24"/>
          <w:szCs w:val="24"/>
        </w:rPr>
        <w:t xml:space="preserve">Jagad diri, </w:t>
      </w:r>
      <w:r w:rsidRPr="009F77A7">
        <w:rPr>
          <w:rFonts w:asciiTheme="majorBidi" w:hAnsiTheme="majorBidi" w:cstheme="majorBidi"/>
          <w:sz w:val="24"/>
          <w:szCs w:val="24"/>
        </w:rPr>
        <w:t>diterjemahkan oleh Ali Ampenan. Jakarta: Al</w:t>
      </w:r>
      <w:r w:rsidR="00B01F7F">
        <w:rPr>
          <w:rFonts w:asciiTheme="majorBidi" w:hAnsiTheme="majorBidi" w:cstheme="majorBidi"/>
          <w:sz w:val="24"/>
          <w:szCs w:val="24"/>
        </w:rPr>
        <w:t xml:space="preserve">-Huda, </w:t>
      </w:r>
      <w:r w:rsidR="00B01F7F" w:rsidRPr="009F77A7">
        <w:rPr>
          <w:rFonts w:asciiTheme="majorBidi" w:hAnsiTheme="majorBidi" w:cstheme="majorBidi"/>
          <w:sz w:val="24"/>
          <w:szCs w:val="24"/>
        </w:rPr>
        <w:t>2006.</w:t>
      </w:r>
      <w:r w:rsidRPr="009F77A7">
        <w:rPr>
          <w:rFonts w:asciiTheme="majorBidi" w:hAnsiTheme="majorBidi" w:cstheme="majorBidi"/>
          <w:sz w:val="24"/>
          <w:szCs w:val="24"/>
        </w:rPr>
        <w:t xml:space="preserve"> </w:t>
      </w:r>
    </w:p>
    <w:p w:rsidR="0059389B" w:rsidRPr="009F77A7" w:rsidRDefault="0059389B" w:rsidP="00167F8B">
      <w:pPr>
        <w:autoSpaceDE w:val="0"/>
        <w:autoSpaceDN w:val="0"/>
        <w:adjustRightInd w:val="0"/>
        <w:spacing w:after="120" w:line="240" w:lineRule="auto"/>
        <w:ind w:left="993" w:hanging="567"/>
        <w:jc w:val="both"/>
        <w:rPr>
          <w:rFonts w:asciiTheme="majorBidi" w:hAnsiTheme="majorBidi" w:cstheme="majorBidi"/>
          <w:b/>
          <w:bCs/>
          <w:sz w:val="24"/>
          <w:szCs w:val="24"/>
        </w:rPr>
      </w:pPr>
      <w:r w:rsidRPr="009F77A7">
        <w:rPr>
          <w:rFonts w:asciiTheme="majorBidi" w:hAnsiTheme="majorBidi" w:cstheme="majorBidi"/>
          <w:sz w:val="24"/>
          <w:szCs w:val="24"/>
        </w:rPr>
        <w:t xml:space="preserve">Yusufian, Hasan. </w:t>
      </w:r>
      <w:r w:rsidRPr="009F77A7">
        <w:rPr>
          <w:rFonts w:asciiTheme="majorBidi" w:hAnsiTheme="majorBidi" w:cstheme="majorBidi"/>
          <w:i/>
          <w:iCs/>
          <w:sz w:val="24"/>
          <w:szCs w:val="24"/>
        </w:rPr>
        <w:t xml:space="preserve">Kalam Jadid: Pendekatan Baru dalam Isu-Isu Agama. </w:t>
      </w:r>
      <w:r w:rsidRPr="009F77A7">
        <w:rPr>
          <w:rFonts w:asciiTheme="majorBidi" w:hAnsiTheme="majorBidi" w:cstheme="majorBidi"/>
          <w:sz w:val="24"/>
          <w:szCs w:val="24"/>
        </w:rPr>
        <w:t>Jakarta: Sadra Press</w:t>
      </w:r>
      <w:r w:rsidR="00B01F7F">
        <w:rPr>
          <w:rFonts w:asciiTheme="majorBidi" w:hAnsiTheme="majorBidi" w:cstheme="majorBidi"/>
          <w:sz w:val="24"/>
          <w:szCs w:val="24"/>
        </w:rPr>
        <w:t xml:space="preserve">, </w:t>
      </w:r>
      <w:r w:rsidR="00B01F7F" w:rsidRPr="009F77A7">
        <w:rPr>
          <w:rFonts w:asciiTheme="majorBidi" w:hAnsiTheme="majorBidi" w:cstheme="majorBidi"/>
          <w:sz w:val="24"/>
          <w:szCs w:val="24"/>
        </w:rPr>
        <w:t>2014.</w:t>
      </w:r>
      <w:r w:rsidR="00B01F7F">
        <w:rPr>
          <w:rFonts w:asciiTheme="majorBidi" w:hAnsiTheme="majorBidi" w:cstheme="majorBidi"/>
          <w:sz w:val="24"/>
          <w:szCs w:val="24"/>
        </w:rPr>
        <w:t xml:space="preserve"> </w:t>
      </w:r>
      <w:r w:rsidRPr="009F77A7">
        <w:rPr>
          <w:rFonts w:asciiTheme="majorBidi" w:hAnsiTheme="majorBidi" w:cstheme="majorBidi"/>
          <w:sz w:val="24"/>
          <w:szCs w:val="24"/>
        </w:rPr>
        <w:t xml:space="preserve"> </w:t>
      </w:r>
    </w:p>
    <w:p w:rsidR="00554A2F" w:rsidRPr="009F77A7" w:rsidRDefault="00554A2F" w:rsidP="0059389B">
      <w:pPr>
        <w:autoSpaceDE w:val="0"/>
        <w:autoSpaceDN w:val="0"/>
        <w:adjustRightInd w:val="0"/>
        <w:spacing w:after="120" w:line="240" w:lineRule="auto"/>
        <w:jc w:val="both"/>
        <w:rPr>
          <w:rFonts w:asciiTheme="majorBidi" w:hAnsiTheme="majorBidi" w:cstheme="majorBidi"/>
          <w:b/>
          <w:bCs/>
          <w:sz w:val="24"/>
          <w:szCs w:val="24"/>
        </w:rPr>
      </w:pPr>
    </w:p>
    <w:p w:rsidR="00554A2F" w:rsidRPr="00073463" w:rsidRDefault="00554A2F" w:rsidP="00554A2F">
      <w:pPr>
        <w:autoSpaceDE w:val="0"/>
        <w:autoSpaceDN w:val="0"/>
        <w:adjustRightInd w:val="0"/>
        <w:spacing w:after="0" w:line="240" w:lineRule="auto"/>
        <w:jc w:val="both"/>
        <w:rPr>
          <w:rFonts w:asciiTheme="majorBidi" w:hAnsiTheme="majorBidi" w:cstheme="majorBidi"/>
          <w:b/>
          <w:bCs/>
          <w:sz w:val="24"/>
          <w:szCs w:val="24"/>
          <w:lang w:val="en-US"/>
        </w:rPr>
      </w:pPr>
      <w:bookmarkStart w:id="0" w:name="_GoBack"/>
      <w:bookmarkEnd w:id="0"/>
    </w:p>
    <w:sectPr w:rsidR="00554A2F" w:rsidRPr="00073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53" w:rsidRDefault="00FF5453" w:rsidP="009C6A61">
      <w:pPr>
        <w:spacing w:after="0" w:line="240" w:lineRule="auto"/>
      </w:pPr>
      <w:r>
        <w:separator/>
      </w:r>
    </w:p>
  </w:endnote>
  <w:endnote w:type="continuationSeparator" w:id="0">
    <w:p w:rsidR="00FF5453" w:rsidRDefault="00FF5453" w:rsidP="009C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53" w:rsidRDefault="00FF5453" w:rsidP="009C6A61">
      <w:pPr>
        <w:spacing w:after="0" w:line="240" w:lineRule="auto"/>
      </w:pPr>
      <w:r>
        <w:separator/>
      </w:r>
    </w:p>
  </w:footnote>
  <w:footnote w:type="continuationSeparator" w:id="0">
    <w:p w:rsidR="00FF5453" w:rsidRDefault="00FF5453" w:rsidP="009C6A61">
      <w:pPr>
        <w:spacing w:after="0" w:line="240" w:lineRule="auto"/>
      </w:pPr>
      <w:r>
        <w:continuationSeparator/>
      </w:r>
    </w:p>
  </w:footnote>
  <w:footnote w:id="1">
    <w:p w:rsidR="003127C4" w:rsidRPr="001B2E5E" w:rsidRDefault="003127C4" w:rsidP="001C6C9D">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Bulan Ramadhan, bulan yang di dalamnya diturunkan Alquran sebagai petunjuk bagi manusia, (QS: al-Baqarah 2:185).</w:t>
      </w:r>
      <w:r w:rsidRPr="001B2E5E">
        <w:rPr>
          <w:rFonts w:ascii="Garamond" w:hAnsi="Garamond"/>
          <w:sz w:val="20"/>
          <w:szCs w:val="20"/>
        </w:rPr>
        <w:t xml:space="preserve">  </w:t>
      </w:r>
    </w:p>
  </w:footnote>
  <w:footnote w:id="2">
    <w:p w:rsidR="003127C4" w:rsidRPr="001B2E5E" w:rsidRDefault="003127C4" w:rsidP="001C6C9D">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Itulah al-Kitab, tidak ada keraguan padanya; petunjuk bagi orang-orang bertakwa (QS: al-Baqarah 2:2).</w:t>
      </w:r>
      <w:r w:rsidRPr="001B2E5E">
        <w:rPr>
          <w:rFonts w:ascii="Garamond" w:hAnsi="Garamond"/>
          <w:sz w:val="20"/>
          <w:szCs w:val="20"/>
        </w:rPr>
        <w:t xml:space="preserve">   </w:t>
      </w:r>
    </w:p>
  </w:footnote>
  <w:footnote w:id="3">
    <w:p w:rsidR="003127C4" w:rsidRPr="001B2E5E" w:rsidRDefault="003127C4" w:rsidP="004804E2">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 xml:space="preserve">Nāsir Makārim </w:t>
      </w:r>
      <w:r w:rsidRPr="001B2E5E">
        <w:rPr>
          <w:rFonts w:ascii="Garamond" w:hAnsi="Garamond" w:cs="Times New Roman"/>
          <w:sz w:val="20"/>
          <w:szCs w:val="20"/>
        </w:rPr>
        <w:t>Sh</w:t>
      </w:r>
      <w:r w:rsidRPr="001B2E5E">
        <w:rPr>
          <w:rFonts w:ascii="Garamond" w:hAnsi="Garamond" w:cs="TimesNewRomanPSMT"/>
          <w:sz w:val="20"/>
          <w:szCs w:val="20"/>
        </w:rPr>
        <w:t xml:space="preserve">īrāzī, </w:t>
      </w:r>
      <w:r w:rsidRPr="001B2E5E">
        <w:rPr>
          <w:rFonts w:ascii="Garamond" w:hAnsi="Garamond" w:cs="Times New Roman"/>
          <w:i/>
          <w:iCs/>
          <w:sz w:val="20"/>
          <w:szCs w:val="20"/>
        </w:rPr>
        <w:t>al-A</w:t>
      </w:r>
      <w:r w:rsidRPr="001B2E5E">
        <w:rPr>
          <w:rFonts w:ascii="Garamond" w:hAnsi="Garamond" w:cs="TimesNewRomanPS-ItalicMT"/>
          <w:i/>
          <w:iCs/>
          <w:sz w:val="20"/>
          <w:szCs w:val="20"/>
        </w:rPr>
        <w:t>mthāl fī tafsīr kitābillah al</w:t>
      </w:r>
      <w:r w:rsidRPr="001B2E5E">
        <w:rPr>
          <w:rFonts w:ascii="Garamond" w:hAnsi="Garamond" w:cs="Times New Roman"/>
          <w:i/>
          <w:iCs/>
          <w:sz w:val="20"/>
          <w:szCs w:val="20"/>
        </w:rPr>
        <w:t xml:space="preserve">-munzal, </w:t>
      </w:r>
      <w:r w:rsidRPr="001B2E5E">
        <w:rPr>
          <w:rFonts w:ascii="Garamond" w:hAnsi="Garamond" w:cs="Times New Roman"/>
          <w:sz w:val="20"/>
          <w:szCs w:val="20"/>
        </w:rPr>
        <w:t xml:space="preserve">(Qum: Madrasah Amirul mukminin, 1421 HQ), </w:t>
      </w:r>
      <w:r>
        <w:rPr>
          <w:rFonts w:ascii="Garamond" w:hAnsi="Garamond" w:cs="Times New Roman"/>
          <w:sz w:val="20"/>
          <w:szCs w:val="20"/>
        </w:rPr>
        <w:t>1:</w:t>
      </w:r>
      <w:r w:rsidRPr="001B2E5E">
        <w:rPr>
          <w:rFonts w:ascii="Garamond" w:hAnsi="Garamond" w:cs="Times New Roman"/>
          <w:sz w:val="20"/>
          <w:szCs w:val="20"/>
        </w:rPr>
        <w:t xml:space="preserve"> 74.</w:t>
      </w:r>
      <w:r w:rsidRPr="001B2E5E">
        <w:rPr>
          <w:rFonts w:ascii="Garamond" w:hAnsi="Garamond"/>
          <w:sz w:val="20"/>
          <w:szCs w:val="20"/>
        </w:rPr>
        <w:t xml:space="preserve">   </w:t>
      </w:r>
    </w:p>
  </w:footnote>
  <w:footnote w:id="4">
    <w:p w:rsidR="003127C4" w:rsidRPr="001B2E5E" w:rsidRDefault="003127C4" w:rsidP="00180BF6">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 Quraish Shihab, </w:t>
      </w:r>
      <w:r w:rsidRPr="001B2E5E">
        <w:rPr>
          <w:rFonts w:ascii="Garamond" w:hAnsi="Garamond" w:cs="Times New Roman"/>
          <w:i/>
          <w:iCs/>
          <w:sz w:val="20"/>
          <w:szCs w:val="20"/>
        </w:rPr>
        <w:t>Tafsir al-</w:t>
      </w:r>
      <w:r w:rsidRPr="001B2E5E">
        <w:rPr>
          <w:rFonts w:ascii="Garamond" w:hAnsi="Garamond" w:cs="TimesNewRomanPS-ItalicMT"/>
          <w:i/>
          <w:iCs/>
          <w:sz w:val="20"/>
          <w:szCs w:val="20"/>
        </w:rPr>
        <w:t>Misbā</w:t>
      </w:r>
      <w:r w:rsidRPr="001B2E5E">
        <w:rPr>
          <w:rFonts w:ascii="Garamond" w:hAnsi="Garamond" w:cs="Times New Roman"/>
          <w:i/>
          <w:iCs/>
          <w:sz w:val="20"/>
          <w:szCs w:val="20"/>
        </w:rPr>
        <w:t xml:space="preserve">h, </w:t>
      </w:r>
      <w:r w:rsidRPr="001B2E5E">
        <w:rPr>
          <w:rFonts w:ascii="Garamond" w:hAnsi="Garamond" w:cs="Times New Roman"/>
          <w:sz w:val="20"/>
          <w:szCs w:val="20"/>
        </w:rPr>
        <w:t>(Jakarta: Lentera Hati, 2002), 1</w:t>
      </w:r>
      <w:r>
        <w:rPr>
          <w:rFonts w:ascii="Garamond" w:hAnsi="Garamond" w:cs="Times New Roman"/>
          <w:sz w:val="20"/>
          <w:szCs w:val="20"/>
        </w:rPr>
        <w:t xml:space="preserve">: </w:t>
      </w:r>
      <w:r w:rsidRPr="001B2E5E">
        <w:rPr>
          <w:rFonts w:ascii="Garamond" w:hAnsi="Garamond" w:cs="Times New Roman"/>
          <w:sz w:val="20"/>
          <w:szCs w:val="20"/>
        </w:rPr>
        <w:t xml:space="preserve">79; Lihat juga </w:t>
      </w:r>
      <w:r w:rsidRPr="001B2E5E">
        <w:rPr>
          <w:rFonts w:ascii="Garamond" w:hAnsi="Garamond" w:cs="TimesNewRomanPSMT"/>
          <w:sz w:val="20"/>
          <w:szCs w:val="20"/>
        </w:rPr>
        <w:t>Muhammad Fuād Abdul Bāqī,</w:t>
      </w:r>
      <w:r w:rsidRPr="001B2E5E">
        <w:rPr>
          <w:rFonts w:ascii="Garamond" w:hAnsi="Garamond" w:cs="Times New Roman"/>
          <w:sz w:val="20"/>
          <w:szCs w:val="20"/>
        </w:rPr>
        <w:t xml:space="preserve"> </w:t>
      </w:r>
      <w:r w:rsidRPr="001B2E5E">
        <w:rPr>
          <w:rFonts w:ascii="Garamond" w:hAnsi="Garamond" w:cs="TimesNewRomanPS-ItalicMT"/>
          <w:i/>
          <w:iCs/>
          <w:sz w:val="20"/>
          <w:szCs w:val="20"/>
        </w:rPr>
        <w:t>Mu’jam al</w:t>
      </w:r>
      <w:r w:rsidRPr="001B2E5E">
        <w:rPr>
          <w:rFonts w:ascii="Garamond" w:hAnsi="Garamond" w:cs="Times New Roman"/>
          <w:i/>
          <w:iCs/>
          <w:sz w:val="20"/>
          <w:szCs w:val="20"/>
        </w:rPr>
        <w:t>-</w:t>
      </w:r>
      <w:r w:rsidRPr="001B2E5E">
        <w:rPr>
          <w:rFonts w:ascii="Garamond" w:hAnsi="Garamond" w:cs="TimesNewRomanPS-ItalicMT"/>
          <w:i/>
          <w:iCs/>
          <w:sz w:val="20"/>
          <w:szCs w:val="20"/>
        </w:rPr>
        <w:t>Mufahras lialfā</w:t>
      </w:r>
      <w:r w:rsidRPr="001B2E5E">
        <w:rPr>
          <w:rFonts w:ascii="Cambria" w:hAnsi="Cambria" w:cs="Cambria"/>
          <w:i/>
          <w:iCs/>
          <w:sz w:val="20"/>
          <w:szCs w:val="20"/>
        </w:rPr>
        <w:t>ẓ</w:t>
      </w:r>
      <w:r w:rsidRPr="001B2E5E">
        <w:rPr>
          <w:rFonts w:ascii="Garamond" w:hAnsi="Garamond" w:cs="TimesNewRomanPS-ItalicMT"/>
          <w:i/>
          <w:iCs/>
          <w:sz w:val="20"/>
          <w:szCs w:val="20"/>
        </w:rPr>
        <w:t>il Qur’ān al</w:t>
      </w:r>
      <w:r w:rsidRPr="001B2E5E">
        <w:rPr>
          <w:rFonts w:ascii="Garamond" w:hAnsi="Garamond" w:cs="Times New Roman"/>
          <w:i/>
          <w:iCs/>
          <w:sz w:val="20"/>
          <w:szCs w:val="20"/>
        </w:rPr>
        <w:t>-</w:t>
      </w:r>
      <w:r w:rsidRPr="001B2E5E">
        <w:rPr>
          <w:rFonts w:ascii="Garamond" w:hAnsi="Garamond" w:cs="TimesNewRomanPS-ItalicMT"/>
          <w:i/>
          <w:iCs/>
          <w:sz w:val="20"/>
          <w:szCs w:val="20"/>
        </w:rPr>
        <w:t>Karīm,</w:t>
      </w:r>
      <w:r w:rsidRPr="001B2E5E">
        <w:rPr>
          <w:rFonts w:ascii="Garamond" w:hAnsi="Garamond" w:cs="TimesNewRomanPSMT"/>
          <w:sz w:val="20"/>
          <w:szCs w:val="20"/>
        </w:rPr>
        <w:t xml:space="preserve"> (Kairo: Darul Hadith, 2018), </w:t>
      </w:r>
      <w:r w:rsidRPr="001B2E5E">
        <w:rPr>
          <w:rFonts w:ascii="Garamond" w:hAnsi="Garamond" w:cs="Times New Roman"/>
          <w:sz w:val="20"/>
          <w:szCs w:val="20"/>
        </w:rPr>
        <w:t xml:space="preserve">398-399. </w:t>
      </w:r>
      <w:r w:rsidRPr="001B2E5E">
        <w:rPr>
          <w:rFonts w:ascii="Garamond" w:hAnsi="Garamond"/>
          <w:sz w:val="20"/>
          <w:szCs w:val="20"/>
        </w:rPr>
        <w:t xml:space="preserve"> </w:t>
      </w:r>
    </w:p>
  </w:footnote>
  <w:footnote w:id="5">
    <w:p w:rsidR="003127C4" w:rsidRPr="001B2E5E" w:rsidRDefault="003127C4" w:rsidP="001C6C9D">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Menurut banyak hadis Nabi saw dan kebanyakan para ulama, al-Fatihah disebut </w:t>
      </w:r>
      <w:r w:rsidRPr="001B2E5E">
        <w:rPr>
          <w:rFonts w:ascii="Garamond" w:hAnsi="Garamond" w:cs="TimesNewRomanPS-ItalicMT"/>
          <w:i/>
          <w:iCs/>
          <w:sz w:val="20"/>
          <w:szCs w:val="20"/>
        </w:rPr>
        <w:t>sab’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mathānī. Sab’ </w:t>
      </w:r>
      <w:r w:rsidRPr="001B2E5E">
        <w:rPr>
          <w:rFonts w:ascii="Garamond" w:hAnsi="Garamond" w:cs="Times New Roman"/>
          <w:sz w:val="20"/>
          <w:szCs w:val="20"/>
        </w:rPr>
        <w:t xml:space="preserve">mengacu pada tujuh ayat al-Fatihah dan </w:t>
      </w:r>
      <w:r w:rsidRPr="001B2E5E">
        <w:rPr>
          <w:rFonts w:ascii="Garamond" w:hAnsi="Garamond" w:cs="Times New Roman"/>
          <w:i/>
          <w:iCs/>
          <w:sz w:val="20"/>
          <w:szCs w:val="20"/>
        </w:rPr>
        <w:t>al-</w:t>
      </w:r>
      <w:r w:rsidRPr="001B2E5E">
        <w:rPr>
          <w:rFonts w:ascii="Garamond" w:hAnsi="Garamond" w:cs="TimesNewRomanPS-ItalicMT"/>
          <w:i/>
          <w:iCs/>
          <w:sz w:val="20"/>
          <w:szCs w:val="20"/>
        </w:rPr>
        <w:t xml:space="preserve">mathānī </w:t>
      </w:r>
      <w:r w:rsidRPr="001B2E5E">
        <w:rPr>
          <w:rFonts w:ascii="Garamond" w:hAnsi="Garamond" w:cs="Times New Roman"/>
          <w:sz w:val="20"/>
          <w:szCs w:val="20"/>
        </w:rPr>
        <w:t>berarti yang berulang-ulang, karena berkali-kali dibaca dalam salat.</w:t>
      </w:r>
      <w:r w:rsidRPr="001B2E5E">
        <w:rPr>
          <w:rFonts w:ascii="Garamond" w:hAnsi="Garamond"/>
          <w:sz w:val="20"/>
          <w:szCs w:val="20"/>
        </w:rPr>
        <w:t xml:space="preserve"> </w:t>
      </w:r>
    </w:p>
  </w:footnote>
  <w:footnote w:id="6">
    <w:p w:rsidR="003127C4" w:rsidRPr="001B2E5E" w:rsidRDefault="003127C4" w:rsidP="00180BF6">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NewRomanPSMT"/>
          <w:lang w:val="id-ID"/>
        </w:rPr>
        <w:t xml:space="preserve">Jalāluddīn </w:t>
      </w:r>
      <w:r w:rsidRPr="001B2E5E">
        <w:rPr>
          <w:rFonts w:ascii="Garamond" w:hAnsi="Garamond" w:cs="Times New Roman"/>
          <w:lang w:val="id-ID"/>
        </w:rPr>
        <w:t>as-</w:t>
      </w:r>
      <w:r w:rsidRPr="001B2E5E">
        <w:rPr>
          <w:rFonts w:ascii="Garamond" w:hAnsi="Garamond" w:cs="TimesNewRomanPSMT"/>
          <w:lang w:val="id-ID"/>
        </w:rPr>
        <w:t>Suyū</w:t>
      </w:r>
      <w:r w:rsidRPr="001B2E5E">
        <w:rPr>
          <w:rFonts w:ascii="Cambria" w:hAnsi="Cambria" w:cs="Cambria"/>
          <w:lang w:val="id-ID"/>
        </w:rPr>
        <w:t>ṭ</w:t>
      </w:r>
      <w:r w:rsidRPr="001B2E5E">
        <w:rPr>
          <w:rFonts w:ascii="Garamond" w:hAnsi="Garamond" w:cs="TimesNewRomanPSMT"/>
          <w:lang w:val="id-ID"/>
        </w:rPr>
        <w:t>ī</w:t>
      </w:r>
      <w:r w:rsidRPr="001B2E5E">
        <w:rPr>
          <w:rFonts w:ascii="Garamond" w:hAnsi="Garamond" w:cs="Times New Roman"/>
          <w:i/>
          <w:iCs/>
          <w:lang w:val="id-ID"/>
        </w:rPr>
        <w:t>, al-Durr al-</w:t>
      </w:r>
      <w:r w:rsidRPr="001B2E5E">
        <w:rPr>
          <w:rFonts w:ascii="Garamond" w:hAnsi="Garamond" w:cs="TimesNewRomanPS-ItalicMT"/>
          <w:i/>
          <w:iCs/>
          <w:lang w:val="id-ID"/>
        </w:rPr>
        <w:t>Manthūr fī Tafsīr bi al</w:t>
      </w:r>
      <w:r w:rsidRPr="001B2E5E">
        <w:rPr>
          <w:rFonts w:ascii="Garamond" w:hAnsi="Garamond" w:cs="Times New Roman"/>
          <w:i/>
          <w:iCs/>
          <w:lang w:val="id-ID"/>
        </w:rPr>
        <w:t>-</w:t>
      </w:r>
      <w:r w:rsidRPr="001B2E5E">
        <w:rPr>
          <w:rFonts w:ascii="Garamond" w:hAnsi="Garamond" w:cs="TimesNewRomanPS-ItalicMT"/>
          <w:i/>
          <w:iCs/>
          <w:lang w:val="id-ID"/>
        </w:rPr>
        <w:t xml:space="preserve">Ma’thūr, </w:t>
      </w:r>
      <w:r w:rsidRPr="001B2E5E">
        <w:rPr>
          <w:rFonts w:ascii="Garamond" w:hAnsi="Garamond" w:cs="Times New Roman"/>
          <w:lang w:val="id-ID"/>
        </w:rPr>
        <w:t xml:space="preserve">(Qum: </w:t>
      </w:r>
      <w:r w:rsidRPr="001B2E5E">
        <w:rPr>
          <w:rFonts w:ascii="Garamond" w:hAnsi="Garamond" w:cs="TimesNewRomanPSMT"/>
          <w:lang w:val="id-ID"/>
        </w:rPr>
        <w:t>Maktabah Ayatullah Mar’asyi al</w:t>
      </w:r>
      <w:r w:rsidRPr="001B2E5E">
        <w:rPr>
          <w:rFonts w:ascii="Garamond" w:hAnsi="Garamond" w:cs="Times New Roman"/>
          <w:lang w:val="id-ID"/>
        </w:rPr>
        <w:t>-Najafi, 1440 H), 1</w:t>
      </w:r>
      <w:r>
        <w:rPr>
          <w:rFonts w:ascii="Garamond" w:hAnsi="Garamond" w:cs="Times New Roman"/>
          <w:lang w:val="id-ID"/>
        </w:rPr>
        <w:t>:</w:t>
      </w:r>
      <w:r w:rsidRPr="001B2E5E">
        <w:rPr>
          <w:rFonts w:ascii="Garamond" w:hAnsi="Garamond" w:cs="Times New Roman"/>
          <w:lang w:val="id-ID"/>
        </w:rPr>
        <w:t xml:space="preserve"> 15</w:t>
      </w:r>
      <w:r>
        <w:rPr>
          <w:rFonts w:ascii="Garamond" w:hAnsi="Garamond" w:cs="Times New Roman"/>
          <w:lang w:val="id-ID"/>
        </w:rPr>
        <w:t xml:space="preserve">. </w:t>
      </w:r>
      <w:r w:rsidRPr="001B2E5E">
        <w:rPr>
          <w:rFonts w:ascii="Garamond" w:hAnsi="Garamond" w:cs="Times New Roman"/>
          <w:lang w:val="id-ID"/>
        </w:rPr>
        <w:t xml:space="preserve"> </w:t>
      </w:r>
      <w:r w:rsidRPr="001B2E5E">
        <w:rPr>
          <w:rFonts w:ascii="Garamond" w:hAnsi="Garamond"/>
          <w:lang w:val="id-ID"/>
        </w:rPr>
        <w:t xml:space="preserve"> </w:t>
      </w:r>
    </w:p>
  </w:footnote>
  <w:footnote w:id="7">
    <w:p w:rsidR="003127C4" w:rsidRPr="001B2E5E" w:rsidRDefault="003127C4" w:rsidP="00180BF6">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‘Abdul Ali al</w:t>
      </w:r>
      <w:r w:rsidRPr="001B2E5E">
        <w:rPr>
          <w:rFonts w:ascii="Garamond" w:hAnsi="Garamond" w:cs="Times New Roman"/>
          <w:sz w:val="20"/>
          <w:szCs w:val="20"/>
        </w:rPr>
        <w:t>-</w:t>
      </w:r>
      <w:r w:rsidRPr="001B2E5E">
        <w:rPr>
          <w:rFonts w:ascii="Garamond" w:hAnsi="Garamond" w:cs="TimesNewRomanPSMT"/>
          <w:sz w:val="20"/>
          <w:szCs w:val="20"/>
        </w:rPr>
        <w:t>Huwaizī</w:t>
      </w:r>
      <w:r w:rsidRPr="001B2E5E">
        <w:rPr>
          <w:rFonts w:ascii="Garamond" w:hAnsi="Garamond" w:cs="Times New Roman"/>
          <w:sz w:val="20"/>
          <w:szCs w:val="20"/>
        </w:rPr>
        <w:t xml:space="preserve">, </w:t>
      </w:r>
      <w:r w:rsidRPr="001B2E5E">
        <w:rPr>
          <w:rFonts w:ascii="Garamond" w:hAnsi="Garamond" w:cs="TimesNewRomanPS-ItalicMT"/>
          <w:i/>
          <w:iCs/>
          <w:sz w:val="20"/>
          <w:szCs w:val="20"/>
        </w:rPr>
        <w:t>Tafsīr Nūr al</w:t>
      </w:r>
      <w:r w:rsidRPr="001B2E5E">
        <w:rPr>
          <w:rFonts w:ascii="Garamond" w:hAnsi="Garamond" w:cs="Times New Roman"/>
          <w:i/>
          <w:iCs/>
          <w:sz w:val="20"/>
          <w:szCs w:val="20"/>
        </w:rPr>
        <w:t>-Thaqalain</w:t>
      </w:r>
      <w:r w:rsidRPr="001B2E5E">
        <w:rPr>
          <w:rFonts w:ascii="Garamond" w:hAnsi="Garamond" w:cs="Times New Roman"/>
          <w:sz w:val="20"/>
          <w:szCs w:val="20"/>
        </w:rPr>
        <w:t>, (</w:t>
      </w:r>
      <w:r w:rsidRPr="001B2E5E">
        <w:rPr>
          <w:rFonts w:ascii="Garamond" w:hAnsi="Garamond" w:cs="TimesNewRomanPSMT"/>
          <w:sz w:val="20"/>
          <w:szCs w:val="20"/>
        </w:rPr>
        <w:t>Qum: Mansyurat isma’iliyani, 1415 H</w:t>
      </w:r>
      <w:r w:rsidRPr="001B2E5E">
        <w:rPr>
          <w:rFonts w:ascii="Garamond" w:hAnsi="Garamond" w:cs="Times New Roman"/>
          <w:sz w:val="20"/>
          <w:szCs w:val="20"/>
        </w:rPr>
        <w:t xml:space="preserve">), </w:t>
      </w:r>
      <w:r>
        <w:rPr>
          <w:rFonts w:ascii="Garamond" w:hAnsi="Garamond" w:cs="Times New Roman"/>
          <w:sz w:val="20"/>
          <w:szCs w:val="20"/>
        </w:rPr>
        <w:t>22-24.</w:t>
      </w:r>
      <w:r w:rsidRPr="001B2E5E">
        <w:rPr>
          <w:rFonts w:ascii="Garamond" w:hAnsi="Garamond"/>
          <w:sz w:val="20"/>
          <w:szCs w:val="20"/>
        </w:rPr>
        <w:t xml:space="preserve"> </w:t>
      </w:r>
    </w:p>
  </w:footnote>
  <w:footnote w:id="8">
    <w:p w:rsidR="003127C4" w:rsidRPr="001B2E5E" w:rsidRDefault="003127C4" w:rsidP="00180BF6">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Fakhr ar-</w:t>
      </w:r>
      <w:r w:rsidRPr="001B2E5E">
        <w:rPr>
          <w:rFonts w:ascii="Garamond" w:hAnsi="Garamond" w:cs="TimesNewRomanPSMT"/>
          <w:sz w:val="20"/>
          <w:szCs w:val="20"/>
        </w:rPr>
        <w:t>Rāzī</w:t>
      </w:r>
      <w:r w:rsidRPr="001B2E5E">
        <w:rPr>
          <w:rFonts w:ascii="Garamond" w:hAnsi="Garamond" w:cs="Times New Roman"/>
          <w:sz w:val="20"/>
          <w:szCs w:val="20"/>
        </w:rPr>
        <w:t xml:space="preserve">, </w:t>
      </w:r>
      <w:r w:rsidRPr="001B2E5E">
        <w:rPr>
          <w:rFonts w:ascii="Garamond" w:hAnsi="Garamond" w:cs="TimesNewRomanPS-ItalicMT"/>
          <w:i/>
          <w:iCs/>
          <w:sz w:val="20"/>
          <w:szCs w:val="20"/>
        </w:rPr>
        <w:t>Mafātīh al</w:t>
      </w:r>
      <w:r w:rsidRPr="001B2E5E">
        <w:rPr>
          <w:rFonts w:ascii="Garamond" w:hAnsi="Garamond" w:cs="Times New Roman"/>
          <w:i/>
          <w:iCs/>
          <w:sz w:val="20"/>
          <w:szCs w:val="20"/>
        </w:rPr>
        <w:t xml:space="preserve">-Ghaib, </w:t>
      </w:r>
      <w:r w:rsidRPr="001B2E5E">
        <w:rPr>
          <w:rFonts w:ascii="Garamond" w:hAnsi="Garamond" w:cs="TimesNewRomanPSMT"/>
          <w:sz w:val="20"/>
          <w:szCs w:val="20"/>
        </w:rPr>
        <w:t>(Beirut: Dār ihyā’ al</w:t>
      </w:r>
      <w:r w:rsidRPr="001B2E5E">
        <w:rPr>
          <w:rFonts w:ascii="Garamond" w:hAnsi="Garamond" w:cs="Times New Roman"/>
          <w:sz w:val="20"/>
          <w:szCs w:val="20"/>
        </w:rPr>
        <w:t>-</w:t>
      </w:r>
      <w:r w:rsidRPr="001B2E5E">
        <w:rPr>
          <w:rFonts w:ascii="Garamond" w:hAnsi="Garamond" w:cs="TimesNewRomanPSMT"/>
          <w:sz w:val="20"/>
          <w:szCs w:val="20"/>
        </w:rPr>
        <w:t>Turāth al</w:t>
      </w:r>
      <w:r w:rsidRPr="001B2E5E">
        <w:rPr>
          <w:rFonts w:ascii="Garamond" w:hAnsi="Garamond" w:cs="Times New Roman"/>
          <w:sz w:val="20"/>
          <w:szCs w:val="20"/>
        </w:rPr>
        <w:t>-</w:t>
      </w:r>
      <w:r w:rsidRPr="001B2E5E">
        <w:rPr>
          <w:rFonts w:ascii="Garamond" w:hAnsi="Garamond" w:cs="TimesNewRomanPSMT"/>
          <w:sz w:val="20"/>
          <w:szCs w:val="20"/>
        </w:rPr>
        <w:t xml:space="preserve">‘arabī, 1420 H), </w:t>
      </w:r>
      <w:r w:rsidRPr="001B2E5E">
        <w:rPr>
          <w:rFonts w:ascii="Garamond" w:hAnsi="Garamond" w:cs="Times New Roman"/>
          <w:sz w:val="20"/>
          <w:szCs w:val="20"/>
        </w:rPr>
        <w:t>cet. 3, 1</w:t>
      </w:r>
      <w:r>
        <w:rPr>
          <w:rFonts w:ascii="Garamond" w:hAnsi="Garamond" w:cs="Times New Roman"/>
          <w:sz w:val="20"/>
          <w:szCs w:val="20"/>
        </w:rPr>
        <w:t xml:space="preserve">: </w:t>
      </w:r>
      <w:r w:rsidRPr="001B2E5E">
        <w:rPr>
          <w:rFonts w:ascii="Garamond" w:hAnsi="Garamond" w:cs="Times New Roman"/>
          <w:sz w:val="20"/>
          <w:szCs w:val="20"/>
        </w:rPr>
        <w:t>219</w:t>
      </w:r>
      <w:r>
        <w:rPr>
          <w:rFonts w:ascii="Garamond" w:hAnsi="Garamond" w:cs="Times New Roman"/>
          <w:sz w:val="20"/>
          <w:szCs w:val="20"/>
        </w:rPr>
        <w:t>.</w:t>
      </w:r>
      <w:r w:rsidRPr="001B2E5E">
        <w:rPr>
          <w:rFonts w:ascii="Garamond" w:hAnsi="Garamond"/>
          <w:sz w:val="20"/>
          <w:szCs w:val="20"/>
        </w:rPr>
        <w:t xml:space="preserve">  </w:t>
      </w:r>
    </w:p>
  </w:footnote>
  <w:footnote w:id="9">
    <w:p w:rsidR="003127C4" w:rsidRPr="001B2E5E" w:rsidRDefault="003127C4" w:rsidP="00180BF6">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Fakhr ar-</w:t>
      </w:r>
      <w:r w:rsidRPr="001B2E5E">
        <w:rPr>
          <w:rFonts w:ascii="Garamond" w:hAnsi="Garamond" w:cs="TimesNewRomanPSMT"/>
          <w:sz w:val="20"/>
          <w:szCs w:val="20"/>
        </w:rPr>
        <w:t>Rāzī</w:t>
      </w:r>
      <w:r w:rsidRPr="001B2E5E">
        <w:rPr>
          <w:rFonts w:ascii="Garamond" w:hAnsi="Garamond" w:cs="Times New Roman"/>
          <w:sz w:val="20"/>
          <w:szCs w:val="20"/>
        </w:rPr>
        <w:t xml:space="preserve">, </w:t>
      </w:r>
      <w:r w:rsidRPr="001B2E5E">
        <w:rPr>
          <w:rFonts w:ascii="Garamond" w:hAnsi="Garamond" w:cs="TimesNewRomanPS-ItalicMT"/>
          <w:i/>
          <w:iCs/>
          <w:sz w:val="20"/>
          <w:szCs w:val="20"/>
        </w:rPr>
        <w:t>Mafātīh al</w:t>
      </w:r>
      <w:r w:rsidRPr="001B2E5E">
        <w:rPr>
          <w:rFonts w:ascii="Garamond" w:hAnsi="Garamond" w:cs="Times New Roman"/>
          <w:i/>
          <w:iCs/>
          <w:sz w:val="20"/>
          <w:szCs w:val="20"/>
        </w:rPr>
        <w:t>-Ghaib,</w:t>
      </w:r>
      <w:r w:rsidRPr="001B2E5E">
        <w:rPr>
          <w:rFonts w:ascii="Garamond" w:hAnsi="Garamond" w:cs="TimesNewRomanPSMT"/>
          <w:sz w:val="20"/>
          <w:szCs w:val="20"/>
        </w:rPr>
        <w:t xml:space="preserve"> </w:t>
      </w:r>
      <w:r>
        <w:rPr>
          <w:rFonts w:ascii="Garamond" w:hAnsi="Garamond" w:cs="Times New Roman"/>
          <w:sz w:val="20"/>
          <w:szCs w:val="20"/>
        </w:rPr>
        <w:t xml:space="preserve">cet. 3, </w:t>
      </w:r>
      <w:r w:rsidRPr="001B2E5E">
        <w:rPr>
          <w:rFonts w:ascii="Garamond" w:hAnsi="Garamond" w:cs="Times New Roman"/>
          <w:sz w:val="20"/>
          <w:szCs w:val="20"/>
        </w:rPr>
        <w:t>1</w:t>
      </w:r>
      <w:r>
        <w:rPr>
          <w:rFonts w:ascii="Garamond" w:hAnsi="Garamond" w:cs="Times New Roman"/>
          <w:sz w:val="20"/>
          <w:szCs w:val="20"/>
        </w:rPr>
        <w:t>:</w:t>
      </w:r>
      <w:r w:rsidRPr="001B2E5E">
        <w:rPr>
          <w:rFonts w:ascii="Garamond" w:hAnsi="Garamond" w:cs="Times New Roman"/>
          <w:sz w:val="20"/>
          <w:szCs w:val="20"/>
        </w:rPr>
        <w:t xml:space="preserve"> 220</w:t>
      </w:r>
      <w:r>
        <w:rPr>
          <w:rFonts w:ascii="Garamond" w:hAnsi="Garamond" w:cs="Times New Roman"/>
          <w:sz w:val="20"/>
          <w:szCs w:val="20"/>
        </w:rPr>
        <w:t>.</w:t>
      </w:r>
      <w:r w:rsidRPr="001B2E5E">
        <w:rPr>
          <w:rFonts w:ascii="Garamond" w:hAnsi="Garamond"/>
          <w:sz w:val="20"/>
          <w:szCs w:val="20"/>
        </w:rPr>
        <w:t xml:space="preserve">   </w:t>
      </w:r>
    </w:p>
  </w:footnote>
  <w:footnote w:id="10">
    <w:p w:rsidR="003127C4" w:rsidRPr="001B2E5E" w:rsidRDefault="003127C4" w:rsidP="00180BF6">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rPr>
        <w:t xml:space="preserve">Hasan Yusufian, </w:t>
      </w:r>
      <w:r w:rsidRPr="001B2E5E">
        <w:rPr>
          <w:rFonts w:ascii="Garamond" w:hAnsi="Garamond" w:cs="Times New Roman"/>
          <w:i/>
          <w:iCs/>
        </w:rPr>
        <w:t xml:space="preserve">Kalam Jadid: Pendekatan Baru dalam Isu-Isu Agama, </w:t>
      </w:r>
      <w:r w:rsidRPr="001B2E5E">
        <w:rPr>
          <w:rFonts w:ascii="Garamond" w:hAnsi="Garamond" w:cs="Times New Roman"/>
        </w:rPr>
        <w:t>(Jakarta: Sadra Press, 2014), 31</w:t>
      </w:r>
      <w:r w:rsidRPr="001B2E5E">
        <w:rPr>
          <w:rFonts w:ascii="Garamond" w:hAnsi="Garamond" w:cs="Times New Roman"/>
          <w:lang w:val="id-ID"/>
        </w:rPr>
        <w:t>3</w:t>
      </w:r>
      <w:r>
        <w:rPr>
          <w:rFonts w:ascii="Garamond" w:hAnsi="Garamond" w:cs="Times New Roman"/>
          <w:lang w:val="id-ID"/>
        </w:rPr>
        <w:t>.</w:t>
      </w:r>
      <w:r w:rsidRPr="001B2E5E">
        <w:rPr>
          <w:rFonts w:ascii="Garamond" w:hAnsi="Garamond"/>
          <w:lang w:val="id-ID"/>
        </w:rPr>
        <w:t xml:space="preserve">  </w:t>
      </w:r>
    </w:p>
  </w:footnote>
  <w:footnote w:id="11">
    <w:p w:rsidR="003127C4" w:rsidRPr="001B2E5E" w:rsidRDefault="003127C4" w:rsidP="003127C4">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Seyyed Hossein Nasr, </w:t>
      </w:r>
      <w:r w:rsidRPr="001B2E5E">
        <w:rPr>
          <w:rFonts w:ascii="Garamond" w:hAnsi="Garamond" w:cs="Times New Roman"/>
          <w:i/>
          <w:iCs/>
          <w:sz w:val="20"/>
          <w:szCs w:val="20"/>
        </w:rPr>
        <w:t>Al-Hikmah Al-</w:t>
      </w:r>
      <w:r w:rsidRPr="001B2E5E">
        <w:rPr>
          <w:rFonts w:ascii="Garamond" w:hAnsi="Garamond" w:cs="TimesNewRomanPS-ItalicMT"/>
          <w:i/>
          <w:iCs/>
          <w:sz w:val="20"/>
          <w:szCs w:val="20"/>
        </w:rPr>
        <w:t>Muta’</w:t>
      </w:r>
      <w:r w:rsidRPr="001B2E5E">
        <w:rPr>
          <w:rFonts w:ascii="Garamond" w:hAnsi="Garamond" w:cs="Times New Roman"/>
          <w:i/>
          <w:iCs/>
          <w:sz w:val="20"/>
          <w:szCs w:val="20"/>
        </w:rPr>
        <w:t xml:space="preserve">aliyah </w:t>
      </w:r>
      <w:r w:rsidRPr="001B2E5E">
        <w:rPr>
          <w:rFonts w:ascii="Garamond" w:hAnsi="Garamond" w:cs="TimesNewRomanPS-ItalicMT"/>
          <w:i/>
          <w:iCs/>
          <w:sz w:val="20"/>
          <w:szCs w:val="20"/>
        </w:rPr>
        <w:t xml:space="preserve">Mullā </w:t>
      </w:r>
      <w:r w:rsidRPr="001B2E5E">
        <w:rPr>
          <w:rFonts w:ascii="Garamond" w:hAnsi="Garamond" w:cs="Times New Roman"/>
          <w:i/>
          <w:iCs/>
          <w:sz w:val="20"/>
          <w:szCs w:val="20"/>
        </w:rPr>
        <w:t xml:space="preserve">Sadra: Sebuah Terobosan dalam Filsafat Islam, </w:t>
      </w:r>
      <w:r w:rsidRPr="001B2E5E">
        <w:rPr>
          <w:rFonts w:ascii="Garamond" w:hAnsi="Garamond" w:cs="Times New Roman"/>
          <w:sz w:val="20"/>
          <w:szCs w:val="20"/>
        </w:rPr>
        <w:t>diterjemahkan oleh Mustamin al-Mandary, (Jakarta: Sadra Press, 2017), 162</w:t>
      </w:r>
      <w:r>
        <w:rPr>
          <w:rFonts w:ascii="Garamond" w:hAnsi="Garamond" w:cs="Times New Roman"/>
          <w:sz w:val="20"/>
          <w:szCs w:val="20"/>
        </w:rPr>
        <w:t>.</w:t>
      </w:r>
      <w:r w:rsidRPr="001B2E5E">
        <w:rPr>
          <w:rFonts w:ascii="Garamond" w:hAnsi="Garamond"/>
          <w:sz w:val="20"/>
          <w:szCs w:val="20"/>
        </w:rPr>
        <w:t xml:space="preserve">  </w:t>
      </w:r>
    </w:p>
  </w:footnote>
  <w:footnote w:id="12">
    <w:p w:rsidR="003127C4" w:rsidRPr="001B2E5E" w:rsidRDefault="003127C4" w:rsidP="003127C4">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Mulla Sadra</w:t>
      </w:r>
      <w:r w:rsidRPr="001B2E5E">
        <w:rPr>
          <w:rFonts w:ascii="Garamond" w:hAnsi="Garamond" w:cs="Times New Roman"/>
          <w:i/>
          <w:iCs/>
          <w:sz w:val="20"/>
          <w:szCs w:val="20"/>
        </w:rPr>
        <w:t xml:space="preserve">, </w:t>
      </w:r>
      <w:r w:rsidRPr="001B2E5E">
        <w:rPr>
          <w:rFonts w:ascii="Garamond" w:hAnsi="Garamond" w:cs="TimesNewRomanPS-ItalicMT"/>
          <w:i/>
          <w:iCs/>
          <w:sz w:val="20"/>
          <w:szCs w:val="20"/>
        </w:rPr>
        <w:t>Mafātī</w:t>
      </w:r>
      <w:r w:rsidRPr="001B2E5E">
        <w:rPr>
          <w:rFonts w:ascii="Cambria" w:hAnsi="Cambria" w:cs="Cambria"/>
          <w:i/>
          <w:iCs/>
          <w:sz w:val="20"/>
          <w:szCs w:val="20"/>
        </w:rPr>
        <w:t>ḥ</w:t>
      </w:r>
      <w:r w:rsidRPr="001B2E5E">
        <w:rPr>
          <w:rFonts w:ascii="Garamond" w:hAnsi="Garamond" w:cs="TimesNewRomanPS-ItalicMT"/>
          <w:i/>
          <w:iCs/>
          <w:sz w:val="20"/>
          <w:szCs w:val="20"/>
        </w:rPr>
        <w:t xml:space="preserve"> </w:t>
      </w:r>
      <w:r w:rsidRPr="001B2E5E">
        <w:rPr>
          <w:rFonts w:ascii="Garamond" w:hAnsi="Garamond" w:cs="Times New Roman"/>
          <w:i/>
          <w:iCs/>
          <w:sz w:val="20"/>
          <w:szCs w:val="20"/>
        </w:rPr>
        <w:t xml:space="preserve">al-Ghaib, </w:t>
      </w:r>
      <w:r w:rsidRPr="001B2E5E">
        <w:rPr>
          <w:rFonts w:ascii="Garamond" w:hAnsi="Garamond" w:cs="Times New Roman"/>
          <w:sz w:val="20"/>
          <w:szCs w:val="20"/>
        </w:rPr>
        <w:t>(Tehran: Muassasah Mu</w:t>
      </w:r>
      <w:r w:rsidRPr="001B2E5E">
        <w:rPr>
          <w:rFonts w:ascii="Cambria" w:hAnsi="Cambria" w:cs="Cambria"/>
          <w:sz w:val="20"/>
          <w:szCs w:val="20"/>
        </w:rPr>
        <w:t>ṭ</w:t>
      </w:r>
      <w:r w:rsidRPr="001B2E5E">
        <w:rPr>
          <w:rFonts w:ascii="Garamond" w:hAnsi="Garamond" w:cs="TimesNewRomanPSMT"/>
          <w:sz w:val="20"/>
          <w:szCs w:val="20"/>
        </w:rPr>
        <w:t xml:space="preserve">āla’āt </w:t>
      </w:r>
      <w:r w:rsidRPr="001B2E5E">
        <w:rPr>
          <w:rFonts w:ascii="Garamond" w:hAnsi="Garamond" w:cs="Times New Roman"/>
          <w:sz w:val="20"/>
          <w:szCs w:val="20"/>
        </w:rPr>
        <w:t>wa Ta</w:t>
      </w:r>
      <w:r w:rsidRPr="001B2E5E">
        <w:rPr>
          <w:rFonts w:ascii="Cambria" w:hAnsi="Cambria" w:cs="Cambria"/>
          <w:sz w:val="20"/>
          <w:szCs w:val="20"/>
        </w:rPr>
        <w:t>ḥ</w:t>
      </w:r>
      <w:r w:rsidRPr="001B2E5E">
        <w:rPr>
          <w:rFonts w:ascii="Garamond" w:hAnsi="Garamond" w:cs="TimesNewRomanPSMT"/>
          <w:sz w:val="20"/>
          <w:szCs w:val="20"/>
        </w:rPr>
        <w:t xml:space="preserve">qīqāt </w:t>
      </w:r>
      <w:r w:rsidRPr="001B2E5E">
        <w:rPr>
          <w:rFonts w:ascii="Garamond" w:hAnsi="Garamond" w:cs="Times New Roman"/>
          <w:sz w:val="20"/>
          <w:szCs w:val="20"/>
        </w:rPr>
        <w:t>Farangi, 1984), hal. 73-75; Lihat juga Mu</w:t>
      </w:r>
      <w:r w:rsidRPr="001B2E5E">
        <w:rPr>
          <w:rFonts w:ascii="Garamond" w:hAnsi="Garamond" w:cs="Cambria"/>
          <w:sz w:val="20"/>
          <w:szCs w:val="20"/>
        </w:rPr>
        <w:t>lla Sadra</w:t>
      </w:r>
      <w:r w:rsidRPr="001B2E5E">
        <w:rPr>
          <w:rFonts w:ascii="Garamond" w:hAnsi="Garamond" w:cs="TimesNewRomanPSMT"/>
          <w:sz w:val="20"/>
          <w:szCs w:val="20"/>
        </w:rPr>
        <w:t xml:space="preserve">,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w:t>
      </w:r>
      <w:r w:rsidRPr="001B2E5E">
        <w:rPr>
          <w:rFonts w:ascii="Garamond" w:hAnsi="Garamond" w:cs="TimesNewRomanPSMT"/>
          <w:sz w:val="20"/>
          <w:szCs w:val="20"/>
        </w:rPr>
        <w:t>Qum: Bīdār, 1379 HS</w:t>
      </w:r>
      <w:r w:rsidRPr="001B2E5E">
        <w:rPr>
          <w:rFonts w:ascii="Garamond" w:hAnsi="Garamond" w:cs="Times New Roman"/>
          <w:sz w:val="20"/>
          <w:szCs w:val="20"/>
        </w:rPr>
        <w:t>), cet.3, 1</w:t>
      </w:r>
      <w:r>
        <w:rPr>
          <w:rFonts w:ascii="Garamond" w:hAnsi="Garamond" w:cs="Times New Roman"/>
          <w:sz w:val="20"/>
          <w:szCs w:val="20"/>
        </w:rPr>
        <w:t>:</w:t>
      </w:r>
      <w:r w:rsidRPr="001B2E5E">
        <w:rPr>
          <w:rFonts w:ascii="Garamond" w:hAnsi="Garamond" w:cs="Times New Roman"/>
          <w:sz w:val="20"/>
          <w:szCs w:val="20"/>
        </w:rPr>
        <w:t xml:space="preserve"> 123</w:t>
      </w:r>
      <w:r>
        <w:rPr>
          <w:rFonts w:ascii="Garamond" w:hAnsi="Garamond" w:cs="Times New Roman"/>
          <w:sz w:val="20"/>
          <w:szCs w:val="20"/>
        </w:rPr>
        <w:t>.</w:t>
      </w:r>
    </w:p>
  </w:footnote>
  <w:footnote w:id="13">
    <w:p w:rsidR="003127C4" w:rsidRPr="001B2E5E" w:rsidRDefault="003127C4" w:rsidP="003127C4">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 xml:space="preserve">cet.3, jil. 4, hal. 166; Lihat juga 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Pr>
          <w:rFonts w:ascii="Garamond" w:hAnsi="Garamond" w:cs="Times New Roman"/>
          <w:sz w:val="20"/>
          <w:szCs w:val="20"/>
        </w:rPr>
        <w:t>cet.3, 6:</w:t>
      </w:r>
      <w:r w:rsidRPr="001B2E5E">
        <w:rPr>
          <w:rFonts w:ascii="Garamond" w:hAnsi="Garamond" w:cs="Times New Roman"/>
          <w:sz w:val="20"/>
          <w:szCs w:val="20"/>
        </w:rPr>
        <w:t xml:space="preserve"> 58</w:t>
      </w:r>
      <w:r>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14">
    <w:p w:rsidR="003127C4" w:rsidRPr="001B2E5E" w:rsidRDefault="003127C4" w:rsidP="003127C4">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w:t>
      </w:r>
      <w:r w:rsidRPr="001B2E5E">
        <w:rPr>
          <w:rFonts w:ascii="Garamond" w:hAnsi="Garamond" w:cs="Cambria"/>
          <w:sz w:val="20"/>
          <w:szCs w:val="20"/>
        </w:rPr>
        <w:t>lla Sadra</w:t>
      </w:r>
      <w:r w:rsidRPr="001B2E5E">
        <w:rPr>
          <w:rFonts w:ascii="Garamond" w:hAnsi="Garamond" w:cs="Times New Roman"/>
          <w:sz w:val="20"/>
          <w:szCs w:val="20"/>
        </w:rPr>
        <w:t xml:space="preserve">, </w:t>
      </w:r>
      <w:r w:rsidRPr="001B2E5E">
        <w:rPr>
          <w:rFonts w:ascii="Garamond" w:hAnsi="Garamond" w:cs="TimesNewRomanPS-ItalicMT"/>
          <w:i/>
          <w:iCs/>
          <w:sz w:val="20"/>
          <w:szCs w:val="20"/>
        </w:rPr>
        <w:t>Asrār al</w:t>
      </w:r>
      <w:r w:rsidRPr="001B2E5E">
        <w:rPr>
          <w:rFonts w:ascii="Garamond" w:hAnsi="Garamond" w:cs="Times New Roman"/>
          <w:i/>
          <w:iCs/>
          <w:sz w:val="20"/>
          <w:szCs w:val="20"/>
        </w:rPr>
        <w:t>-</w:t>
      </w:r>
      <w:r w:rsidRPr="001B2E5E">
        <w:rPr>
          <w:rFonts w:ascii="Garamond" w:hAnsi="Garamond" w:cs="TimesNewRomanPS-ItalicMT"/>
          <w:i/>
          <w:iCs/>
          <w:sz w:val="20"/>
          <w:szCs w:val="20"/>
        </w:rPr>
        <w:t>Āyāt wa Anwār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Bayyināt, </w:t>
      </w:r>
      <w:r w:rsidRPr="001B2E5E">
        <w:rPr>
          <w:rFonts w:ascii="Garamond" w:hAnsi="Garamond" w:cs="TimesNewRomanPSMT"/>
          <w:sz w:val="20"/>
          <w:szCs w:val="20"/>
        </w:rPr>
        <w:t>(Tehran: Injaman Islāmī Hikmat wa Falsafah Islāmī, 1360 HS)</w:t>
      </w:r>
      <w:r w:rsidRPr="001B2E5E">
        <w:rPr>
          <w:rFonts w:ascii="Garamond" w:hAnsi="Garamond" w:cs="Times New Roman"/>
          <w:sz w:val="20"/>
          <w:szCs w:val="20"/>
        </w:rPr>
        <w:t>, 192</w:t>
      </w:r>
      <w:r>
        <w:rPr>
          <w:rFonts w:ascii="Garamond" w:hAnsi="Garamond" w:cs="Times New Roman"/>
          <w:sz w:val="20"/>
          <w:szCs w:val="20"/>
        </w:rPr>
        <w:t>.</w:t>
      </w:r>
      <w:r w:rsidRPr="001B2E5E">
        <w:rPr>
          <w:rFonts w:ascii="Garamond" w:hAnsi="Garamond"/>
          <w:sz w:val="20"/>
          <w:szCs w:val="20"/>
        </w:rPr>
        <w:t xml:space="preserve">  </w:t>
      </w:r>
    </w:p>
  </w:footnote>
  <w:footnote w:id="15">
    <w:p w:rsidR="003127C4" w:rsidRPr="001B2E5E" w:rsidRDefault="003127C4" w:rsidP="00F86330">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Arief, dkk, </w:t>
      </w:r>
      <w:r w:rsidRPr="00C81E02">
        <w:rPr>
          <w:rFonts w:ascii="Garamond" w:hAnsi="Garamond" w:cs="Times New Roman"/>
          <w:sz w:val="20"/>
          <w:szCs w:val="20"/>
        </w:rPr>
        <w:t>“Konsep al-</w:t>
      </w:r>
      <w:r w:rsidRPr="00C81E02">
        <w:rPr>
          <w:rFonts w:ascii="Garamond" w:hAnsi="Garamond" w:cs="Cambria"/>
          <w:sz w:val="20"/>
          <w:szCs w:val="20"/>
        </w:rPr>
        <w:t>S</w:t>
      </w:r>
      <w:r w:rsidRPr="00C81E02">
        <w:rPr>
          <w:rFonts w:ascii="Garamond" w:hAnsi="Garamond" w:cs="TimesNewRomanPS-ItalicMT"/>
          <w:sz w:val="20"/>
          <w:szCs w:val="20"/>
        </w:rPr>
        <w:t>irā</w:t>
      </w:r>
      <w:r w:rsidRPr="00C81E02">
        <w:rPr>
          <w:rFonts w:ascii="Cambria" w:hAnsi="Cambria" w:cs="Cambria"/>
          <w:sz w:val="20"/>
          <w:szCs w:val="20"/>
        </w:rPr>
        <w:t>ṭ</w:t>
      </w:r>
      <w:r w:rsidRPr="00C81E02">
        <w:rPr>
          <w:rFonts w:ascii="Garamond" w:hAnsi="Garamond" w:cs="TimesNewRomanPS-ItalicMT"/>
          <w:sz w:val="20"/>
          <w:szCs w:val="20"/>
        </w:rPr>
        <w:t xml:space="preserve"> </w:t>
      </w:r>
      <w:r w:rsidRPr="00C81E02">
        <w:rPr>
          <w:rFonts w:ascii="Garamond" w:hAnsi="Garamond" w:cs="Times New Roman"/>
          <w:sz w:val="20"/>
          <w:szCs w:val="20"/>
        </w:rPr>
        <w:t>al-</w:t>
      </w:r>
      <w:r w:rsidRPr="00C81E02">
        <w:rPr>
          <w:rFonts w:ascii="Garamond" w:hAnsi="Garamond" w:cs="TimesNewRomanPS-ItalicMT"/>
          <w:sz w:val="20"/>
          <w:szCs w:val="20"/>
        </w:rPr>
        <w:t xml:space="preserve">Mustaqīm dalam </w:t>
      </w:r>
      <w:r w:rsidRPr="00C81E02">
        <w:rPr>
          <w:rFonts w:ascii="Garamond" w:hAnsi="Garamond" w:cs="Times New Roman"/>
          <w:sz w:val="20"/>
          <w:szCs w:val="20"/>
        </w:rPr>
        <w:t>Alquran (Studi Tafsir Tematik Ayat-Ayat yang Menjelaskan Term al-</w:t>
      </w:r>
      <w:r w:rsidRPr="00C81E02">
        <w:rPr>
          <w:rFonts w:ascii="Garamond" w:hAnsi="Garamond" w:cs="Cambria"/>
          <w:sz w:val="20"/>
          <w:szCs w:val="20"/>
        </w:rPr>
        <w:t>S</w:t>
      </w:r>
      <w:r w:rsidRPr="00C81E02">
        <w:rPr>
          <w:rFonts w:ascii="Garamond" w:hAnsi="Garamond" w:cs="TimesNewRomanPS-ItalicMT"/>
          <w:sz w:val="20"/>
          <w:szCs w:val="20"/>
        </w:rPr>
        <w:t>irā</w:t>
      </w:r>
      <w:r w:rsidRPr="00C81E02">
        <w:rPr>
          <w:rFonts w:ascii="Cambria" w:hAnsi="Cambria" w:cs="Cambria"/>
          <w:sz w:val="20"/>
          <w:szCs w:val="20"/>
        </w:rPr>
        <w:t>ṭ</w:t>
      </w:r>
      <w:r w:rsidRPr="00C81E02">
        <w:rPr>
          <w:rFonts w:ascii="Garamond" w:hAnsi="Garamond" w:cs="TimesNewRomanPS-ItalicMT"/>
          <w:sz w:val="20"/>
          <w:szCs w:val="20"/>
        </w:rPr>
        <w:t xml:space="preserve"> </w:t>
      </w:r>
      <w:r w:rsidRPr="00C81E02">
        <w:rPr>
          <w:rFonts w:ascii="Garamond" w:hAnsi="Garamond" w:cs="Times New Roman"/>
          <w:sz w:val="20"/>
          <w:szCs w:val="20"/>
        </w:rPr>
        <w:t>al-</w:t>
      </w:r>
      <w:r w:rsidRPr="00C81E02">
        <w:rPr>
          <w:rFonts w:ascii="Garamond" w:hAnsi="Garamond" w:cs="TimesNewRomanPS-ItalicMT"/>
          <w:sz w:val="20"/>
          <w:szCs w:val="20"/>
        </w:rPr>
        <w:t>Mustaqīm)”</w:t>
      </w:r>
      <w:r w:rsidRPr="001B2E5E">
        <w:rPr>
          <w:rFonts w:ascii="Garamond" w:hAnsi="Garamond" w:cs="Times New Roman"/>
          <w:sz w:val="20"/>
          <w:szCs w:val="20"/>
        </w:rPr>
        <w:t xml:space="preserve">, (STAIA Bogor, </w:t>
      </w:r>
      <w:r w:rsidRPr="00C81E02">
        <w:rPr>
          <w:rFonts w:ascii="Garamond" w:hAnsi="Garamond" w:cs="Times New Roman"/>
          <w:i/>
          <w:iCs/>
          <w:sz w:val="20"/>
          <w:szCs w:val="20"/>
        </w:rPr>
        <w:t>Jurnal Al-Tadabbur: Ilmu Alquran dan Tafsir</w:t>
      </w:r>
      <w:r w:rsidRPr="001B2E5E">
        <w:rPr>
          <w:rFonts w:ascii="Garamond" w:hAnsi="Garamond" w:cs="Times New Roman"/>
          <w:sz w:val="20"/>
          <w:szCs w:val="20"/>
        </w:rPr>
        <w:t>, Vol. 3 No 2 Oktober 2018)</w:t>
      </w:r>
      <w:r w:rsidRPr="001B2E5E">
        <w:rPr>
          <w:rFonts w:ascii="Garamond" w:hAnsi="Garamond"/>
          <w:sz w:val="20"/>
          <w:szCs w:val="20"/>
        </w:rPr>
        <w:t xml:space="preserve"> </w:t>
      </w:r>
    </w:p>
  </w:footnote>
  <w:footnote w:id="16">
    <w:p w:rsidR="003127C4" w:rsidRPr="001B2E5E" w:rsidRDefault="003127C4" w:rsidP="00E370A8">
      <w:pPr>
        <w:pStyle w:val="FootnoteText"/>
        <w:ind w:firstLine="720"/>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Ibrahim. 2014. </w:t>
      </w:r>
      <w:r w:rsidRPr="001B2E5E">
        <w:rPr>
          <w:rFonts w:ascii="Garamond" w:hAnsi="Garamond" w:cs="TimesNewRomanPS-ItalicMT"/>
          <w:i/>
          <w:iCs/>
        </w:rPr>
        <w:t xml:space="preserve">Konsep </w:t>
      </w:r>
      <w:r w:rsidRPr="001B2E5E">
        <w:rPr>
          <w:rFonts w:ascii="Garamond" w:hAnsi="Garamond" w:cs="Times New Roman"/>
          <w:i/>
          <w:iCs/>
        </w:rPr>
        <w:t>al-</w:t>
      </w:r>
      <w:r w:rsidRPr="001B2E5E">
        <w:rPr>
          <w:rFonts w:ascii="Garamond" w:hAnsi="Garamond" w:cs="Cambria"/>
          <w:i/>
          <w:iCs/>
        </w:rPr>
        <w:t>S</w:t>
      </w:r>
      <w:r w:rsidRPr="001B2E5E">
        <w:rPr>
          <w:rFonts w:ascii="Garamond" w:hAnsi="Garamond" w:cs="TimesNewRomanPS-ItalicMT"/>
          <w:i/>
          <w:iCs/>
        </w:rPr>
        <w:t>irā</w:t>
      </w:r>
      <w:r w:rsidRPr="001B2E5E">
        <w:rPr>
          <w:rFonts w:ascii="Cambria" w:hAnsi="Cambria" w:cs="Cambria"/>
          <w:i/>
          <w:iCs/>
        </w:rPr>
        <w:t>ṭ</w:t>
      </w:r>
      <w:r w:rsidRPr="001B2E5E">
        <w:rPr>
          <w:rFonts w:ascii="Garamond" w:hAnsi="Garamond" w:cs="TimesNewRomanPS-ItalicMT"/>
          <w:i/>
          <w:iCs/>
        </w:rPr>
        <w:t xml:space="preserve"> </w:t>
      </w:r>
      <w:r w:rsidRPr="001B2E5E">
        <w:rPr>
          <w:rFonts w:ascii="Garamond" w:hAnsi="Garamond" w:cs="Times New Roman"/>
          <w:i/>
          <w:iCs/>
        </w:rPr>
        <w:t>al-</w:t>
      </w:r>
      <w:r w:rsidRPr="001B2E5E">
        <w:rPr>
          <w:rFonts w:ascii="Garamond" w:hAnsi="Garamond" w:cs="TimesNewRomanPS-ItalicMT"/>
          <w:i/>
          <w:iCs/>
        </w:rPr>
        <w:t xml:space="preserve">Mustaqīm </w:t>
      </w:r>
      <w:r w:rsidRPr="001B2E5E">
        <w:rPr>
          <w:rFonts w:ascii="Garamond" w:hAnsi="Garamond" w:cs="Times New Roman"/>
          <w:i/>
          <w:iCs/>
        </w:rPr>
        <w:t>(Suatu Kajian Tafsir Tematik)</w:t>
      </w:r>
      <w:r w:rsidRPr="001B2E5E">
        <w:rPr>
          <w:rFonts w:ascii="Garamond" w:hAnsi="Garamond" w:cs="Times New Roman"/>
          <w:i/>
          <w:iCs/>
          <w:lang w:val="id-ID"/>
        </w:rPr>
        <w:t>.</w:t>
      </w:r>
      <w:r w:rsidRPr="001B2E5E">
        <w:rPr>
          <w:rFonts w:ascii="Garamond" w:hAnsi="Garamond" w:cs="Times New Roman"/>
          <w:lang w:val="id-ID"/>
        </w:rPr>
        <w:t xml:space="preserve"> Makassar: UIN Alauddin, Skripsi. </w:t>
      </w:r>
      <w:r w:rsidRPr="001B2E5E">
        <w:rPr>
          <w:rFonts w:ascii="Garamond" w:hAnsi="Garamond"/>
        </w:rPr>
        <w:t xml:space="preserve"> </w:t>
      </w:r>
    </w:p>
  </w:footnote>
  <w:footnote w:id="17">
    <w:p w:rsidR="003127C4" w:rsidRPr="001B2E5E" w:rsidRDefault="003127C4" w:rsidP="003127C4">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rPr>
        <w:t xml:space="preserve">Mohammad Ali, </w:t>
      </w:r>
      <w:r w:rsidRPr="001B2E5E">
        <w:rPr>
          <w:rFonts w:ascii="Garamond" w:hAnsi="Garamond" w:cs="Times New Roman"/>
          <w:i/>
          <w:iCs/>
        </w:rPr>
        <w:t xml:space="preserve">Memahami Riset </w:t>
      </w:r>
      <w:r w:rsidRPr="001B2E5E">
        <w:rPr>
          <w:rFonts w:ascii="Garamond" w:hAnsi="Garamond" w:cs="Times New Roman"/>
        </w:rPr>
        <w:t>(Jakarta: Pustaka Cendikia Utama, 2011), 239</w:t>
      </w:r>
      <w:r>
        <w:rPr>
          <w:rFonts w:ascii="Garamond" w:hAnsi="Garamond" w:cs="Times New Roman"/>
          <w:lang w:val="id-ID"/>
        </w:rPr>
        <w:t>.</w:t>
      </w:r>
      <w:r w:rsidRPr="001B2E5E">
        <w:rPr>
          <w:rFonts w:ascii="Garamond" w:hAnsi="Garamond" w:cs="Times New Roman"/>
          <w:lang w:val="id-ID"/>
        </w:rPr>
        <w:t xml:space="preserve"> </w:t>
      </w:r>
      <w:r w:rsidRPr="001B2E5E">
        <w:rPr>
          <w:rFonts w:ascii="Garamond" w:hAnsi="Garamond"/>
          <w:lang w:val="id-ID"/>
        </w:rPr>
        <w:t xml:space="preserve">  </w:t>
      </w:r>
    </w:p>
  </w:footnote>
  <w:footnote w:id="18">
    <w:p w:rsidR="003127C4" w:rsidRPr="001B2E5E" w:rsidRDefault="003127C4" w:rsidP="003127C4">
      <w:pPr>
        <w:autoSpaceDE w:val="0"/>
        <w:autoSpaceDN w:val="0"/>
        <w:adjustRightInd w:val="0"/>
        <w:spacing w:after="0" w:line="240" w:lineRule="auto"/>
        <w:ind w:firstLine="720"/>
        <w:jc w:val="both"/>
        <w:rPr>
          <w:rFonts w:ascii="Garamond" w:hAnsi="Garamond"/>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Abdul Mustaqim, </w:t>
      </w:r>
      <w:r w:rsidRPr="001B2E5E">
        <w:rPr>
          <w:rFonts w:ascii="Garamond" w:hAnsi="Garamond"/>
          <w:i/>
          <w:iCs/>
          <w:sz w:val="20"/>
          <w:szCs w:val="20"/>
        </w:rPr>
        <w:t>Metode Penelitian Alquran dan Tafsir,</w:t>
      </w:r>
      <w:r w:rsidRPr="001B2E5E">
        <w:rPr>
          <w:rFonts w:ascii="Garamond" w:hAnsi="Garamond"/>
          <w:sz w:val="20"/>
          <w:szCs w:val="20"/>
        </w:rPr>
        <w:t xml:space="preserve"> (Yogjakarta: Idea Press, 2017), 62-63</w:t>
      </w:r>
      <w:r>
        <w:rPr>
          <w:rFonts w:ascii="Garamond" w:hAnsi="Garamond"/>
          <w:sz w:val="20"/>
          <w:szCs w:val="20"/>
        </w:rPr>
        <w:t>.</w:t>
      </w:r>
    </w:p>
  </w:footnote>
  <w:footnote w:id="19">
    <w:p w:rsidR="003127C4" w:rsidRPr="001B2E5E" w:rsidRDefault="003127C4" w:rsidP="003127C4">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lang w:val="id-ID"/>
        </w:rPr>
        <w:t xml:space="preserve">Kaelan, </w:t>
      </w:r>
      <w:r w:rsidRPr="001B2E5E">
        <w:rPr>
          <w:rFonts w:ascii="Garamond" w:hAnsi="Garamond" w:cs="Times New Roman"/>
          <w:i/>
          <w:iCs/>
          <w:lang w:val="id-ID"/>
        </w:rPr>
        <w:t>Metode Penelitian Agama Kualitatif Interdisipliner,</w:t>
      </w:r>
      <w:r w:rsidRPr="001B2E5E">
        <w:rPr>
          <w:rFonts w:ascii="Garamond" w:hAnsi="Garamond" w:cs="Times New Roman"/>
          <w:lang w:val="id-ID"/>
        </w:rPr>
        <w:t xml:space="preserve"> (Yogjakarta: Paradigma, 2010), 143</w:t>
      </w:r>
      <w:r>
        <w:rPr>
          <w:rFonts w:ascii="Garamond" w:hAnsi="Garamond" w:cs="Times New Roman"/>
          <w:lang w:val="id-ID"/>
        </w:rPr>
        <w:t>.</w:t>
      </w:r>
      <w:r w:rsidRPr="001B2E5E">
        <w:rPr>
          <w:rFonts w:ascii="Garamond" w:hAnsi="Garamond" w:cs="Times New Roman"/>
          <w:lang w:val="id-ID"/>
        </w:rPr>
        <w:t xml:space="preserve"> </w:t>
      </w:r>
      <w:r w:rsidRPr="001B2E5E">
        <w:rPr>
          <w:rFonts w:ascii="Garamond" w:hAnsi="Garamond"/>
          <w:lang w:val="id-ID"/>
        </w:rPr>
        <w:t xml:space="preserve"> </w:t>
      </w:r>
    </w:p>
  </w:footnote>
  <w:footnote w:id="20">
    <w:p w:rsidR="003127C4" w:rsidRPr="001B2E5E" w:rsidRDefault="003127C4" w:rsidP="003127C4">
      <w:pPr>
        <w:autoSpaceDE w:val="0"/>
        <w:autoSpaceDN w:val="0"/>
        <w:adjustRightInd w:val="0"/>
        <w:spacing w:after="0" w:line="240" w:lineRule="auto"/>
        <w:ind w:firstLine="720"/>
        <w:jc w:val="both"/>
        <w:rPr>
          <w:rFonts w:ascii="Garamond" w:hAnsi="Garamond"/>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Husaini Usman dan Purnomo Setiady Akbar, </w:t>
      </w:r>
      <w:r w:rsidRPr="001B2E5E">
        <w:rPr>
          <w:rFonts w:ascii="Garamond" w:hAnsi="Garamond"/>
          <w:i/>
          <w:iCs/>
          <w:sz w:val="20"/>
          <w:szCs w:val="20"/>
        </w:rPr>
        <w:t xml:space="preserve">Metode Penelitian Sosial </w:t>
      </w:r>
      <w:r w:rsidRPr="001B2E5E">
        <w:rPr>
          <w:rFonts w:ascii="Garamond" w:hAnsi="Garamond"/>
          <w:sz w:val="20"/>
          <w:szCs w:val="20"/>
        </w:rPr>
        <w:t>(Jakarta: Bumi Aksara, 2014), 30</w:t>
      </w:r>
      <w:r w:rsidR="00D64040">
        <w:rPr>
          <w:rFonts w:ascii="Garamond" w:hAnsi="Garamond"/>
          <w:sz w:val="20"/>
          <w:szCs w:val="20"/>
        </w:rPr>
        <w:t>.</w:t>
      </w:r>
      <w:r w:rsidRPr="001B2E5E">
        <w:rPr>
          <w:rFonts w:ascii="Garamond" w:hAnsi="Garamond"/>
          <w:sz w:val="20"/>
          <w:szCs w:val="20"/>
        </w:rPr>
        <w:t xml:space="preserve">  </w:t>
      </w:r>
    </w:p>
  </w:footnote>
  <w:footnote w:id="21">
    <w:p w:rsidR="003127C4" w:rsidRPr="001B2E5E" w:rsidRDefault="003127C4" w:rsidP="00D64040">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Andi Prastowo, </w:t>
      </w:r>
      <w:r w:rsidRPr="001B2E5E">
        <w:rPr>
          <w:rFonts w:ascii="Garamond" w:hAnsi="Garamond"/>
          <w:i/>
          <w:iCs/>
          <w:lang w:val="id-ID"/>
        </w:rPr>
        <w:t>Metode Penelitian Kualitatif dalam Perspektif Rancangan Penelitian,</w:t>
      </w:r>
      <w:r w:rsidRPr="001B2E5E">
        <w:rPr>
          <w:rFonts w:ascii="Garamond" w:hAnsi="Garamond"/>
          <w:lang w:val="id-ID"/>
        </w:rPr>
        <w:t xml:space="preserve"> (Yogjakarta: Ar-Ruzz Media, 2011), 181</w:t>
      </w:r>
      <w:r w:rsidR="00D64040">
        <w:rPr>
          <w:rFonts w:ascii="Garamond" w:hAnsi="Garamond"/>
          <w:lang w:val="id-ID"/>
        </w:rPr>
        <w:t>.</w:t>
      </w:r>
      <w:r w:rsidRPr="001B2E5E">
        <w:rPr>
          <w:rFonts w:ascii="Garamond" w:hAnsi="Garamond"/>
          <w:lang w:val="id-ID"/>
        </w:rPr>
        <w:t xml:space="preserve"> </w:t>
      </w:r>
    </w:p>
  </w:footnote>
  <w:footnote w:id="22">
    <w:p w:rsidR="003127C4" w:rsidRPr="001B2E5E" w:rsidRDefault="003127C4" w:rsidP="001C6C9D">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Teori makkī</w:t>
      </w:r>
      <w:r w:rsidRPr="001B2E5E">
        <w:rPr>
          <w:rFonts w:ascii="Garamond" w:hAnsi="Garamond" w:cs="Times New Roman"/>
          <w:sz w:val="20"/>
          <w:szCs w:val="20"/>
        </w:rPr>
        <w:t>-</w:t>
      </w:r>
      <w:r w:rsidRPr="001B2E5E">
        <w:rPr>
          <w:rFonts w:ascii="Garamond" w:hAnsi="Garamond" w:cs="TimesNewRomanPSMT"/>
          <w:sz w:val="20"/>
          <w:szCs w:val="20"/>
        </w:rPr>
        <w:t>madanī ada</w:t>
      </w:r>
      <w:r w:rsidRPr="001B2E5E">
        <w:rPr>
          <w:rFonts w:ascii="Garamond" w:hAnsi="Garamond" w:cs="Times New Roman"/>
          <w:sz w:val="20"/>
          <w:szCs w:val="20"/>
        </w:rPr>
        <w:t>lah teori dalam ilmu al-</w:t>
      </w:r>
      <w:r w:rsidRPr="001B2E5E">
        <w:rPr>
          <w:rFonts w:ascii="Garamond" w:hAnsi="Garamond" w:cs="TimesNewRomanPSMT"/>
          <w:sz w:val="20"/>
          <w:szCs w:val="20"/>
        </w:rPr>
        <w:t>Qur’an (</w:t>
      </w:r>
      <w:r w:rsidRPr="001B2E5E">
        <w:rPr>
          <w:rFonts w:ascii="Garamond" w:hAnsi="Garamond" w:cs="TimesNewRomanPS-ItalicMT"/>
          <w:i/>
          <w:iCs/>
          <w:sz w:val="20"/>
          <w:szCs w:val="20"/>
        </w:rPr>
        <w:t>‘Ulūm al</w:t>
      </w:r>
      <w:r w:rsidRPr="001B2E5E">
        <w:rPr>
          <w:rFonts w:ascii="Garamond" w:hAnsi="Garamond" w:cs="Times New Roman"/>
          <w:i/>
          <w:iCs/>
          <w:sz w:val="20"/>
          <w:szCs w:val="20"/>
        </w:rPr>
        <w:t>-</w:t>
      </w:r>
      <w:r w:rsidRPr="001B2E5E">
        <w:rPr>
          <w:rFonts w:ascii="Garamond" w:hAnsi="Garamond" w:cs="TimesNewRomanPS-ItalicMT"/>
          <w:i/>
          <w:iCs/>
          <w:sz w:val="20"/>
          <w:szCs w:val="20"/>
        </w:rPr>
        <w:t>Qur’ān</w:t>
      </w:r>
      <w:r w:rsidRPr="001B2E5E">
        <w:rPr>
          <w:rFonts w:ascii="Garamond" w:hAnsi="Garamond" w:cs="Times New Roman"/>
          <w:sz w:val="20"/>
          <w:szCs w:val="20"/>
        </w:rPr>
        <w:t>) berfungsi untuk pengklasifikasin surat di dalam al-</w:t>
      </w:r>
      <w:r w:rsidRPr="001B2E5E">
        <w:rPr>
          <w:rFonts w:ascii="Garamond" w:hAnsi="Garamond" w:cs="TimesNewRomanPSMT"/>
          <w:sz w:val="20"/>
          <w:szCs w:val="20"/>
        </w:rPr>
        <w:t xml:space="preserve">Qur’an berdasarkan waktu turunnya </w:t>
      </w:r>
      <w:r w:rsidRPr="001B2E5E">
        <w:rPr>
          <w:rFonts w:ascii="Garamond" w:hAnsi="Garamond" w:cs="Times New Roman"/>
          <w:sz w:val="20"/>
          <w:szCs w:val="20"/>
        </w:rPr>
        <w:t xml:space="preserve">ayat. Jika turun sebelum hijrah Nabi. Saw disebut surah </w:t>
      </w:r>
      <w:r w:rsidRPr="001B2E5E">
        <w:rPr>
          <w:rFonts w:ascii="Garamond" w:hAnsi="Garamond" w:cs="Times New Roman"/>
          <w:i/>
          <w:iCs/>
          <w:sz w:val="20"/>
          <w:szCs w:val="20"/>
        </w:rPr>
        <w:t>makiyyah</w:t>
      </w:r>
      <w:r w:rsidRPr="001B2E5E">
        <w:rPr>
          <w:rFonts w:ascii="Garamond" w:hAnsi="Garamond" w:cs="Times New Roman"/>
          <w:sz w:val="20"/>
          <w:szCs w:val="20"/>
        </w:rPr>
        <w:t xml:space="preserve">, adapun jika turun setelah hijrah Nabi. Saw. disebut surah </w:t>
      </w:r>
      <w:r w:rsidRPr="001B2E5E">
        <w:rPr>
          <w:rFonts w:ascii="Garamond" w:hAnsi="Garamond" w:cs="Times New Roman"/>
          <w:i/>
          <w:iCs/>
          <w:sz w:val="20"/>
          <w:szCs w:val="20"/>
        </w:rPr>
        <w:t>madaniyyah</w:t>
      </w:r>
      <w:r w:rsidRPr="001B2E5E">
        <w:rPr>
          <w:rFonts w:ascii="Garamond" w:hAnsi="Garamond" w:cs="Times New Roman"/>
          <w:sz w:val="20"/>
          <w:szCs w:val="20"/>
        </w:rPr>
        <w:t>.</w:t>
      </w:r>
      <w:r w:rsidRPr="001B2E5E">
        <w:rPr>
          <w:rFonts w:ascii="Garamond" w:hAnsi="Garamond"/>
          <w:sz w:val="20"/>
          <w:szCs w:val="20"/>
        </w:rPr>
        <w:t xml:space="preserve">  </w:t>
      </w:r>
    </w:p>
  </w:footnote>
  <w:footnote w:id="23">
    <w:p w:rsidR="003127C4" w:rsidRPr="001B2E5E" w:rsidRDefault="003127C4" w:rsidP="00D64040">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lang w:val="id-ID"/>
        </w:rPr>
        <w:t>Mu</w:t>
      </w:r>
      <w:r w:rsidRPr="001B2E5E">
        <w:rPr>
          <w:rFonts w:ascii="Cambria" w:hAnsi="Cambria" w:cs="Cambria"/>
          <w:lang w:val="id-ID"/>
        </w:rPr>
        <w:t>ḥ</w:t>
      </w:r>
      <w:r w:rsidRPr="001B2E5E">
        <w:rPr>
          <w:rFonts w:ascii="Garamond" w:hAnsi="Garamond" w:cs="TimesNewRomanPSMT"/>
          <w:lang w:val="id-ID"/>
        </w:rPr>
        <w:t xml:space="preserve">ammad Hādī Ma’rifat, </w:t>
      </w:r>
      <w:r w:rsidRPr="001B2E5E">
        <w:rPr>
          <w:rFonts w:ascii="Garamond" w:hAnsi="Garamond" w:cs="TimesNewRomanPS-ItalicMT"/>
          <w:i/>
          <w:iCs/>
          <w:lang w:val="id-ID"/>
        </w:rPr>
        <w:t>Tārīkh al</w:t>
      </w:r>
      <w:r w:rsidRPr="001B2E5E">
        <w:rPr>
          <w:rFonts w:ascii="Garamond" w:hAnsi="Garamond" w:cs="Times New Roman"/>
          <w:i/>
          <w:iCs/>
          <w:lang w:val="id-ID"/>
        </w:rPr>
        <w:t>-</w:t>
      </w:r>
      <w:r w:rsidRPr="001B2E5E">
        <w:rPr>
          <w:rFonts w:ascii="Garamond" w:hAnsi="Garamond" w:cs="TimesNewRomanPS-ItalicMT"/>
          <w:i/>
          <w:iCs/>
          <w:lang w:val="id-ID"/>
        </w:rPr>
        <w:t xml:space="preserve">Qur’ān, </w:t>
      </w:r>
      <w:r w:rsidRPr="001B2E5E">
        <w:rPr>
          <w:rFonts w:ascii="Garamond" w:hAnsi="Garamond" w:cs="Times New Roman"/>
          <w:lang w:val="id-ID"/>
        </w:rPr>
        <w:t>(1428 H), 71</w:t>
      </w:r>
      <w:r w:rsidR="00D64040">
        <w:rPr>
          <w:rFonts w:ascii="Garamond" w:hAnsi="Garamond" w:cs="Times New Roman"/>
          <w:lang w:val="id-ID"/>
        </w:rPr>
        <w:t>.</w:t>
      </w:r>
      <w:r w:rsidRPr="001B2E5E">
        <w:rPr>
          <w:rFonts w:ascii="Garamond" w:hAnsi="Garamond"/>
          <w:lang w:val="id-ID"/>
        </w:rPr>
        <w:t xml:space="preserve">  </w:t>
      </w:r>
    </w:p>
  </w:footnote>
  <w:footnote w:id="24">
    <w:p w:rsidR="003127C4" w:rsidRPr="001B2E5E" w:rsidRDefault="003127C4" w:rsidP="00D64040">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w:t>
      </w:r>
      <w:r w:rsidRPr="001B2E5E">
        <w:rPr>
          <w:rFonts w:ascii="Cambria" w:hAnsi="Cambria" w:cs="Cambria"/>
          <w:sz w:val="20"/>
          <w:szCs w:val="20"/>
        </w:rPr>
        <w:t>ḥ</w:t>
      </w:r>
      <w:r w:rsidRPr="001B2E5E">
        <w:rPr>
          <w:rFonts w:ascii="Garamond" w:hAnsi="Garamond" w:cs="TimesNewRomanPSMT"/>
          <w:sz w:val="20"/>
          <w:szCs w:val="20"/>
        </w:rPr>
        <w:t xml:space="preserve">ammad Bāqir Hākim, </w:t>
      </w:r>
      <w:r w:rsidRPr="001B2E5E">
        <w:rPr>
          <w:rFonts w:ascii="Garamond" w:hAnsi="Garamond" w:cs="TimesNewRomanPS-ItalicMT"/>
          <w:i/>
          <w:iCs/>
          <w:sz w:val="20"/>
          <w:szCs w:val="20"/>
        </w:rPr>
        <w:t>‘Ulūm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Qur’ān, </w:t>
      </w:r>
      <w:r w:rsidRPr="001B2E5E">
        <w:rPr>
          <w:rFonts w:ascii="Garamond" w:hAnsi="Garamond" w:cs="TimesNewRomanPSMT"/>
          <w:sz w:val="20"/>
          <w:szCs w:val="20"/>
        </w:rPr>
        <w:t>(Qum: Dār al</w:t>
      </w:r>
      <w:r w:rsidRPr="001B2E5E">
        <w:rPr>
          <w:rFonts w:ascii="Garamond" w:hAnsi="Garamond" w:cs="Times New Roman"/>
          <w:sz w:val="20"/>
          <w:szCs w:val="20"/>
        </w:rPr>
        <w:t>-Fikr al-</w:t>
      </w:r>
      <w:r w:rsidRPr="001B2E5E">
        <w:rPr>
          <w:rFonts w:ascii="Garamond" w:hAnsi="Garamond" w:cs="TimesNewRomanPSMT"/>
          <w:sz w:val="20"/>
          <w:szCs w:val="20"/>
        </w:rPr>
        <w:t>Islāmī, 1427</w:t>
      </w:r>
      <w:r w:rsidRPr="001B2E5E">
        <w:rPr>
          <w:rFonts w:ascii="Garamond" w:hAnsi="Garamond" w:cs="Times New Roman"/>
          <w:sz w:val="20"/>
          <w:szCs w:val="20"/>
        </w:rPr>
        <w:t>H), cet. 1, 133</w:t>
      </w:r>
      <w:r w:rsidR="00D64040">
        <w:rPr>
          <w:rFonts w:ascii="Garamond" w:hAnsi="Garamond" w:cs="Times New Roman"/>
          <w:sz w:val="20"/>
          <w:szCs w:val="20"/>
        </w:rPr>
        <w:t>.</w:t>
      </w:r>
      <w:r w:rsidRPr="001B2E5E">
        <w:rPr>
          <w:rFonts w:ascii="Garamond" w:hAnsi="Garamond"/>
          <w:sz w:val="20"/>
          <w:szCs w:val="20"/>
        </w:rPr>
        <w:t xml:space="preserve">  </w:t>
      </w:r>
    </w:p>
  </w:footnote>
  <w:footnote w:id="25">
    <w:p w:rsidR="003127C4" w:rsidRPr="001B2E5E" w:rsidRDefault="003127C4" w:rsidP="00D64040">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cs="Times New Roman"/>
          <w:sz w:val="20"/>
          <w:szCs w:val="20"/>
        </w:rPr>
        <w:t xml:space="preserve"> Al-Qushsy</w:t>
      </w:r>
      <w:r w:rsidRPr="001B2E5E">
        <w:rPr>
          <w:rFonts w:ascii="Garamond" w:hAnsi="Garamond" w:cs="TimesNewRomanPSMT"/>
          <w:sz w:val="20"/>
          <w:szCs w:val="20"/>
        </w:rPr>
        <w:t xml:space="preserve">airī, </w:t>
      </w:r>
      <w:r w:rsidRPr="001B2E5E">
        <w:rPr>
          <w:rFonts w:ascii="Garamond" w:hAnsi="Garamond" w:cs="Times New Roman"/>
          <w:i/>
          <w:iCs/>
          <w:sz w:val="20"/>
          <w:szCs w:val="20"/>
        </w:rPr>
        <w:t>La</w:t>
      </w:r>
      <w:r w:rsidRPr="001B2E5E">
        <w:rPr>
          <w:rFonts w:ascii="Cambria" w:hAnsi="Cambria" w:cs="Cambria"/>
          <w:i/>
          <w:iCs/>
          <w:sz w:val="20"/>
          <w:szCs w:val="20"/>
        </w:rPr>
        <w:t>ṭ</w:t>
      </w:r>
      <w:r w:rsidRPr="001B2E5E">
        <w:rPr>
          <w:rFonts w:ascii="Garamond" w:hAnsi="Garamond" w:cs="TimesNewRomanPS-ItalicMT"/>
          <w:i/>
          <w:iCs/>
          <w:sz w:val="20"/>
          <w:szCs w:val="20"/>
        </w:rPr>
        <w:t>āif al</w:t>
      </w:r>
      <w:r w:rsidRPr="001B2E5E">
        <w:rPr>
          <w:rFonts w:ascii="Garamond" w:hAnsi="Garamond" w:cs="Times New Roman"/>
          <w:i/>
          <w:iCs/>
          <w:sz w:val="20"/>
          <w:szCs w:val="20"/>
        </w:rPr>
        <w:t>-Ish</w:t>
      </w:r>
      <w:r w:rsidRPr="001B2E5E">
        <w:rPr>
          <w:rFonts w:ascii="Garamond" w:hAnsi="Garamond" w:cs="TimesNewRomanPS-ItalicMT"/>
          <w:i/>
          <w:iCs/>
          <w:sz w:val="20"/>
          <w:szCs w:val="20"/>
        </w:rPr>
        <w:t xml:space="preserve">ārāt, </w:t>
      </w:r>
      <w:r w:rsidRPr="001B2E5E">
        <w:rPr>
          <w:rFonts w:ascii="Garamond" w:hAnsi="Garamond" w:cs="TimesNewRomanPSMT"/>
          <w:sz w:val="20"/>
          <w:szCs w:val="20"/>
        </w:rPr>
        <w:t>(Beirut: Dār al</w:t>
      </w:r>
      <w:r w:rsidRPr="001B2E5E">
        <w:rPr>
          <w:rFonts w:ascii="Garamond" w:hAnsi="Garamond" w:cs="Times New Roman"/>
          <w:sz w:val="20"/>
          <w:szCs w:val="20"/>
        </w:rPr>
        <w:t>-Kutub al-</w:t>
      </w:r>
      <w:r w:rsidRPr="001B2E5E">
        <w:rPr>
          <w:rFonts w:ascii="Garamond" w:hAnsi="Garamond" w:cs="TimesNewRomanPSMT"/>
          <w:sz w:val="20"/>
          <w:szCs w:val="20"/>
        </w:rPr>
        <w:t xml:space="preserve">‘Ilmiyyah, 2007), cet. </w:t>
      </w:r>
      <w:r w:rsidR="00D64040">
        <w:rPr>
          <w:rFonts w:ascii="Garamond" w:hAnsi="Garamond" w:cs="Times New Roman"/>
          <w:sz w:val="20"/>
          <w:szCs w:val="20"/>
        </w:rPr>
        <w:t>2, 1:</w:t>
      </w:r>
      <w:r w:rsidRPr="001B2E5E">
        <w:rPr>
          <w:rFonts w:ascii="Garamond" w:hAnsi="Garamond" w:cs="Times New Roman"/>
          <w:sz w:val="20"/>
          <w:szCs w:val="20"/>
        </w:rPr>
        <w:t xml:space="preserve"> 13-14.  </w:t>
      </w:r>
      <w:r w:rsidRPr="001B2E5E">
        <w:rPr>
          <w:rFonts w:ascii="Garamond" w:hAnsi="Garamond"/>
          <w:sz w:val="20"/>
          <w:szCs w:val="20"/>
        </w:rPr>
        <w:t xml:space="preserve">  </w:t>
      </w:r>
    </w:p>
  </w:footnote>
  <w:footnote w:id="26">
    <w:p w:rsidR="003127C4" w:rsidRPr="001B2E5E" w:rsidRDefault="003127C4" w:rsidP="00D64040">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 xml:space="preserve">cet.3, jil. 1, hal. 102; Lihat juga </w:t>
      </w:r>
      <w:r w:rsidRPr="001B2E5E">
        <w:rPr>
          <w:rFonts w:ascii="Garamond" w:hAnsi="Garamond" w:cs="TimesNewRomanPSMT"/>
          <w:sz w:val="20"/>
          <w:szCs w:val="20"/>
        </w:rPr>
        <w:t>Mahmūd al</w:t>
      </w:r>
      <w:r w:rsidRPr="001B2E5E">
        <w:rPr>
          <w:rFonts w:ascii="Garamond" w:hAnsi="Garamond" w:cs="Times New Roman"/>
          <w:sz w:val="20"/>
          <w:szCs w:val="20"/>
        </w:rPr>
        <w:t>-</w:t>
      </w:r>
      <w:r w:rsidRPr="001B2E5E">
        <w:rPr>
          <w:rFonts w:ascii="Garamond" w:hAnsi="Garamond" w:cs="TimesNewRomanPSMT"/>
          <w:sz w:val="20"/>
          <w:szCs w:val="20"/>
        </w:rPr>
        <w:t xml:space="preserve">Azhārī, </w:t>
      </w:r>
      <w:r w:rsidRPr="001B2E5E">
        <w:rPr>
          <w:rFonts w:ascii="Garamond" w:hAnsi="Garamond" w:cs="Times New Roman"/>
          <w:i/>
          <w:iCs/>
          <w:sz w:val="20"/>
          <w:szCs w:val="20"/>
        </w:rPr>
        <w:t>as-</w:t>
      </w:r>
      <w:r w:rsidRPr="001B2E5E">
        <w:rPr>
          <w:rFonts w:ascii="Cambria" w:hAnsi="Cambria" w:cs="Cambria"/>
          <w:i/>
          <w:iCs/>
          <w:sz w:val="20"/>
          <w:szCs w:val="20"/>
        </w:rPr>
        <w:t>Ṣ</w:t>
      </w:r>
      <w:r w:rsidRPr="001B2E5E">
        <w:rPr>
          <w:rFonts w:ascii="Garamond" w:hAnsi="Garamond" w:cs="TimesNewRomanPS-ItalicMT"/>
          <w:i/>
          <w:iCs/>
          <w:sz w:val="20"/>
          <w:szCs w:val="20"/>
        </w:rPr>
        <w:t>irā</w:t>
      </w:r>
      <w:r w:rsidRPr="001B2E5E">
        <w:rPr>
          <w:rFonts w:ascii="Cambria" w:hAnsi="Cambria" w:cs="Cambria"/>
          <w:i/>
          <w:iCs/>
          <w:sz w:val="20"/>
          <w:szCs w:val="20"/>
        </w:rPr>
        <w:t>ṭ</w:t>
      </w:r>
      <w:r w:rsidRPr="001B2E5E">
        <w:rPr>
          <w:rFonts w:ascii="Garamond" w:hAnsi="Garamond" w:cs="TimesNewRomanPS-ItalicMT"/>
          <w:i/>
          <w:iCs/>
          <w:sz w:val="20"/>
          <w:szCs w:val="20"/>
        </w:rPr>
        <w:t xml:space="preserve"> </w:t>
      </w:r>
      <w:r w:rsidRPr="001B2E5E">
        <w:rPr>
          <w:rFonts w:ascii="Garamond" w:hAnsi="Garamond" w:cs="Times New Roman"/>
          <w:i/>
          <w:iCs/>
          <w:sz w:val="20"/>
          <w:szCs w:val="20"/>
        </w:rPr>
        <w:t>al-</w:t>
      </w:r>
      <w:r w:rsidRPr="001B2E5E">
        <w:rPr>
          <w:rFonts w:ascii="Garamond" w:hAnsi="Garamond" w:cs="TimesNewRomanPS-ItalicMT"/>
          <w:i/>
          <w:iCs/>
          <w:sz w:val="20"/>
          <w:szCs w:val="20"/>
        </w:rPr>
        <w:t>Mustaqīm al</w:t>
      </w:r>
      <w:r w:rsidRPr="001B2E5E">
        <w:rPr>
          <w:rFonts w:ascii="Garamond" w:hAnsi="Garamond" w:cs="Times New Roman"/>
          <w:i/>
          <w:iCs/>
          <w:sz w:val="20"/>
          <w:szCs w:val="20"/>
        </w:rPr>
        <w:t>-</w:t>
      </w:r>
      <w:r w:rsidRPr="001B2E5E">
        <w:rPr>
          <w:rFonts w:ascii="Garamond" w:hAnsi="Garamond" w:cs="TimesNewRomanPS-ItalicMT"/>
          <w:i/>
          <w:iCs/>
          <w:sz w:val="20"/>
          <w:szCs w:val="20"/>
        </w:rPr>
        <w:t>Hādī ilā Rabb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‘Ālamīn, </w:t>
      </w:r>
      <w:r w:rsidRPr="001B2E5E">
        <w:rPr>
          <w:rFonts w:ascii="Garamond" w:hAnsi="Garamond" w:cs="Times New Roman"/>
          <w:sz w:val="20"/>
          <w:szCs w:val="20"/>
        </w:rPr>
        <w:t>(Kairo: al-</w:t>
      </w:r>
      <w:r w:rsidRPr="001B2E5E">
        <w:rPr>
          <w:rFonts w:ascii="Garamond" w:hAnsi="Garamond" w:cs="TimesNewRomanPSMT"/>
          <w:sz w:val="20"/>
          <w:szCs w:val="20"/>
        </w:rPr>
        <w:t xml:space="preserve">Istiqāmah, </w:t>
      </w:r>
      <w:r w:rsidRPr="001B2E5E">
        <w:rPr>
          <w:rFonts w:ascii="Garamond" w:hAnsi="Garamond" w:cs="Times New Roman"/>
          <w:sz w:val="20"/>
          <w:szCs w:val="20"/>
        </w:rPr>
        <w:t>1370 H), cet. 1, 8.</w:t>
      </w:r>
      <w:r w:rsidRPr="001B2E5E">
        <w:rPr>
          <w:rFonts w:ascii="Garamond" w:hAnsi="Garamond"/>
          <w:sz w:val="20"/>
          <w:szCs w:val="20"/>
        </w:rPr>
        <w:t xml:space="preserve">  </w:t>
      </w:r>
    </w:p>
  </w:footnote>
  <w:footnote w:id="27">
    <w:p w:rsidR="003127C4" w:rsidRPr="001B2E5E" w:rsidRDefault="003127C4" w:rsidP="00862244">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w:t>
      </w:r>
      <w:r w:rsidRPr="001B2E5E">
        <w:rPr>
          <w:rFonts w:ascii="Cambria" w:hAnsi="Cambria" w:cs="Cambria"/>
          <w:sz w:val="20"/>
          <w:szCs w:val="20"/>
        </w:rPr>
        <w:t>ḥ</w:t>
      </w:r>
      <w:r w:rsidRPr="001B2E5E">
        <w:rPr>
          <w:rFonts w:ascii="Garamond" w:hAnsi="Garamond" w:cs="Times New Roman"/>
          <w:sz w:val="20"/>
          <w:szCs w:val="20"/>
        </w:rPr>
        <w:t xml:space="preserve">ammad </w:t>
      </w:r>
      <w:r w:rsidRPr="001B2E5E">
        <w:rPr>
          <w:rFonts w:ascii="Cambria" w:hAnsi="Cambria" w:cs="Cambria"/>
          <w:sz w:val="20"/>
          <w:szCs w:val="20"/>
        </w:rPr>
        <w:t>Ḥ</w:t>
      </w:r>
      <w:r w:rsidRPr="001B2E5E">
        <w:rPr>
          <w:rFonts w:ascii="Garamond" w:hAnsi="Garamond" w:cs="Times New Roman"/>
          <w:sz w:val="20"/>
          <w:szCs w:val="20"/>
        </w:rPr>
        <w:t xml:space="preserve">usein </w:t>
      </w:r>
      <w:r w:rsidRPr="001B2E5E">
        <w:rPr>
          <w:rFonts w:ascii="Cambria" w:hAnsi="Cambria" w:cs="Cambria"/>
          <w:sz w:val="20"/>
          <w:szCs w:val="20"/>
        </w:rPr>
        <w:t>Ṭ</w:t>
      </w:r>
      <w:r w:rsidRPr="001B2E5E">
        <w:rPr>
          <w:rFonts w:ascii="Garamond" w:hAnsi="Garamond" w:cs="TimesNewRomanPSMT"/>
          <w:sz w:val="20"/>
          <w:szCs w:val="20"/>
        </w:rPr>
        <w:t>abā</w:t>
      </w:r>
      <w:r w:rsidRPr="001B2E5E">
        <w:rPr>
          <w:rFonts w:ascii="Cambria" w:hAnsi="Cambria" w:cs="Cambria"/>
          <w:sz w:val="20"/>
          <w:szCs w:val="20"/>
        </w:rPr>
        <w:t>ṭ</w:t>
      </w:r>
      <w:r w:rsidRPr="001B2E5E">
        <w:rPr>
          <w:rFonts w:ascii="Garamond" w:hAnsi="Garamond" w:cs="TimesNewRomanPSMT"/>
          <w:sz w:val="20"/>
          <w:szCs w:val="20"/>
        </w:rPr>
        <w:t xml:space="preserve">abā’ī, </w:t>
      </w:r>
      <w:r w:rsidRPr="001B2E5E">
        <w:rPr>
          <w:rFonts w:ascii="Garamond" w:hAnsi="Garamond" w:cs="Times New Roman"/>
          <w:i/>
          <w:iCs/>
          <w:sz w:val="20"/>
          <w:szCs w:val="20"/>
        </w:rPr>
        <w:t>al-</w:t>
      </w:r>
      <w:r w:rsidRPr="001B2E5E">
        <w:rPr>
          <w:rFonts w:ascii="Garamond" w:hAnsi="Garamond" w:cs="TimesNewRomanPS-ItalicMT"/>
          <w:i/>
          <w:iCs/>
          <w:sz w:val="20"/>
          <w:szCs w:val="20"/>
        </w:rPr>
        <w:t>Mīzān fī Tafsīr al</w:t>
      </w:r>
      <w:r w:rsidRPr="001B2E5E">
        <w:rPr>
          <w:rFonts w:ascii="Garamond" w:hAnsi="Garamond" w:cs="Times New Roman"/>
          <w:i/>
          <w:iCs/>
          <w:sz w:val="20"/>
          <w:szCs w:val="20"/>
        </w:rPr>
        <w:t>-</w:t>
      </w:r>
      <w:r w:rsidRPr="001B2E5E">
        <w:rPr>
          <w:rFonts w:ascii="Garamond" w:hAnsi="Garamond" w:cs="TimesNewRomanPS-ItalicMT"/>
          <w:i/>
          <w:iCs/>
          <w:sz w:val="20"/>
          <w:szCs w:val="20"/>
        </w:rPr>
        <w:t>Qur’ān,</w:t>
      </w:r>
      <w:r w:rsidRPr="001B2E5E">
        <w:rPr>
          <w:rFonts w:ascii="Garamond" w:hAnsi="Garamond" w:cs="Times New Roman"/>
          <w:sz w:val="20"/>
          <w:szCs w:val="20"/>
        </w:rPr>
        <w:t xml:space="preserve"> (Qum: al-</w:t>
      </w:r>
      <w:r w:rsidRPr="001B2E5E">
        <w:rPr>
          <w:rFonts w:ascii="Garamond" w:hAnsi="Garamond" w:cs="TimesNewRomanPSMT"/>
          <w:sz w:val="20"/>
          <w:szCs w:val="20"/>
        </w:rPr>
        <w:t>Mu’assasah al</w:t>
      </w:r>
      <w:r w:rsidRPr="001B2E5E">
        <w:rPr>
          <w:rFonts w:ascii="Garamond" w:hAnsi="Garamond" w:cs="Times New Roman"/>
          <w:sz w:val="20"/>
          <w:szCs w:val="20"/>
        </w:rPr>
        <w:t>-Nasyr al-</w:t>
      </w:r>
      <w:r w:rsidRPr="001B2E5E">
        <w:rPr>
          <w:rFonts w:ascii="Garamond" w:hAnsi="Garamond" w:cs="TimesNewRomanPSMT"/>
          <w:sz w:val="20"/>
          <w:szCs w:val="20"/>
        </w:rPr>
        <w:t>Islāmī, 1417 H.)</w:t>
      </w:r>
      <w:r w:rsidRPr="001B2E5E">
        <w:rPr>
          <w:rFonts w:ascii="Garamond" w:hAnsi="Garamond" w:cs="Times New Roman"/>
          <w:sz w:val="20"/>
          <w:szCs w:val="20"/>
        </w:rPr>
        <w:t>, 1</w:t>
      </w:r>
      <w:r w:rsidR="00862244">
        <w:rPr>
          <w:rFonts w:ascii="Garamond" w:hAnsi="Garamond" w:cs="Times New Roman"/>
          <w:sz w:val="20"/>
          <w:szCs w:val="20"/>
        </w:rPr>
        <w:t>:</w:t>
      </w:r>
      <w:r w:rsidRPr="001B2E5E">
        <w:rPr>
          <w:rFonts w:ascii="Garamond" w:hAnsi="Garamond" w:cs="Times New Roman"/>
          <w:sz w:val="20"/>
          <w:szCs w:val="20"/>
        </w:rPr>
        <w:t xml:space="preserve"> 75</w:t>
      </w:r>
      <w:r w:rsidR="00862244">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28">
    <w:p w:rsidR="003127C4" w:rsidRPr="001B2E5E" w:rsidRDefault="003127C4" w:rsidP="00862244">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 xml:space="preserve">cet.3, jil. 1, hal. 487; Lihat juga Mulla Sadra, </w:t>
      </w:r>
      <w:r w:rsidRPr="001B2E5E">
        <w:rPr>
          <w:rFonts w:ascii="Garamond" w:hAnsi="Garamond" w:cs="Times New Roman"/>
          <w:i/>
          <w:iCs/>
          <w:sz w:val="20"/>
          <w:szCs w:val="20"/>
        </w:rPr>
        <w:t>al-</w:t>
      </w:r>
      <w:r w:rsidRPr="001B2E5E">
        <w:rPr>
          <w:rFonts w:ascii="Cambria" w:hAnsi="Cambria" w:cs="Cambria"/>
          <w:i/>
          <w:iCs/>
          <w:sz w:val="20"/>
          <w:szCs w:val="20"/>
        </w:rPr>
        <w:t>Ḥ</w:t>
      </w:r>
      <w:r w:rsidRPr="001B2E5E">
        <w:rPr>
          <w:rFonts w:ascii="Garamond" w:hAnsi="Garamond" w:cs="Times New Roman"/>
          <w:i/>
          <w:iCs/>
          <w:sz w:val="20"/>
          <w:szCs w:val="20"/>
        </w:rPr>
        <w:t>ikmah al-</w:t>
      </w:r>
      <w:r w:rsidRPr="001B2E5E">
        <w:rPr>
          <w:rFonts w:ascii="Garamond" w:hAnsi="Garamond" w:cs="TimesNewRomanPS-ItalicMT"/>
          <w:i/>
          <w:iCs/>
          <w:sz w:val="20"/>
          <w:szCs w:val="20"/>
        </w:rPr>
        <w:t>Muta’āliyah fī al</w:t>
      </w:r>
      <w:r w:rsidRPr="001B2E5E">
        <w:rPr>
          <w:rFonts w:ascii="Garamond" w:hAnsi="Garamond" w:cs="Times New Roman"/>
          <w:i/>
          <w:iCs/>
          <w:sz w:val="20"/>
          <w:szCs w:val="20"/>
        </w:rPr>
        <w:t>-</w:t>
      </w:r>
      <w:r w:rsidRPr="001B2E5E">
        <w:rPr>
          <w:rFonts w:ascii="Garamond" w:hAnsi="Garamond" w:cs="TimesNewRomanPS-ItalicMT"/>
          <w:i/>
          <w:iCs/>
          <w:sz w:val="20"/>
          <w:szCs w:val="20"/>
        </w:rPr>
        <w:t>Asfār al</w:t>
      </w:r>
      <w:r w:rsidRPr="001B2E5E">
        <w:rPr>
          <w:rFonts w:ascii="Garamond" w:hAnsi="Garamond" w:cs="Times New Roman"/>
          <w:i/>
          <w:iCs/>
          <w:sz w:val="20"/>
          <w:szCs w:val="20"/>
        </w:rPr>
        <w:t>-</w:t>
      </w:r>
      <w:r w:rsidRPr="001B2E5E">
        <w:rPr>
          <w:rFonts w:ascii="Garamond" w:hAnsi="Garamond" w:cs="TimesNewRomanPS-ItalicMT"/>
          <w:i/>
          <w:iCs/>
          <w:sz w:val="20"/>
          <w:szCs w:val="20"/>
        </w:rPr>
        <w:t>‘Aqliyyah al</w:t>
      </w:r>
      <w:r w:rsidRPr="001B2E5E">
        <w:rPr>
          <w:rFonts w:ascii="Garamond" w:hAnsi="Garamond" w:cs="Times New Roman"/>
          <w:i/>
          <w:iCs/>
          <w:sz w:val="20"/>
          <w:szCs w:val="20"/>
        </w:rPr>
        <w:t>-</w:t>
      </w:r>
      <w:r w:rsidRPr="001B2E5E">
        <w:rPr>
          <w:rFonts w:ascii="Garamond" w:hAnsi="Garamond" w:cs="TimesNewRomanPS-ItalicMT"/>
          <w:i/>
          <w:iCs/>
          <w:sz w:val="20"/>
          <w:szCs w:val="20"/>
        </w:rPr>
        <w:t>Arba’ah,</w:t>
      </w:r>
      <w:r w:rsidRPr="001B2E5E">
        <w:rPr>
          <w:rFonts w:ascii="Garamond" w:hAnsi="Garamond" w:cs="TimesNewRomanPS-ItalicMT"/>
          <w:sz w:val="20"/>
          <w:szCs w:val="20"/>
        </w:rPr>
        <w:t xml:space="preserve"> (</w:t>
      </w:r>
      <w:r w:rsidRPr="001B2E5E">
        <w:rPr>
          <w:rFonts w:ascii="Garamond" w:hAnsi="Garamond" w:cs="Times New Roman"/>
          <w:sz w:val="20"/>
          <w:szCs w:val="20"/>
        </w:rPr>
        <w:t xml:space="preserve">Tehran: Injaman </w:t>
      </w:r>
      <w:r w:rsidRPr="001B2E5E">
        <w:rPr>
          <w:rFonts w:ascii="Garamond" w:hAnsi="Garamond" w:cs="TimesNewRomanPSMT"/>
          <w:sz w:val="20"/>
          <w:szCs w:val="20"/>
        </w:rPr>
        <w:t>Islāmī Hikmat wa Falsafe Islāmī, 1360 HS),</w:t>
      </w:r>
      <w:r w:rsidRPr="001B2E5E">
        <w:rPr>
          <w:rFonts w:ascii="Garamond" w:hAnsi="Garamond" w:cs="TimesNewRomanPS-ItalicMT"/>
          <w:i/>
          <w:iCs/>
          <w:sz w:val="20"/>
          <w:szCs w:val="20"/>
        </w:rPr>
        <w:t xml:space="preserve"> </w:t>
      </w:r>
      <w:r w:rsidRPr="001B2E5E">
        <w:rPr>
          <w:rFonts w:ascii="Garamond" w:hAnsi="Garamond" w:cs="Times New Roman"/>
          <w:sz w:val="20"/>
          <w:szCs w:val="20"/>
        </w:rPr>
        <w:t>9</w:t>
      </w:r>
      <w:r w:rsidR="00862244">
        <w:rPr>
          <w:rFonts w:ascii="Garamond" w:hAnsi="Garamond" w:cs="Times New Roman"/>
          <w:sz w:val="20"/>
          <w:szCs w:val="20"/>
        </w:rPr>
        <w:t>:</w:t>
      </w:r>
      <w:r w:rsidRPr="001B2E5E">
        <w:rPr>
          <w:rFonts w:ascii="Garamond" w:hAnsi="Garamond" w:cs="Times New Roman"/>
          <w:sz w:val="20"/>
          <w:szCs w:val="20"/>
        </w:rPr>
        <w:t>288</w:t>
      </w:r>
      <w:r w:rsidR="00862244">
        <w:rPr>
          <w:rFonts w:ascii="Garamond" w:hAnsi="Garamond" w:cs="Times New Roman"/>
          <w:sz w:val="20"/>
          <w:szCs w:val="20"/>
        </w:rPr>
        <w:t>.</w:t>
      </w:r>
      <w:r w:rsidRPr="001B2E5E">
        <w:rPr>
          <w:rFonts w:ascii="Garamond" w:hAnsi="Garamond" w:cs="Times New Roman"/>
          <w:sz w:val="20"/>
          <w:szCs w:val="20"/>
        </w:rPr>
        <w:t xml:space="preserve">   </w:t>
      </w:r>
    </w:p>
  </w:footnote>
  <w:footnote w:id="29">
    <w:p w:rsidR="003127C4" w:rsidRPr="001B2E5E" w:rsidRDefault="003127C4" w:rsidP="00862244">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Arief Rahman, “Konsep Al-Sirat Al-Mustaqim dalam Al-Qur’an: Studi Tafsir Tematik Ayat-ayat yang Menjelaskan Term Al-Sirat Al-Mustaqim” (Bogor: </w:t>
      </w:r>
      <w:r w:rsidRPr="001B2E5E">
        <w:rPr>
          <w:rFonts w:ascii="Garamond" w:hAnsi="Garamond"/>
          <w:i/>
          <w:iCs/>
          <w:lang w:val="id-ID"/>
        </w:rPr>
        <w:t>Jurnal Al-Tadabbur,</w:t>
      </w:r>
      <w:r w:rsidRPr="001B2E5E">
        <w:rPr>
          <w:rFonts w:ascii="Garamond" w:hAnsi="Garamond"/>
          <w:lang w:val="id-ID"/>
        </w:rPr>
        <w:t xml:space="preserve"> 2018), vol.3, no.2, 213</w:t>
      </w:r>
      <w:r w:rsidR="00862244">
        <w:rPr>
          <w:rFonts w:ascii="Garamond" w:hAnsi="Garamond"/>
          <w:lang w:val="id-ID"/>
        </w:rPr>
        <w:t>.</w:t>
      </w:r>
      <w:r w:rsidRPr="001B2E5E">
        <w:rPr>
          <w:rFonts w:ascii="Garamond" w:hAnsi="Garamond"/>
          <w:lang w:val="id-ID"/>
        </w:rPr>
        <w:t xml:space="preserve">    </w:t>
      </w:r>
    </w:p>
  </w:footnote>
  <w:footnote w:id="30">
    <w:p w:rsidR="003127C4" w:rsidRPr="001B2E5E" w:rsidRDefault="003127C4" w:rsidP="00862244">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w:t>
      </w:r>
      <w:r w:rsidRPr="001B2E5E">
        <w:rPr>
          <w:rFonts w:ascii="Cambria" w:hAnsi="Cambria" w:cs="Cambria"/>
          <w:sz w:val="20"/>
          <w:szCs w:val="20"/>
        </w:rPr>
        <w:t>ḥ</w:t>
      </w:r>
      <w:r w:rsidRPr="001B2E5E">
        <w:rPr>
          <w:rFonts w:ascii="Garamond" w:hAnsi="Garamond" w:cs="TimesNewRomanPSMT"/>
          <w:sz w:val="20"/>
          <w:szCs w:val="20"/>
        </w:rPr>
        <w:t>ammad bin Jarīr at</w:t>
      </w:r>
      <w:r w:rsidRPr="001B2E5E">
        <w:rPr>
          <w:rFonts w:ascii="Garamond" w:hAnsi="Garamond" w:cs="Times New Roman"/>
          <w:sz w:val="20"/>
          <w:szCs w:val="20"/>
        </w:rPr>
        <w:t>-</w:t>
      </w:r>
      <w:r w:rsidRPr="001B2E5E">
        <w:rPr>
          <w:rFonts w:ascii="Cambria" w:hAnsi="Cambria" w:cs="Cambria"/>
          <w:sz w:val="20"/>
          <w:szCs w:val="20"/>
        </w:rPr>
        <w:t>Ṭ</w:t>
      </w:r>
      <w:r w:rsidRPr="001B2E5E">
        <w:rPr>
          <w:rFonts w:ascii="Garamond" w:hAnsi="Garamond" w:cs="TimesNewRomanPSMT"/>
          <w:sz w:val="20"/>
          <w:szCs w:val="20"/>
        </w:rPr>
        <w:t xml:space="preserve">abarī, </w:t>
      </w:r>
      <w:r w:rsidRPr="001B2E5E">
        <w:rPr>
          <w:rFonts w:ascii="Garamond" w:hAnsi="Garamond" w:cs="TimesNewRomanPS-ItalicMT"/>
          <w:i/>
          <w:iCs/>
          <w:sz w:val="20"/>
          <w:szCs w:val="20"/>
        </w:rPr>
        <w:t>Tafsīr at</w:t>
      </w:r>
      <w:r w:rsidRPr="001B2E5E">
        <w:rPr>
          <w:rFonts w:ascii="Garamond" w:hAnsi="Garamond" w:cs="Times New Roman"/>
          <w:i/>
          <w:iCs/>
          <w:sz w:val="20"/>
          <w:szCs w:val="20"/>
        </w:rPr>
        <w:t>-</w:t>
      </w:r>
      <w:r w:rsidRPr="001B2E5E">
        <w:rPr>
          <w:rFonts w:ascii="Cambria" w:hAnsi="Cambria" w:cs="Cambria"/>
          <w:i/>
          <w:iCs/>
          <w:sz w:val="20"/>
          <w:szCs w:val="20"/>
        </w:rPr>
        <w:t>Ṭ</w:t>
      </w:r>
      <w:r w:rsidRPr="001B2E5E">
        <w:rPr>
          <w:rFonts w:ascii="Garamond" w:hAnsi="Garamond" w:cs="TimesNewRomanPS-ItalicMT"/>
          <w:i/>
          <w:iCs/>
          <w:sz w:val="20"/>
          <w:szCs w:val="20"/>
        </w:rPr>
        <w:t xml:space="preserve">abarī, </w:t>
      </w:r>
      <w:r w:rsidRPr="001B2E5E">
        <w:rPr>
          <w:rFonts w:ascii="Garamond" w:hAnsi="Garamond" w:cs="TimesNewRomanPSMT"/>
          <w:sz w:val="20"/>
          <w:szCs w:val="20"/>
        </w:rPr>
        <w:t>(Kairo: Dār as</w:t>
      </w:r>
      <w:r w:rsidRPr="001B2E5E">
        <w:rPr>
          <w:rFonts w:ascii="Garamond" w:hAnsi="Garamond" w:cs="Times New Roman"/>
          <w:sz w:val="20"/>
          <w:szCs w:val="20"/>
        </w:rPr>
        <w:t>-</w:t>
      </w:r>
      <w:r w:rsidRPr="001B2E5E">
        <w:rPr>
          <w:rFonts w:ascii="Garamond" w:hAnsi="Garamond" w:cs="TimesNewRomanPSMT"/>
          <w:sz w:val="20"/>
          <w:szCs w:val="20"/>
        </w:rPr>
        <w:t xml:space="preserve">Salām, 1430 </w:t>
      </w:r>
      <w:r w:rsidRPr="001B2E5E">
        <w:rPr>
          <w:rFonts w:ascii="Garamond" w:hAnsi="Garamond" w:cs="Times New Roman"/>
          <w:sz w:val="20"/>
          <w:szCs w:val="20"/>
        </w:rPr>
        <w:t>H), 1</w:t>
      </w:r>
      <w:r w:rsidR="00862244">
        <w:rPr>
          <w:rFonts w:ascii="Garamond" w:hAnsi="Garamond" w:cs="Times New Roman"/>
          <w:sz w:val="20"/>
          <w:szCs w:val="20"/>
        </w:rPr>
        <w:t>:</w:t>
      </w:r>
      <w:r w:rsidRPr="001B2E5E">
        <w:rPr>
          <w:rFonts w:ascii="Garamond" w:hAnsi="Garamond" w:cs="Times New Roman"/>
          <w:sz w:val="20"/>
          <w:szCs w:val="20"/>
        </w:rPr>
        <w:t>103</w:t>
      </w:r>
      <w:r w:rsidR="00862244">
        <w:rPr>
          <w:rFonts w:ascii="Garamond" w:hAnsi="Garamond" w:cs="Times New Roman"/>
          <w:sz w:val="20"/>
          <w:szCs w:val="20"/>
        </w:rPr>
        <w:t>.</w:t>
      </w:r>
      <w:r w:rsidRPr="001B2E5E">
        <w:rPr>
          <w:rFonts w:ascii="Garamond" w:hAnsi="Garamond"/>
          <w:sz w:val="20"/>
          <w:szCs w:val="20"/>
        </w:rPr>
        <w:t xml:space="preserve">  </w:t>
      </w:r>
    </w:p>
  </w:footnote>
  <w:footnote w:id="31">
    <w:p w:rsidR="003127C4" w:rsidRPr="001B2E5E" w:rsidRDefault="003127C4" w:rsidP="00862244">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 xml:space="preserve">‘Abdul Ali </w:t>
      </w:r>
      <w:r w:rsidRPr="001B2E5E">
        <w:rPr>
          <w:rFonts w:ascii="Garamond" w:hAnsi="Garamond" w:cs="Times New Roman"/>
          <w:sz w:val="20"/>
          <w:szCs w:val="20"/>
        </w:rPr>
        <w:t>al-</w:t>
      </w:r>
      <w:r w:rsidRPr="001B2E5E">
        <w:rPr>
          <w:rFonts w:ascii="Garamond" w:hAnsi="Garamond" w:cs="TimesNewRomanPSMT"/>
          <w:sz w:val="20"/>
          <w:szCs w:val="20"/>
        </w:rPr>
        <w:t xml:space="preserve">Huwaizī, </w:t>
      </w:r>
      <w:r w:rsidRPr="001B2E5E">
        <w:rPr>
          <w:rFonts w:ascii="Garamond" w:hAnsi="Garamond" w:cs="TimesNewRomanPS-ItalicMT"/>
          <w:i/>
          <w:iCs/>
          <w:sz w:val="20"/>
          <w:szCs w:val="20"/>
        </w:rPr>
        <w:t>Tafsīr Nūr al</w:t>
      </w:r>
      <w:r w:rsidRPr="001B2E5E">
        <w:rPr>
          <w:rFonts w:ascii="Garamond" w:hAnsi="Garamond" w:cs="Times New Roman"/>
          <w:i/>
          <w:iCs/>
          <w:sz w:val="20"/>
          <w:szCs w:val="20"/>
        </w:rPr>
        <w:t>-Thaqalain</w:t>
      </w:r>
      <w:r w:rsidRPr="001B2E5E">
        <w:rPr>
          <w:rFonts w:ascii="Garamond" w:hAnsi="Garamond" w:cs="Times New Roman"/>
          <w:sz w:val="20"/>
          <w:szCs w:val="20"/>
        </w:rPr>
        <w:t>, (</w:t>
      </w:r>
      <w:r w:rsidRPr="001B2E5E">
        <w:rPr>
          <w:rFonts w:ascii="Garamond" w:hAnsi="Garamond" w:cs="TimesNewRomanPSMT"/>
          <w:sz w:val="20"/>
          <w:szCs w:val="20"/>
        </w:rPr>
        <w:t>Qum: Mansyurat isma’iliyani, 1415 H),</w:t>
      </w:r>
      <w:r w:rsidRPr="001B2E5E">
        <w:rPr>
          <w:rFonts w:ascii="Garamond" w:hAnsi="Garamond" w:cs="Times New Roman"/>
          <w:sz w:val="20"/>
          <w:szCs w:val="20"/>
        </w:rPr>
        <w:t xml:space="preserve"> 22-24</w:t>
      </w:r>
      <w:r w:rsidR="00862244">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32">
    <w:p w:rsidR="003127C4" w:rsidRPr="001B2E5E" w:rsidRDefault="003127C4" w:rsidP="00862244">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lang w:val="id-ID"/>
        </w:rPr>
        <w:t>Fakhr ar-</w:t>
      </w:r>
      <w:r w:rsidRPr="001B2E5E">
        <w:rPr>
          <w:rFonts w:ascii="Garamond" w:hAnsi="Garamond" w:cs="TimesNewRomanPSMT"/>
          <w:lang w:val="id-ID"/>
        </w:rPr>
        <w:t>Rāzī</w:t>
      </w:r>
      <w:r w:rsidRPr="001B2E5E">
        <w:rPr>
          <w:rFonts w:ascii="Garamond" w:hAnsi="Garamond" w:cs="Times New Roman"/>
          <w:lang w:val="id-ID"/>
        </w:rPr>
        <w:t xml:space="preserve">, </w:t>
      </w:r>
      <w:r w:rsidRPr="001B2E5E">
        <w:rPr>
          <w:rFonts w:ascii="Garamond" w:hAnsi="Garamond" w:cs="TimesNewRomanPS-ItalicMT"/>
          <w:i/>
          <w:iCs/>
          <w:lang w:val="id-ID"/>
        </w:rPr>
        <w:t>Mafātīh al</w:t>
      </w:r>
      <w:r w:rsidRPr="001B2E5E">
        <w:rPr>
          <w:rFonts w:ascii="Garamond" w:hAnsi="Garamond" w:cs="Times New Roman"/>
          <w:i/>
          <w:iCs/>
          <w:lang w:val="id-ID"/>
        </w:rPr>
        <w:t>-Ghaib,</w:t>
      </w:r>
      <w:r w:rsidRPr="001B2E5E">
        <w:rPr>
          <w:rFonts w:ascii="Garamond" w:hAnsi="Garamond" w:cs="TimesNewRomanPSMT"/>
          <w:lang w:val="id-ID"/>
        </w:rPr>
        <w:t xml:space="preserve"> </w:t>
      </w:r>
      <w:r w:rsidRPr="001B2E5E">
        <w:rPr>
          <w:rFonts w:ascii="Garamond" w:hAnsi="Garamond" w:cs="Times New Roman"/>
          <w:lang w:val="id-ID"/>
        </w:rPr>
        <w:t>cet. 3, 1</w:t>
      </w:r>
      <w:r w:rsidR="00862244">
        <w:rPr>
          <w:rFonts w:ascii="Garamond" w:hAnsi="Garamond" w:cs="Times New Roman"/>
          <w:lang w:val="id-ID"/>
        </w:rPr>
        <w:t>:</w:t>
      </w:r>
      <w:r w:rsidRPr="001B2E5E">
        <w:rPr>
          <w:rFonts w:ascii="Garamond" w:hAnsi="Garamond" w:cs="Times New Roman"/>
          <w:lang w:val="id-ID"/>
        </w:rPr>
        <w:t>220</w:t>
      </w:r>
      <w:r w:rsidR="00862244">
        <w:rPr>
          <w:rFonts w:ascii="Garamond" w:hAnsi="Garamond" w:cs="Times New Roman"/>
          <w:lang w:val="id-ID"/>
        </w:rPr>
        <w:t>.</w:t>
      </w:r>
      <w:r w:rsidRPr="001B2E5E">
        <w:rPr>
          <w:rFonts w:ascii="Garamond" w:hAnsi="Garamond" w:cs="Times New Roman"/>
          <w:lang w:val="id-ID"/>
        </w:rPr>
        <w:t xml:space="preserve"> </w:t>
      </w:r>
      <w:r w:rsidRPr="001B2E5E">
        <w:rPr>
          <w:rFonts w:ascii="Garamond" w:hAnsi="Garamond"/>
          <w:lang w:val="id-ID"/>
        </w:rPr>
        <w:t xml:space="preserve"> </w:t>
      </w:r>
    </w:p>
  </w:footnote>
  <w:footnote w:id="33">
    <w:p w:rsidR="003127C4" w:rsidRPr="001B2E5E" w:rsidRDefault="003127C4" w:rsidP="00DC7FAC">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cs="Times New Roman"/>
          <w:sz w:val="20"/>
          <w:szCs w:val="20"/>
        </w:rPr>
        <w:t xml:space="preserve">  A</w:t>
      </w:r>
      <w:r w:rsidRPr="001B2E5E">
        <w:rPr>
          <w:rFonts w:ascii="Cambria" w:hAnsi="Cambria" w:cs="Cambria"/>
          <w:sz w:val="20"/>
          <w:szCs w:val="20"/>
        </w:rPr>
        <w:t>ḥ</w:t>
      </w:r>
      <w:r w:rsidRPr="001B2E5E">
        <w:rPr>
          <w:rFonts w:ascii="Garamond" w:hAnsi="Garamond" w:cs="Times New Roman"/>
          <w:sz w:val="20"/>
          <w:szCs w:val="20"/>
        </w:rPr>
        <w:t>mad Mu</w:t>
      </w:r>
      <w:r w:rsidRPr="001B2E5E">
        <w:rPr>
          <w:rFonts w:ascii="Cambria" w:hAnsi="Cambria" w:cs="Cambria"/>
          <w:sz w:val="20"/>
          <w:szCs w:val="20"/>
        </w:rPr>
        <w:t>ṣṭ</w:t>
      </w:r>
      <w:r w:rsidRPr="001B2E5E">
        <w:rPr>
          <w:rFonts w:ascii="Garamond" w:hAnsi="Garamond" w:cs="TimesNewRomanPSMT"/>
          <w:sz w:val="20"/>
          <w:szCs w:val="20"/>
        </w:rPr>
        <w:t>afā al</w:t>
      </w:r>
      <w:r w:rsidRPr="001B2E5E">
        <w:rPr>
          <w:rFonts w:ascii="Garamond" w:hAnsi="Garamond" w:cs="Times New Roman"/>
          <w:sz w:val="20"/>
          <w:szCs w:val="20"/>
        </w:rPr>
        <w:t>-</w:t>
      </w:r>
      <w:r w:rsidRPr="001B2E5E">
        <w:rPr>
          <w:rFonts w:ascii="Garamond" w:hAnsi="Garamond" w:cs="TimesNewRomanPSMT"/>
          <w:sz w:val="20"/>
          <w:szCs w:val="20"/>
        </w:rPr>
        <w:t xml:space="preserve">Marāghī,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Marāghī, </w:t>
      </w:r>
      <w:r w:rsidRPr="001B2E5E">
        <w:rPr>
          <w:rFonts w:ascii="Garamond" w:hAnsi="Garamond" w:cs="TimesNewRomanPSMT"/>
          <w:sz w:val="20"/>
          <w:szCs w:val="20"/>
        </w:rPr>
        <w:t>(Beirut: Dār i</w:t>
      </w:r>
      <w:r w:rsidRPr="001B2E5E">
        <w:rPr>
          <w:rFonts w:ascii="Cambria" w:hAnsi="Cambria" w:cs="Cambria"/>
          <w:sz w:val="20"/>
          <w:szCs w:val="20"/>
        </w:rPr>
        <w:t>ḥ</w:t>
      </w:r>
      <w:r w:rsidRPr="001B2E5E">
        <w:rPr>
          <w:rFonts w:ascii="Garamond" w:hAnsi="Garamond" w:cs="TimesNewRomanPSMT"/>
          <w:sz w:val="20"/>
          <w:szCs w:val="20"/>
        </w:rPr>
        <w:t>yā’ at</w:t>
      </w:r>
      <w:r w:rsidRPr="001B2E5E">
        <w:rPr>
          <w:rFonts w:ascii="Garamond" w:hAnsi="Garamond" w:cs="Times New Roman"/>
          <w:sz w:val="20"/>
          <w:szCs w:val="20"/>
        </w:rPr>
        <w:t>-</w:t>
      </w:r>
      <w:r w:rsidRPr="001B2E5E">
        <w:rPr>
          <w:rFonts w:ascii="Garamond" w:hAnsi="Garamond" w:cs="TimesNewRomanPSMT"/>
          <w:sz w:val="20"/>
          <w:szCs w:val="20"/>
        </w:rPr>
        <w:t xml:space="preserve">Turāth </w:t>
      </w:r>
      <w:r w:rsidRPr="001B2E5E">
        <w:rPr>
          <w:rFonts w:ascii="Garamond" w:hAnsi="Garamond" w:cs="Times New Roman"/>
          <w:sz w:val="20"/>
          <w:szCs w:val="20"/>
        </w:rPr>
        <w:t>al-</w:t>
      </w:r>
      <w:r w:rsidRPr="001B2E5E">
        <w:rPr>
          <w:rFonts w:ascii="Garamond" w:hAnsi="Garamond" w:cs="TimesNewRomanPSMT"/>
          <w:sz w:val="20"/>
          <w:szCs w:val="20"/>
        </w:rPr>
        <w:t>‘Ārabī, t.th), 1</w:t>
      </w:r>
      <w:r w:rsidR="00DC7FAC">
        <w:rPr>
          <w:rFonts w:ascii="Garamond" w:hAnsi="Garamond" w:cs="TimesNewRomanPSMT"/>
          <w:sz w:val="20"/>
          <w:szCs w:val="20"/>
        </w:rPr>
        <w:t>:</w:t>
      </w:r>
      <w:r w:rsidRPr="001B2E5E">
        <w:rPr>
          <w:rFonts w:ascii="Garamond" w:hAnsi="Garamond" w:cs="TimesNewRomanPSMT"/>
          <w:sz w:val="20"/>
          <w:szCs w:val="20"/>
        </w:rPr>
        <w:t>36</w:t>
      </w:r>
      <w:r w:rsidR="00DC7FAC">
        <w:rPr>
          <w:rFonts w:ascii="Garamond" w:hAnsi="Garamond" w:cs="TimesNewRomanPSMT"/>
          <w:sz w:val="20"/>
          <w:szCs w:val="20"/>
        </w:rPr>
        <w:t>.</w:t>
      </w:r>
      <w:r w:rsidRPr="001B2E5E">
        <w:rPr>
          <w:rFonts w:ascii="Garamond" w:hAnsi="Garamond"/>
          <w:sz w:val="20"/>
          <w:szCs w:val="20"/>
        </w:rPr>
        <w:t xml:space="preserve">  </w:t>
      </w:r>
    </w:p>
  </w:footnote>
  <w:footnote w:id="34">
    <w:p w:rsidR="003127C4" w:rsidRPr="001B2E5E" w:rsidRDefault="003127C4" w:rsidP="00862244">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NewRomanPSMT"/>
          <w:lang w:val="id-ID"/>
        </w:rPr>
        <w:t xml:space="preserve">Nāsir Makārim Shirāzī, </w:t>
      </w:r>
      <w:r w:rsidRPr="001B2E5E">
        <w:rPr>
          <w:rFonts w:ascii="Garamond" w:hAnsi="Garamond" w:cs="Times New Roman"/>
          <w:i/>
          <w:iCs/>
          <w:lang w:val="id-ID"/>
        </w:rPr>
        <w:t>al-</w:t>
      </w:r>
      <w:r w:rsidRPr="001B2E5E">
        <w:rPr>
          <w:rFonts w:ascii="Garamond" w:hAnsi="Garamond" w:cs="TimesNewRomanPS-ItalicMT"/>
          <w:i/>
          <w:iCs/>
          <w:lang w:val="id-ID"/>
        </w:rPr>
        <w:t>Amthāl fī Tafsīr Kitābillah al</w:t>
      </w:r>
      <w:r w:rsidRPr="001B2E5E">
        <w:rPr>
          <w:rFonts w:ascii="Garamond" w:hAnsi="Garamond" w:cs="Times New Roman"/>
          <w:i/>
          <w:iCs/>
          <w:lang w:val="id-ID"/>
        </w:rPr>
        <w:t>-Munzal</w:t>
      </w:r>
      <w:r w:rsidRPr="001B2E5E">
        <w:rPr>
          <w:rFonts w:ascii="Garamond" w:hAnsi="Garamond" w:cs="Times New Roman"/>
          <w:lang w:val="id-ID"/>
        </w:rPr>
        <w:t>, 1</w:t>
      </w:r>
      <w:r w:rsidR="00862244">
        <w:rPr>
          <w:rFonts w:ascii="Garamond" w:hAnsi="Garamond" w:cs="Times New Roman"/>
          <w:lang w:val="id-ID"/>
        </w:rPr>
        <w:t>:</w:t>
      </w:r>
      <w:r w:rsidRPr="001B2E5E">
        <w:rPr>
          <w:rFonts w:ascii="Garamond" w:hAnsi="Garamond" w:cs="Times New Roman"/>
          <w:lang w:val="id-ID"/>
        </w:rPr>
        <w:t xml:space="preserve"> 57</w:t>
      </w:r>
      <w:r w:rsidR="00DC7FAC">
        <w:rPr>
          <w:rFonts w:ascii="Garamond" w:hAnsi="Garamond" w:cs="Times New Roman"/>
          <w:lang w:val="id-ID"/>
        </w:rPr>
        <w:t>.</w:t>
      </w:r>
      <w:r w:rsidRPr="001B2E5E">
        <w:rPr>
          <w:rFonts w:ascii="Garamond" w:hAnsi="Garamond" w:cs="Times New Roman"/>
          <w:lang w:val="id-ID"/>
        </w:rPr>
        <w:t xml:space="preserve"> </w:t>
      </w:r>
      <w:r w:rsidRPr="001B2E5E">
        <w:rPr>
          <w:rFonts w:ascii="Garamond" w:hAnsi="Garamond"/>
          <w:lang w:val="id-ID"/>
        </w:rPr>
        <w:t xml:space="preserve">  </w:t>
      </w:r>
      <w:r w:rsidRPr="001B2E5E">
        <w:rPr>
          <w:rFonts w:ascii="Garamond" w:hAnsi="Garamond"/>
          <w:lang w:val="id-ID"/>
        </w:rPr>
        <w:tab/>
      </w:r>
    </w:p>
  </w:footnote>
  <w:footnote w:id="35">
    <w:p w:rsidR="003127C4" w:rsidRPr="001B2E5E" w:rsidRDefault="003127C4" w:rsidP="008D02A6">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NewRomanPSMT"/>
          <w:lang w:val="id-ID"/>
        </w:rPr>
        <w:t xml:space="preserve">Nāsir Makārim Shirāzī, </w:t>
      </w:r>
      <w:r w:rsidRPr="001B2E5E">
        <w:rPr>
          <w:rFonts w:ascii="Garamond" w:hAnsi="Garamond" w:cs="Times New Roman"/>
          <w:i/>
          <w:iCs/>
          <w:lang w:val="id-ID"/>
        </w:rPr>
        <w:t>al-</w:t>
      </w:r>
      <w:r w:rsidRPr="001B2E5E">
        <w:rPr>
          <w:rFonts w:ascii="Garamond" w:hAnsi="Garamond" w:cs="TimesNewRomanPS-ItalicMT"/>
          <w:i/>
          <w:iCs/>
          <w:lang w:val="id-ID"/>
        </w:rPr>
        <w:t>Amthāl fī Tafsīr Kitābillah al</w:t>
      </w:r>
      <w:r w:rsidRPr="001B2E5E">
        <w:rPr>
          <w:rFonts w:ascii="Garamond" w:hAnsi="Garamond" w:cs="Times New Roman"/>
          <w:i/>
          <w:iCs/>
          <w:lang w:val="id-ID"/>
        </w:rPr>
        <w:t>-Munzal</w:t>
      </w:r>
      <w:r w:rsidRPr="001B2E5E">
        <w:rPr>
          <w:rFonts w:ascii="Garamond" w:hAnsi="Garamond" w:cs="Times New Roman"/>
          <w:lang w:val="id-ID"/>
        </w:rPr>
        <w:t>, 1</w:t>
      </w:r>
      <w:r w:rsidR="008D02A6">
        <w:rPr>
          <w:rFonts w:ascii="Garamond" w:hAnsi="Garamond" w:cs="Times New Roman"/>
          <w:lang w:val="id-ID"/>
        </w:rPr>
        <w:t>:</w:t>
      </w:r>
      <w:r w:rsidRPr="001B2E5E">
        <w:rPr>
          <w:rFonts w:ascii="Garamond" w:hAnsi="Garamond" w:cs="Times New Roman"/>
          <w:lang w:val="id-ID"/>
        </w:rPr>
        <w:t xml:space="preserve"> 55</w:t>
      </w:r>
      <w:r w:rsidR="008D02A6">
        <w:rPr>
          <w:rFonts w:ascii="Garamond" w:hAnsi="Garamond" w:cs="Times New Roman"/>
          <w:lang w:val="id-ID"/>
        </w:rPr>
        <w:t>.</w:t>
      </w:r>
      <w:r w:rsidRPr="001B2E5E">
        <w:rPr>
          <w:rFonts w:ascii="Garamond" w:hAnsi="Garamond"/>
          <w:lang w:val="id-ID"/>
        </w:rPr>
        <w:t xml:space="preserve">  </w:t>
      </w:r>
    </w:p>
  </w:footnote>
  <w:footnote w:id="36">
    <w:p w:rsidR="003127C4" w:rsidRPr="001B2E5E" w:rsidRDefault="003127C4" w:rsidP="008D02A6">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 Quraish Shihab, </w:t>
      </w:r>
      <w:r w:rsidRPr="001B2E5E">
        <w:rPr>
          <w:rFonts w:ascii="Garamond" w:hAnsi="Garamond" w:cs="TimesNewRomanPS-ItalicMT"/>
          <w:i/>
          <w:iCs/>
          <w:sz w:val="20"/>
          <w:szCs w:val="20"/>
        </w:rPr>
        <w:t>Tafsīr al</w:t>
      </w:r>
      <w:r w:rsidRPr="001B2E5E">
        <w:rPr>
          <w:rFonts w:ascii="Garamond" w:hAnsi="Garamond" w:cs="Times New Roman"/>
          <w:i/>
          <w:iCs/>
          <w:sz w:val="20"/>
          <w:szCs w:val="20"/>
        </w:rPr>
        <w:t>-Mi</w:t>
      </w:r>
      <w:r w:rsidRPr="001B2E5E">
        <w:rPr>
          <w:rFonts w:ascii="Cambria" w:hAnsi="Cambria" w:cs="Cambria"/>
          <w:i/>
          <w:iCs/>
          <w:sz w:val="20"/>
          <w:szCs w:val="20"/>
        </w:rPr>
        <w:t>ṣ</w:t>
      </w:r>
      <w:r w:rsidRPr="001B2E5E">
        <w:rPr>
          <w:rFonts w:ascii="Garamond" w:hAnsi="Garamond" w:cs="TimesNewRomanPS-ItalicMT"/>
          <w:i/>
          <w:iCs/>
          <w:sz w:val="20"/>
          <w:szCs w:val="20"/>
        </w:rPr>
        <w:t>bāh: Pesan, Kesan dan Keserasian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Qur’an, </w:t>
      </w:r>
      <w:r w:rsidRPr="001B2E5E">
        <w:rPr>
          <w:rFonts w:ascii="Garamond" w:hAnsi="Garamond" w:cs="Times New Roman"/>
          <w:sz w:val="20"/>
          <w:szCs w:val="20"/>
        </w:rPr>
        <w:t>1</w:t>
      </w:r>
      <w:r w:rsidR="008D02A6">
        <w:rPr>
          <w:rFonts w:ascii="Garamond" w:hAnsi="Garamond" w:cs="Times New Roman"/>
          <w:sz w:val="20"/>
          <w:szCs w:val="20"/>
        </w:rPr>
        <w:t xml:space="preserve">: </w:t>
      </w:r>
      <w:r w:rsidRPr="001B2E5E">
        <w:rPr>
          <w:rFonts w:ascii="Garamond" w:hAnsi="Garamond" w:cs="Times New Roman"/>
          <w:sz w:val="20"/>
          <w:szCs w:val="20"/>
        </w:rPr>
        <w:t>80</w:t>
      </w:r>
      <w:r w:rsidR="008D02A6">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37">
    <w:p w:rsidR="003127C4" w:rsidRPr="001B2E5E" w:rsidRDefault="003127C4" w:rsidP="008D02A6">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 Quraish Shihab, </w:t>
      </w:r>
      <w:r w:rsidRPr="001B2E5E">
        <w:rPr>
          <w:rFonts w:ascii="Garamond" w:hAnsi="Garamond" w:cs="Times New Roman"/>
          <w:i/>
          <w:iCs/>
          <w:sz w:val="20"/>
          <w:szCs w:val="20"/>
        </w:rPr>
        <w:t>Tafsir al-</w:t>
      </w:r>
      <w:r w:rsidRPr="001B2E5E">
        <w:rPr>
          <w:rFonts w:ascii="Garamond" w:hAnsi="Garamond" w:cs="TimesNewRomanPS-ItalicMT"/>
          <w:i/>
          <w:iCs/>
          <w:sz w:val="20"/>
          <w:szCs w:val="20"/>
        </w:rPr>
        <w:t>Qur’an al</w:t>
      </w:r>
      <w:r w:rsidRPr="001B2E5E">
        <w:rPr>
          <w:rFonts w:ascii="Garamond" w:hAnsi="Garamond" w:cs="Times New Roman"/>
          <w:i/>
          <w:iCs/>
          <w:sz w:val="20"/>
          <w:szCs w:val="20"/>
        </w:rPr>
        <w:t xml:space="preserve">-Karim: Tafsir atas Surat-Surat Pendek Berdasarkan Urutan Turunnya Wahyu, </w:t>
      </w:r>
      <w:r w:rsidRPr="001B2E5E">
        <w:rPr>
          <w:rFonts w:ascii="Garamond" w:hAnsi="Garamond" w:cs="Times New Roman"/>
          <w:sz w:val="20"/>
          <w:szCs w:val="20"/>
        </w:rPr>
        <w:t>(Bandung: Pustaka Hidayah, 1999), cet. 3, 59.</w:t>
      </w:r>
      <w:r w:rsidRPr="001B2E5E">
        <w:rPr>
          <w:rFonts w:ascii="Garamond" w:hAnsi="Garamond"/>
          <w:sz w:val="20"/>
          <w:szCs w:val="20"/>
        </w:rPr>
        <w:t xml:space="preserve">  </w:t>
      </w:r>
    </w:p>
  </w:footnote>
  <w:footnote w:id="38">
    <w:p w:rsidR="003127C4" w:rsidRPr="001B2E5E" w:rsidRDefault="003127C4" w:rsidP="00617C49">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Muhammad Nur, “</w:t>
      </w:r>
      <w:r w:rsidRPr="001B2E5E">
        <w:rPr>
          <w:rFonts w:ascii="Garamond" w:hAnsi="Garamond" w:cs="TimesNewRomanPS-ItalicMT"/>
          <w:sz w:val="20"/>
          <w:szCs w:val="20"/>
        </w:rPr>
        <w:t xml:space="preserve">Takwil dalam Pandangan Mullā </w:t>
      </w:r>
      <w:r w:rsidRPr="001B2E5E">
        <w:rPr>
          <w:rFonts w:ascii="Cambria" w:hAnsi="Cambria" w:cs="Cambria"/>
          <w:sz w:val="20"/>
          <w:szCs w:val="20"/>
        </w:rPr>
        <w:t>Ṣ</w:t>
      </w:r>
      <w:r w:rsidRPr="001B2E5E">
        <w:rPr>
          <w:rFonts w:ascii="Garamond" w:hAnsi="Garamond" w:cs="TimesNewRomanPS-ItalicMT"/>
          <w:sz w:val="20"/>
          <w:szCs w:val="20"/>
        </w:rPr>
        <w:t>adrā”,</w:t>
      </w:r>
      <w:r w:rsidRPr="001B2E5E">
        <w:rPr>
          <w:rFonts w:ascii="Garamond" w:hAnsi="Garamond" w:cs="TimesNewRomanPS-ItalicMT"/>
          <w:i/>
          <w:iCs/>
          <w:sz w:val="20"/>
          <w:szCs w:val="20"/>
        </w:rPr>
        <w:t xml:space="preserve"> </w:t>
      </w:r>
      <w:r w:rsidRPr="001B2E5E">
        <w:rPr>
          <w:rFonts w:ascii="Garamond" w:hAnsi="Garamond" w:cs="Times New Roman"/>
          <w:sz w:val="20"/>
          <w:szCs w:val="20"/>
        </w:rPr>
        <w:t xml:space="preserve">(Jakarta: </w:t>
      </w:r>
      <w:r w:rsidRPr="001B2E5E">
        <w:rPr>
          <w:rFonts w:ascii="Garamond" w:hAnsi="Garamond" w:cs="Times New Roman"/>
          <w:i/>
          <w:iCs/>
          <w:sz w:val="20"/>
          <w:szCs w:val="20"/>
        </w:rPr>
        <w:t>Kanz Philosophia</w:t>
      </w:r>
      <w:r w:rsidRPr="001B2E5E">
        <w:rPr>
          <w:rFonts w:ascii="Garamond" w:hAnsi="Garamond" w:cs="Times New Roman"/>
          <w:sz w:val="20"/>
          <w:szCs w:val="20"/>
        </w:rPr>
        <w:t xml:space="preserve">, 2012), vol. 2, no.2, 12; Lihat juga Seyyed Hossein Nasr, </w:t>
      </w:r>
      <w:r w:rsidRPr="001B2E5E">
        <w:rPr>
          <w:rFonts w:ascii="Garamond" w:hAnsi="Garamond" w:cs="Times New Roman"/>
          <w:i/>
          <w:iCs/>
          <w:sz w:val="20"/>
          <w:szCs w:val="20"/>
        </w:rPr>
        <w:t>Al-</w:t>
      </w:r>
      <w:r w:rsidRPr="001B2E5E">
        <w:rPr>
          <w:rFonts w:ascii="Cambria" w:hAnsi="Cambria" w:cs="Cambria"/>
          <w:i/>
          <w:iCs/>
          <w:sz w:val="20"/>
          <w:szCs w:val="20"/>
        </w:rPr>
        <w:t>Ḥ</w:t>
      </w:r>
      <w:r w:rsidRPr="001B2E5E">
        <w:rPr>
          <w:rFonts w:ascii="Garamond" w:hAnsi="Garamond" w:cs="Times New Roman"/>
          <w:i/>
          <w:iCs/>
          <w:sz w:val="20"/>
          <w:szCs w:val="20"/>
        </w:rPr>
        <w:t>ikmah Al-</w:t>
      </w:r>
      <w:r w:rsidRPr="001B2E5E">
        <w:rPr>
          <w:rFonts w:ascii="Garamond" w:hAnsi="Garamond" w:cs="TimesNewRomanPS-ItalicMT"/>
          <w:i/>
          <w:iCs/>
          <w:sz w:val="20"/>
          <w:szCs w:val="20"/>
        </w:rPr>
        <w:t xml:space="preserve">Muta’aliyah Mullā Sadrā: Sebuah </w:t>
      </w:r>
      <w:r w:rsidRPr="001B2E5E">
        <w:rPr>
          <w:rFonts w:ascii="Garamond" w:hAnsi="Garamond" w:cs="Times New Roman"/>
          <w:i/>
          <w:iCs/>
          <w:sz w:val="20"/>
          <w:szCs w:val="20"/>
        </w:rPr>
        <w:t xml:space="preserve">Terobosan dalam Filsafat Islam, </w:t>
      </w:r>
      <w:r w:rsidRPr="001B2E5E">
        <w:rPr>
          <w:rFonts w:ascii="Garamond" w:hAnsi="Garamond" w:cs="Times New Roman"/>
          <w:sz w:val="20"/>
          <w:szCs w:val="20"/>
        </w:rPr>
        <w:t>diterjemahkan oleh Mustamin al-Mandary, 161</w:t>
      </w:r>
      <w:r w:rsidR="00617C49">
        <w:rPr>
          <w:rFonts w:ascii="Garamond" w:hAnsi="Garamond" w:cs="Times New Roman"/>
          <w:sz w:val="20"/>
          <w:szCs w:val="20"/>
        </w:rPr>
        <w:t>.</w:t>
      </w:r>
      <w:r w:rsidRPr="001B2E5E">
        <w:rPr>
          <w:rFonts w:ascii="Garamond" w:hAnsi="Garamond"/>
          <w:sz w:val="20"/>
          <w:szCs w:val="20"/>
        </w:rPr>
        <w:t xml:space="preserve">  </w:t>
      </w:r>
    </w:p>
  </w:footnote>
  <w:footnote w:id="39">
    <w:p w:rsidR="003127C4" w:rsidRPr="001B2E5E" w:rsidRDefault="003127C4" w:rsidP="001C6C9D">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Kaidah </w:t>
      </w:r>
      <w:r w:rsidRPr="001B2E5E">
        <w:rPr>
          <w:rFonts w:ascii="Garamond" w:hAnsi="Garamond" w:cs="TimesNewRomanPS-ItalicMT"/>
          <w:i/>
          <w:iCs/>
          <w:lang w:val="id-ID"/>
        </w:rPr>
        <w:t>rū</w:t>
      </w:r>
      <w:r w:rsidRPr="001B2E5E">
        <w:rPr>
          <w:rFonts w:ascii="Cambria" w:hAnsi="Cambria" w:cs="Cambria"/>
          <w:i/>
          <w:iCs/>
          <w:lang w:val="id-ID"/>
        </w:rPr>
        <w:t>ḥ</w:t>
      </w:r>
      <w:r w:rsidRPr="001B2E5E">
        <w:rPr>
          <w:rFonts w:ascii="Garamond" w:hAnsi="Garamond" w:cs="TimesNewRomanPS-ItalicMT"/>
          <w:i/>
          <w:iCs/>
          <w:lang w:val="id-ID"/>
        </w:rPr>
        <w:t xml:space="preserve"> </w:t>
      </w:r>
      <w:r w:rsidRPr="001B2E5E">
        <w:rPr>
          <w:rFonts w:ascii="Garamond" w:hAnsi="Garamond" w:cs="Times New Roman"/>
          <w:i/>
          <w:iCs/>
          <w:lang w:val="id-ID"/>
        </w:rPr>
        <w:t>al-</w:t>
      </w:r>
      <w:r w:rsidRPr="001B2E5E">
        <w:rPr>
          <w:rFonts w:ascii="Garamond" w:hAnsi="Garamond" w:cs="TimesNewRomanPS-ItalicMT"/>
          <w:i/>
          <w:iCs/>
          <w:lang w:val="id-ID"/>
        </w:rPr>
        <w:t xml:space="preserve">ma’nā </w:t>
      </w:r>
      <w:r w:rsidRPr="001B2E5E">
        <w:rPr>
          <w:rFonts w:ascii="Garamond" w:hAnsi="Garamond" w:cs="TimesNewRomanPS-ItalicMT"/>
          <w:lang w:val="id-ID"/>
        </w:rPr>
        <w:t xml:space="preserve">adalah fondasi takwil Mulla Sadra yang memandang aspek batin dari setiap kata yang terdapat dalam susunan ayat-ayat-Nya. Pemahaman kata dan kalimat sebagai upaya memperoleh makna batin merupakan proses korelasi antara makna lahiriah dan batin yang saling menyempurnakan menyingkap hakikat term Alquran, khususnya istilah </w:t>
      </w:r>
      <w:r w:rsidRPr="001B2E5E">
        <w:rPr>
          <w:rFonts w:ascii="Garamond" w:hAnsi="Garamond" w:cs="Times New Roman"/>
          <w:i/>
          <w:iCs/>
          <w:lang w:val="id-ID"/>
        </w:rPr>
        <w:t>as-</w:t>
      </w:r>
      <w:r w:rsidRPr="001B2E5E">
        <w:rPr>
          <w:rFonts w:ascii="Cambria" w:hAnsi="Cambria" w:cs="Cambria"/>
          <w:i/>
          <w:iCs/>
          <w:lang w:val="id-ID"/>
        </w:rPr>
        <w:t>ṣ</w:t>
      </w:r>
      <w:r w:rsidRPr="001B2E5E">
        <w:rPr>
          <w:rFonts w:ascii="Garamond" w:hAnsi="Garamond" w:cs="TimesNewRomanPS-ItalicMT"/>
          <w:i/>
          <w:iCs/>
          <w:lang w:val="id-ID"/>
        </w:rPr>
        <w:t>irā</w:t>
      </w:r>
      <w:r w:rsidRPr="001B2E5E">
        <w:rPr>
          <w:rFonts w:ascii="Cambria" w:hAnsi="Cambria" w:cs="Cambria"/>
          <w:i/>
          <w:iCs/>
          <w:lang w:val="id-ID"/>
        </w:rPr>
        <w:t>ṭ</w:t>
      </w:r>
      <w:r w:rsidRPr="001B2E5E">
        <w:rPr>
          <w:rFonts w:ascii="Garamond" w:hAnsi="Garamond" w:cs="Times New Roman"/>
          <w:lang w:val="id-ID"/>
        </w:rPr>
        <w:t xml:space="preserve"> </w:t>
      </w:r>
      <w:r w:rsidRPr="001B2E5E">
        <w:rPr>
          <w:rFonts w:ascii="Garamond" w:hAnsi="Garamond" w:cs="Times New Roman"/>
          <w:i/>
          <w:iCs/>
          <w:lang w:val="id-ID"/>
        </w:rPr>
        <w:t>al-</w:t>
      </w:r>
      <w:r w:rsidRPr="001B2E5E">
        <w:rPr>
          <w:rFonts w:ascii="Garamond" w:hAnsi="Garamond" w:cs="TimesNewRomanPS-ItalicMT"/>
          <w:i/>
          <w:iCs/>
          <w:lang w:val="id-ID"/>
        </w:rPr>
        <w:t>mustaqīm.</w:t>
      </w:r>
      <w:r w:rsidRPr="001B2E5E">
        <w:rPr>
          <w:rFonts w:ascii="Garamond" w:hAnsi="Garamond" w:cs="TimesNewRomanPS-ItalicMT"/>
          <w:lang w:val="id-ID"/>
        </w:rPr>
        <w:t xml:space="preserve"> </w:t>
      </w:r>
      <w:r w:rsidRPr="001B2E5E">
        <w:rPr>
          <w:rFonts w:ascii="Garamond" w:hAnsi="Garamond" w:cs="TimesNewRomanPS-ItalicMT"/>
          <w:i/>
          <w:iCs/>
          <w:lang w:val="id-ID"/>
        </w:rPr>
        <w:t xml:space="preserve"> </w:t>
      </w:r>
      <w:r w:rsidRPr="001B2E5E">
        <w:rPr>
          <w:rFonts w:ascii="Garamond" w:hAnsi="Garamond" w:cs="TimesNewRomanPS-ItalicMT"/>
          <w:lang w:val="id-ID"/>
        </w:rPr>
        <w:t xml:space="preserve">     </w:t>
      </w:r>
      <w:r w:rsidRPr="001B2E5E">
        <w:rPr>
          <w:rFonts w:ascii="Garamond" w:hAnsi="Garamond"/>
          <w:lang w:val="id-ID"/>
        </w:rPr>
        <w:t xml:space="preserve"> </w:t>
      </w:r>
    </w:p>
  </w:footnote>
  <w:footnote w:id="40">
    <w:p w:rsidR="003127C4" w:rsidRPr="001B2E5E" w:rsidRDefault="003127C4" w:rsidP="00617C49">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‘Alī An</w:t>
      </w:r>
      <w:r w:rsidRPr="001B2E5E">
        <w:rPr>
          <w:rFonts w:ascii="Garamond" w:hAnsi="Garamond" w:cs="Times New Roman"/>
          <w:sz w:val="20"/>
          <w:szCs w:val="20"/>
        </w:rPr>
        <w:t>-</w:t>
      </w:r>
      <w:r w:rsidRPr="001B2E5E">
        <w:rPr>
          <w:rFonts w:ascii="Garamond" w:hAnsi="Garamond" w:cs="TimesNewRomanPSMT"/>
          <w:sz w:val="20"/>
          <w:szCs w:val="20"/>
        </w:rPr>
        <w:t>Namāzī Asy</w:t>
      </w:r>
      <w:r w:rsidRPr="001B2E5E">
        <w:rPr>
          <w:rFonts w:ascii="Garamond" w:hAnsi="Garamond" w:cs="Times New Roman"/>
          <w:sz w:val="20"/>
          <w:szCs w:val="20"/>
        </w:rPr>
        <w:t>-</w:t>
      </w:r>
      <w:r w:rsidRPr="001B2E5E">
        <w:rPr>
          <w:rFonts w:ascii="Garamond" w:hAnsi="Garamond" w:cs="TimesNewRomanPSMT"/>
          <w:sz w:val="20"/>
          <w:szCs w:val="20"/>
        </w:rPr>
        <w:t xml:space="preserve">Syāhrūdī, </w:t>
      </w:r>
      <w:r w:rsidRPr="001B2E5E">
        <w:rPr>
          <w:rFonts w:ascii="Garamond" w:hAnsi="Garamond" w:cs="TimesNewRomanPS-ItalicMT"/>
          <w:i/>
          <w:iCs/>
          <w:sz w:val="20"/>
          <w:szCs w:val="20"/>
        </w:rPr>
        <w:t>Mustadrak Safīnah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Bihār, </w:t>
      </w:r>
      <w:r w:rsidRPr="001B2E5E">
        <w:rPr>
          <w:rFonts w:ascii="Garamond" w:hAnsi="Garamond" w:cs="Times New Roman"/>
          <w:sz w:val="20"/>
          <w:szCs w:val="20"/>
        </w:rPr>
        <w:t xml:space="preserve">(Qum: </w:t>
      </w:r>
      <w:r w:rsidRPr="001B2E5E">
        <w:rPr>
          <w:rFonts w:ascii="Garamond" w:hAnsi="Garamond" w:cs="TimesNewRomanPSMT"/>
          <w:sz w:val="20"/>
          <w:szCs w:val="20"/>
        </w:rPr>
        <w:t>Mu’assasah an</w:t>
      </w:r>
      <w:r w:rsidRPr="001B2E5E">
        <w:rPr>
          <w:rFonts w:ascii="Garamond" w:hAnsi="Garamond" w:cs="Times New Roman"/>
          <w:sz w:val="20"/>
          <w:szCs w:val="20"/>
        </w:rPr>
        <w:t>-Nasyr al-</w:t>
      </w:r>
      <w:r w:rsidRPr="001B2E5E">
        <w:rPr>
          <w:rFonts w:ascii="Garamond" w:hAnsi="Garamond" w:cs="TimesNewRomanPSMT"/>
          <w:sz w:val="20"/>
          <w:szCs w:val="20"/>
        </w:rPr>
        <w:t>Islāmī, 1469 HQ), 8</w:t>
      </w:r>
      <w:r w:rsidR="00617C49">
        <w:rPr>
          <w:rFonts w:ascii="Garamond" w:hAnsi="Garamond" w:cs="TimesNewRomanPSMT"/>
          <w:sz w:val="20"/>
          <w:szCs w:val="20"/>
        </w:rPr>
        <w:t xml:space="preserve">: </w:t>
      </w:r>
      <w:r w:rsidRPr="001B2E5E">
        <w:rPr>
          <w:rFonts w:ascii="Garamond" w:hAnsi="Garamond" w:cs="TimesNewRomanPSMT"/>
          <w:sz w:val="20"/>
          <w:szCs w:val="20"/>
        </w:rPr>
        <w:t xml:space="preserve">455; Lihat juga </w:t>
      </w:r>
      <w:r w:rsidRPr="001B2E5E">
        <w:rPr>
          <w:rFonts w:ascii="Garamond" w:hAnsi="Garamond" w:cs="Times New Roman"/>
          <w:sz w:val="20"/>
          <w:szCs w:val="20"/>
        </w:rPr>
        <w:t xml:space="preserve">Kerwanto, </w:t>
      </w:r>
      <w:r w:rsidRPr="001B2E5E">
        <w:rPr>
          <w:rFonts w:ascii="Garamond" w:hAnsi="Garamond" w:cs="Times New Roman"/>
          <w:i/>
          <w:iCs/>
          <w:sz w:val="20"/>
          <w:szCs w:val="20"/>
        </w:rPr>
        <w:t xml:space="preserve">Pemikiran Filosofis </w:t>
      </w:r>
      <w:r w:rsidRPr="001B2E5E">
        <w:rPr>
          <w:rFonts w:ascii="Cambria" w:hAnsi="Cambria" w:cs="Cambria"/>
          <w:i/>
          <w:iCs/>
          <w:sz w:val="20"/>
          <w:szCs w:val="20"/>
        </w:rPr>
        <w:t>Ṣ</w:t>
      </w:r>
      <w:r w:rsidRPr="001B2E5E">
        <w:rPr>
          <w:rFonts w:ascii="Garamond" w:hAnsi="Garamond" w:cs="TimesNewRomanPS-ItalicMT"/>
          <w:i/>
          <w:iCs/>
          <w:sz w:val="20"/>
          <w:szCs w:val="20"/>
        </w:rPr>
        <w:t>adrā dalam Tafsir Q.S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‘A’la: Studi atas Tafsir Mullā </w:t>
      </w:r>
      <w:r w:rsidRPr="001B2E5E">
        <w:rPr>
          <w:rFonts w:ascii="Cambria" w:hAnsi="Cambria" w:cs="Cambria"/>
          <w:i/>
          <w:iCs/>
          <w:sz w:val="20"/>
          <w:szCs w:val="20"/>
        </w:rPr>
        <w:t>Ṣ</w:t>
      </w:r>
      <w:r w:rsidRPr="001B2E5E">
        <w:rPr>
          <w:rFonts w:ascii="Garamond" w:hAnsi="Garamond" w:cs="TimesNewRomanPS-ItalicMT"/>
          <w:i/>
          <w:iCs/>
          <w:sz w:val="20"/>
          <w:szCs w:val="20"/>
        </w:rPr>
        <w:t xml:space="preserve">adrā, </w:t>
      </w:r>
      <w:r w:rsidRPr="001B2E5E">
        <w:rPr>
          <w:rFonts w:ascii="Garamond" w:hAnsi="Garamond" w:cs="TimesNewRomanPS-ItalicMT"/>
          <w:sz w:val="20"/>
          <w:szCs w:val="20"/>
        </w:rPr>
        <w:t>(Jakarta: ICAS-Paramadina,2014),</w:t>
      </w:r>
      <w:r w:rsidRPr="001B2E5E">
        <w:rPr>
          <w:rFonts w:ascii="Garamond" w:hAnsi="Garamond" w:cs="TimesNewRomanPS-ItalicMT"/>
          <w:i/>
          <w:iCs/>
          <w:sz w:val="20"/>
          <w:szCs w:val="20"/>
        </w:rPr>
        <w:t xml:space="preserve"> </w:t>
      </w:r>
      <w:r w:rsidRPr="001B2E5E">
        <w:rPr>
          <w:rFonts w:ascii="Garamond" w:hAnsi="Garamond" w:cs="Times New Roman"/>
          <w:sz w:val="20"/>
          <w:szCs w:val="20"/>
        </w:rPr>
        <w:t>39</w:t>
      </w:r>
      <w:r w:rsidR="00617C49">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41">
    <w:p w:rsidR="003127C4" w:rsidRPr="001B2E5E" w:rsidRDefault="003127C4" w:rsidP="00617C49">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 xml:space="preserve">- </w:t>
      </w:r>
      <w:r w:rsidRPr="001B2E5E">
        <w:rPr>
          <w:rFonts w:ascii="Garamond" w:hAnsi="Garamond" w:cs="TimesNewRomanPS-ItalicMT"/>
          <w:i/>
          <w:iCs/>
          <w:sz w:val="20"/>
          <w:szCs w:val="20"/>
        </w:rPr>
        <w:t xml:space="preserve">Karīm, </w:t>
      </w:r>
      <w:r w:rsidRPr="001B2E5E">
        <w:rPr>
          <w:rFonts w:ascii="Garamond" w:hAnsi="Garamond" w:cs="Times New Roman"/>
          <w:sz w:val="20"/>
          <w:szCs w:val="20"/>
        </w:rPr>
        <w:t xml:space="preserve">cet.3, jil. 4, hal. 166; Lihat juga </w:t>
      </w:r>
      <w:r w:rsidRPr="001B2E5E">
        <w:rPr>
          <w:rFonts w:ascii="Garamond" w:hAnsi="Garamond" w:cs="TimesNewRomanPSMT"/>
          <w:sz w:val="20"/>
          <w:szCs w:val="20"/>
        </w:rPr>
        <w:t xml:space="preserve">Ibn ‘Arabī, </w:t>
      </w:r>
      <w:r w:rsidRPr="001B2E5E">
        <w:rPr>
          <w:rFonts w:ascii="Garamond" w:hAnsi="Garamond" w:cs="Times New Roman"/>
          <w:i/>
          <w:iCs/>
          <w:sz w:val="20"/>
          <w:szCs w:val="20"/>
        </w:rPr>
        <w:t>al-</w:t>
      </w:r>
      <w:r w:rsidRPr="001B2E5E">
        <w:rPr>
          <w:rFonts w:ascii="Garamond" w:hAnsi="Garamond" w:cs="TimesNewRomanPS-ItalicMT"/>
          <w:i/>
          <w:iCs/>
          <w:sz w:val="20"/>
          <w:szCs w:val="20"/>
        </w:rPr>
        <w:t>Futū</w:t>
      </w:r>
      <w:r w:rsidRPr="001B2E5E">
        <w:rPr>
          <w:rFonts w:ascii="Cambria" w:hAnsi="Cambria" w:cs="Cambria"/>
          <w:i/>
          <w:iCs/>
          <w:sz w:val="20"/>
          <w:szCs w:val="20"/>
        </w:rPr>
        <w:t>ḥ</w:t>
      </w:r>
      <w:r w:rsidRPr="001B2E5E">
        <w:rPr>
          <w:rFonts w:ascii="Garamond" w:hAnsi="Garamond" w:cs="TimesNewRomanPS-ItalicMT"/>
          <w:i/>
          <w:iCs/>
          <w:sz w:val="20"/>
          <w:szCs w:val="20"/>
        </w:rPr>
        <w:t>āt al</w:t>
      </w:r>
      <w:r w:rsidRPr="001B2E5E">
        <w:rPr>
          <w:rFonts w:ascii="Garamond" w:hAnsi="Garamond" w:cs="Times New Roman"/>
          <w:i/>
          <w:iCs/>
          <w:sz w:val="20"/>
          <w:szCs w:val="20"/>
        </w:rPr>
        <w:t xml:space="preserve">-Makkiyyah, </w:t>
      </w:r>
      <w:r w:rsidRPr="001B2E5E">
        <w:rPr>
          <w:rFonts w:ascii="Garamond" w:hAnsi="Garamond" w:cs="TimesNewRomanPSMT"/>
          <w:sz w:val="20"/>
          <w:szCs w:val="20"/>
        </w:rPr>
        <w:t>(Beirut: Dār a</w:t>
      </w:r>
      <w:r w:rsidRPr="001B2E5E">
        <w:rPr>
          <w:rFonts w:ascii="Cambria" w:hAnsi="Cambria" w:cs="Cambria"/>
          <w:sz w:val="20"/>
          <w:szCs w:val="20"/>
        </w:rPr>
        <w:t>ṣ</w:t>
      </w:r>
      <w:r w:rsidRPr="001B2E5E">
        <w:rPr>
          <w:rFonts w:ascii="Garamond" w:hAnsi="Garamond" w:cs="Times New Roman"/>
          <w:sz w:val="20"/>
          <w:szCs w:val="20"/>
        </w:rPr>
        <w:t>-</w:t>
      </w:r>
      <w:r w:rsidRPr="001B2E5E">
        <w:rPr>
          <w:rFonts w:ascii="Cambria" w:hAnsi="Cambria" w:cs="Cambria"/>
          <w:sz w:val="20"/>
          <w:szCs w:val="20"/>
        </w:rPr>
        <w:t>Ṣ</w:t>
      </w:r>
      <w:r w:rsidRPr="001B2E5E">
        <w:rPr>
          <w:rFonts w:ascii="Garamond" w:hAnsi="Garamond" w:cs="TimesNewRomanPSMT"/>
          <w:sz w:val="20"/>
          <w:szCs w:val="20"/>
        </w:rPr>
        <w:t>adī</w:t>
      </w:r>
      <w:r w:rsidR="00617C49">
        <w:rPr>
          <w:rFonts w:ascii="Garamond" w:hAnsi="Garamond" w:cs="Times New Roman"/>
          <w:sz w:val="20"/>
          <w:szCs w:val="20"/>
        </w:rPr>
        <w:t xml:space="preserve">r), cet. 1, </w:t>
      </w:r>
      <w:r w:rsidRPr="001B2E5E">
        <w:rPr>
          <w:rFonts w:ascii="Garamond" w:hAnsi="Garamond" w:cs="Times New Roman"/>
          <w:sz w:val="20"/>
          <w:szCs w:val="20"/>
        </w:rPr>
        <w:t>1</w:t>
      </w:r>
      <w:r w:rsidR="00617C49">
        <w:rPr>
          <w:rFonts w:ascii="Garamond" w:hAnsi="Garamond" w:cs="Times New Roman"/>
          <w:sz w:val="20"/>
          <w:szCs w:val="20"/>
        </w:rPr>
        <w:t xml:space="preserve">: </w:t>
      </w:r>
      <w:r w:rsidRPr="001B2E5E">
        <w:rPr>
          <w:rFonts w:ascii="Garamond" w:hAnsi="Garamond" w:cs="Times New Roman"/>
          <w:sz w:val="20"/>
          <w:szCs w:val="20"/>
        </w:rPr>
        <w:t xml:space="preserve">9. </w:t>
      </w:r>
      <w:r w:rsidRPr="001B2E5E">
        <w:rPr>
          <w:rFonts w:ascii="Garamond" w:hAnsi="Garamond"/>
          <w:sz w:val="20"/>
          <w:szCs w:val="20"/>
        </w:rPr>
        <w:t xml:space="preserve">   </w:t>
      </w:r>
    </w:p>
  </w:footnote>
  <w:footnote w:id="42">
    <w:p w:rsidR="003127C4" w:rsidRPr="001B2E5E" w:rsidRDefault="003127C4" w:rsidP="00617C49">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 New Roman"/>
          <w:i/>
          <w:iCs/>
          <w:sz w:val="20"/>
          <w:szCs w:val="20"/>
        </w:rPr>
        <w:t>al-Sh</w:t>
      </w:r>
      <w:r w:rsidRPr="001B2E5E">
        <w:rPr>
          <w:rFonts w:ascii="Garamond" w:hAnsi="Garamond" w:cs="TimesNewRomanPS-ItalicMT"/>
          <w:i/>
          <w:iCs/>
          <w:sz w:val="20"/>
          <w:szCs w:val="20"/>
        </w:rPr>
        <w:t>awāhid ar</w:t>
      </w:r>
      <w:r w:rsidRPr="001B2E5E">
        <w:rPr>
          <w:rFonts w:ascii="Garamond" w:hAnsi="Garamond" w:cs="Times New Roman"/>
          <w:i/>
          <w:iCs/>
          <w:sz w:val="20"/>
          <w:szCs w:val="20"/>
        </w:rPr>
        <w:t>-</w:t>
      </w:r>
      <w:r w:rsidRPr="001B2E5E">
        <w:rPr>
          <w:rFonts w:ascii="Garamond" w:hAnsi="Garamond" w:cs="TimesNewRomanPS-ItalicMT"/>
          <w:i/>
          <w:iCs/>
          <w:sz w:val="20"/>
          <w:szCs w:val="20"/>
        </w:rPr>
        <w:t>Rubūbiyyah fī al</w:t>
      </w:r>
      <w:r w:rsidRPr="001B2E5E">
        <w:rPr>
          <w:rFonts w:ascii="Garamond" w:hAnsi="Garamond" w:cs="Times New Roman"/>
          <w:i/>
          <w:iCs/>
          <w:sz w:val="20"/>
          <w:szCs w:val="20"/>
        </w:rPr>
        <w:t>-</w:t>
      </w:r>
      <w:r w:rsidRPr="001B2E5E">
        <w:rPr>
          <w:rFonts w:ascii="Garamond" w:hAnsi="Garamond" w:cs="TimesNewRomanPS-ItalicMT"/>
          <w:i/>
          <w:iCs/>
          <w:sz w:val="20"/>
          <w:szCs w:val="20"/>
        </w:rPr>
        <w:t>Manāhij as</w:t>
      </w:r>
      <w:r w:rsidRPr="001B2E5E">
        <w:rPr>
          <w:rFonts w:ascii="Garamond" w:hAnsi="Garamond" w:cs="Times New Roman"/>
          <w:i/>
          <w:iCs/>
          <w:sz w:val="20"/>
          <w:szCs w:val="20"/>
        </w:rPr>
        <w:t>-</w:t>
      </w:r>
      <w:r w:rsidRPr="001B2E5E">
        <w:rPr>
          <w:rFonts w:ascii="Garamond" w:hAnsi="Garamond" w:cs="TimesNewRomanPS-ItalicMT"/>
          <w:i/>
          <w:iCs/>
          <w:sz w:val="20"/>
          <w:szCs w:val="20"/>
        </w:rPr>
        <w:t xml:space="preserve">Sulūkiyyah, </w:t>
      </w:r>
      <w:r w:rsidRPr="001B2E5E">
        <w:rPr>
          <w:rFonts w:ascii="Garamond" w:hAnsi="Garamond" w:cs="TimesNewRomanPSMT"/>
          <w:sz w:val="20"/>
          <w:szCs w:val="20"/>
        </w:rPr>
        <w:t>(Beirut: Mu’athathah at</w:t>
      </w:r>
      <w:r w:rsidRPr="001B2E5E">
        <w:rPr>
          <w:rFonts w:ascii="Garamond" w:hAnsi="Garamond" w:cs="Times New Roman"/>
          <w:sz w:val="20"/>
          <w:szCs w:val="20"/>
        </w:rPr>
        <w:t>-Tarikh al-</w:t>
      </w:r>
      <w:r w:rsidRPr="001B2E5E">
        <w:rPr>
          <w:rFonts w:ascii="Garamond" w:hAnsi="Garamond" w:cs="TimesNewRomanPSMT"/>
          <w:sz w:val="20"/>
          <w:szCs w:val="20"/>
        </w:rPr>
        <w:t xml:space="preserve">Arabī, </w:t>
      </w:r>
      <w:r w:rsidRPr="001B2E5E">
        <w:rPr>
          <w:rFonts w:ascii="Garamond" w:hAnsi="Garamond" w:cs="Times New Roman"/>
          <w:sz w:val="20"/>
          <w:szCs w:val="20"/>
        </w:rPr>
        <w:t>1050 HQ), 80</w:t>
      </w:r>
      <w:r w:rsidR="00617C49">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43">
    <w:p w:rsidR="003127C4" w:rsidRPr="001B2E5E" w:rsidRDefault="003127C4" w:rsidP="00617C49">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cs="Times New Roman"/>
          <w:sz w:val="20"/>
          <w:szCs w:val="20"/>
        </w:rPr>
        <w:t xml:space="preserve"> Mulla Sadra</w:t>
      </w:r>
      <w:r w:rsidRPr="001B2E5E">
        <w:rPr>
          <w:rFonts w:ascii="Garamond" w:hAnsi="Garamond" w:cs="TimesNewRomanPS-ItalicMT"/>
          <w:i/>
          <w:iCs/>
          <w:sz w:val="20"/>
          <w:szCs w:val="20"/>
        </w:rPr>
        <w:t>, Mafātī</w:t>
      </w:r>
      <w:r w:rsidRPr="001B2E5E">
        <w:rPr>
          <w:rFonts w:ascii="Cambria" w:hAnsi="Cambria" w:cs="Cambria"/>
          <w:i/>
          <w:iCs/>
          <w:sz w:val="20"/>
          <w:szCs w:val="20"/>
        </w:rPr>
        <w:t>ḥ</w:t>
      </w:r>
      <w:r w:rsidRPr="001B2E5E">
        <w:rPr>
          <w:rFonts w:ascii="Garamond" w:hAnsi="Garamond" w:cs="TimesNewRomanPS-ItalicMT"/>
          <w:i/>
          <w:iCs/>
          <w:sz w:val="20"/>
          <w:szCs w:val="20"/>
        </w:rPr>
        <w:t xml:space="preserve"> </w:t>
      </w:r>
      <w:r w:rsidRPr="001B2E5E">
        <w:rPr>
          <w:rFonts w:ascii="Garamond" w:hAnsi="Garamond" w:cs="Times New Roman"/>
          <w:i/>
          <w:iCs/>
          <w:sz w:val="20"/>
          <w:szCs w:val="20"/>
        </w:rPr>
        <w:t xml:space="preserve">al-Ghaib, </w:t>
      </w:r>
      <w:r w:rsidRPr="001B2E5E">
        <w:rPr>
          <w:rFonts w:ascii="Garamond" w:hAnsi="Garamond" w:cs="Times New Roman"/>
          <w:sz w:val="20"/>
          <w:szCs w:val="20"/>
        </w:rPr>
        <w:t>94</w:t>
      </w:r>
      <w:r w:rsidR="00617C49">
        <w:rPr>
          <w:rFonts w:ascii="Garamond" w:hAnsi="Garamond" w:cs="Times New Roman"/>
          <w:sz w:val="20"/>
          <w:szCs w:val="20"/>
        </w:rPr>
        <w:t>.</w:t>
      </w:r>
      <w:r w:rsidRPr="001B2E5E">
        <w:rPr>
          <w:rFonts w:ascii="Garamond" w:hAnsi="Garamond"/>
          <w:sz w:val="20"/>
          <w:szCs w:val="20"/>
        </w:rPr>
        <w:t xml:space="preserve">  </w:t>
      </w:r>
    </w:p>
  </w:footnote>
  <w:footnote w:id="44">
    <w:p w:rsidR="003127C4" w:rsidRPr="001B2E5E" w:rsidRDefault="003127C4" w:rsidP="00617C49">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lang w:val="id-ID"/>
        </w:rPr>
        <w:t xml:space="preserve">Mulla Sadra, </w:t>
      </w:r>
      <w:r w:rsidRPr="001B2E5E">
        <w:rPr>
          <w:rFonts w:ascii="Garamond" w:hAnsi="Garamond" w:cs="TimesNewRomanPS-ItalicMT"/>
          <w:i/>
          <w:iCs/>
          <w:lang w:val="id-ID"/>
        </w:rPr>
        <w:t>Tafsīr al</w:t>
      </w:r>
      <w:r w:rsidRPr="001B2E5E">
        <w:rPr>
          <w:rFonts w:ascii="Garamond" w:hAnsi="Garamond" w:cs="Times New Roman"/>
          <w:i/>
          <w:iCs/>
          <w:lang w:val="id-ID"/>
        </w:rPr>
        <w:t>-</w:t>
      </w:r>
      <w:r w:rsidRPr="001B2E5E">
        <w:rPr>
          <w:rFonts w:ascii="Garamond" w:hAnsi="Garamond" w:cs="TimesNewRomanPS-ItalicMT"/>
          <w:i/>
          <w:iCs/>
          <w:lang w:val="id-ID"/>
        </w:rPr>
        <w:t xml:space="preserve">Qur’ān </w:t>
      </w:r>
      <w:r w:rsidRPr="001B2E5E">
        <w:rPr>
          <w:rFonts w:ascii="Garamond" w:hAnsi="Garamond" w:cs="Times New Roman"/>
          <w:i/>
          <w:iCs/>
          <w:lang w:val="id-ID"/>
        </w:rPr>
        <w:t>al-</w:t>
      </w:r>
      <w:r w:rsidRPr="001B2E5E">
        <w:rPr>
          <w:rFonts w:ascii="Garamond" w:hAnsi="Garamond" w:cs="TimesNewRomanPS-ItalicMT"/>
          <w:i/>
          <w:iCs/>
          <w:lang w:val="id-ID"/>
        </w:rPr>
        <w:t xml:space="preserve">Karīm, </w:t>
      </w:r>
      <w:r w:rsidRPr="001B2E5E">
        <w:rPr>
          <w:rFonts w:ascii="Garamond" w:hAnsi="Garamond" w:cs="Times New Roman"/>
          <w:lang w:val="id-ID"/>
        </w:rPr>
        <w:t xml:space="preserve">cet.3, jil. 1, hal. 101; Lihat juga Muhammad Nur, </w:t>
      </w:r>
      <w:r w:rsidRPr="001B2E5E">
        <w:rPr>
          <w:rFonts w:ascii="Garamond" w:hAnsi="Garamond" w:cs="TimesNewRomanPS-ItalicMT"/>
          <w:i/>
          <w:iCs/>
          <w:lang w:val="id-ID"/>
        </w:rPr>
        <w:t xml:space="preserve">Takwil dalam Pandangan Mullā </w:t>
      </w:r>
      <w:r w:rsidRPr="001B2E5E">
        <w:rPr>
          <w:rFonts w:ascii="Cambria" w:hAnsi="Cambria" w:cs="Cambria"/>
          <w:i/>
          <w:iCs/>
          <w:lang w:val="id-ID"/>
        </w:rPr>
        <w:t>Ṣ</w:t>
      </w:r>
      <w:r w:rsidRPr="001B2E5E">
        <w:rPr>
          <w:rFonts w:ascii="Garamond" w:hAnsi="Garamond" w:cs="TimesNewRomanPS-ItalicMT"/>
          <w:i/>
          <w:iCs/>
          <w:lang w:val="id-ID"/>
        </w:rPr>
        <w:t xml:space="preserve">adrā, </w:t>
      </w:r>
      <w:r w:rsidRPr="001B2E5E">
        <w:rPr>
          <w:rFonts w:ascii="Garamond" w:hAnsi="Garamond" w:cs="Times New Roman"/>
          <w:lang w:val="id-ID"/>
        </w:rPr>
        <w:t>5</w:t>
      </w:r>
      <w:r w:rsidR="00617C49">
        <w:rPr>
          <w:rFonts w:ascii="Garamond" w:hAnsi="Garamond" w:cs="Times New Roman"/>
          <w:lang w:val="id-ID"/>
        </w:rPr>
        <w:t>.</w:t>
      </w:r>
      <w:r w:rsidRPr="001B2E5E">
        <w:rPr>
          <w:rFonts w:ascii="Garamond" w:hAnsi="Garamond"/>
          <w:lang w:val="id-ID"/>
        </w:rPr>
        <w:t xml:space="preserve">    </w:t>
      </w:r>
    </w:p>
  </w:footnote>
  <w:footnote w:id="45">
    <w:p w:rsidR="003127C4" w:rsidRPr="001B2E5E" w:rsidRDefault="003127C4" w:rsidP="00617C49">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 New Roman"/>
          <w:i/>
          <w:iCs/>
          <w:sz w:val="20"/>
          <w:szCs w:val="20"/>
        </w:rPr>
        <w:t>al-</w:t>
      </w:r>
      <w:r w:rsidRPr="001B2E5E">
        <w:rPr>
          <w:rFonts w:ascii="Garamond" w:hAnsi="Garamond" w:cs="TimesNewRomanPS-ItalicMT"/>
          <w:i/>
          <w:iCs/>
          <w:sz w:val="20"/>
          <w:szCs w:val="20"/>
        </w:rPr>
        <w:t xml:space="preserve">Shawāhid </w:t>
      </w:r>
      <w:r w:rsidRPr="001B2E5E">
        <w:rPr>
          <w:rFonts w:ascii="Garamond" w:hAnsi="Garamond" w:cs="Times New Roman"/>
          <w:i/>
          <w:iCs/>
          <w:sz w:val="20"/>
          <w:szCs w:val="20"/>
        </w:rPr>
        <w:t>ar-</w:t>
      </w:r>
      <w:r w:rsidRPr="001B2E5E">
        <w:rPr>
          <w:rFonts w:ascii="Garamond" w:hAnsi="Garamond" w:cs="TimesNewRomanPS-ItalicMT"/>
          <w:i/>
          <w:iCs/>
          <w:sz w:val="20"/>
          <w:szCs w:val="20"/>
        </w:rPr>
        <w:t>Rubūbiyyah fī al</w:t>
      </w:r>
      <w:r w:rsidRPr="001B2E5E">
        <w:rPr>
          <w:rFonts w:ascii="Garamond" w:hAnsi="Garamond" w:cs="Times New Roman"/>
          <w:i/>
          <w:iCs/>
          <w:sz w:val="20"/>
          <w:szCs w:val="20"/>
        </w:rPr>
        <w:t>-</w:t>
      </w:r>
      <w:r w:rsidRPr="001B2E5E">
        <w:rPr>
          <w:rFonts w:ascii="Garamond" w:hAnsi="Garamond" w:cs="TimesNewRomanPS-ItalicMT"/>
          <w:i/>
          <w:iCs/>
          <w:sz w:val="20"/>
          <w:szCs w:val="20"/>
        </w:rPr>
        <w:t>Manāhij as</w:t>
      </w:r>
      <w:r w:rsidRPr="001B2E5E">
        <w:rPr>
          <w:rFonts w:ascii="Garamond" w:hAnsi="Garamond" w:cs="Times New Roman"/>
          <w:i/>
          <w:iCs/>
          <w:sz w:val="20"/>
          <w:szCs w:val="20"/>
        </w:rPr>
        <w:t>-</w:t>
      </w:r>
      <w:r w:rsidRPr="001B2E5E">
        <w:rPr>
          <w:rFonts w:ascii="Garamond" w:hAnsi="Garamond" w:cs="TimesNewRomanPS-ItalicMT"/>
          <w:i/>
          <w:iCs/>
          <w:sz w:val="20"/>
          <w:szCs w:val="20"/>
        </w:rPr>
        <w:t>Sulūkiyyah</w:t>
      </w:r>
      <w:r w:rsidRPr="001B2E5E">
        <w:rPr>
          <w:rFonts w:ascii="Garamond" w:hAnsi="Garamond" w:cs="Times New Roman"/>
          <w:sz w:val="20"/>
          <w:szCs w:val="20"/>
        </w:rPr>
        <w:t xml:space="preserve">, jil.1, hal. 376; Lihat juga 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Qur’ān </w:t>
      </w:r>
      <w:r w:rsidRPr="001B2E5E">
        <w:rPr>
          <w:rFonts w:ascii="Garamond" w:hAnsi="Garamond" w:cs="Times New Roman"/>
          <w:i/>
          <w:iCs/>
          <w:sz w:val="20"/>
          <w:szCs w:val="20"/>
        </w:rPr>
        <w:t>al-</w:t>
      </w:r>
      <w:r w:rsidRPr="001B2E5E">
        <w:rPr>
          <w:rFonts w:ascii="Garamond" w:hAnsi="Garamond" w:cs="TimesNewRomanPS-ItalicMT"/>
          <w:i/>
          <w:iCs/>
          <w:sz w:val="20"/>
          <w:szCs w:val="20"/>
        </w:rPr>
        <w:t xml:space="preserve">Karīm, </w:t>
      </w:r>
      <w:r w:rsidR="00617C49">
        <w:rPr>
          <w:rFonts w:ascii="Garamond" w:hAnsi="Garamond" w:cs="Times New Roman"/>
          <w:sz w:val="20"/>
          <w:szCs w:val="20"/>
        </w:rPr>
        <w:t xml:space="preserve">cet.3, 1: </w:t>
      </w:r>
      <w:r w:rsidRPr="001B2E5E">
        <w:rPr>
          <w:rFonts w:ascii="Garamond" w:hAnsi="Garamond" w:cs="Times New Roman"/>
          <w:sz w:val="20"/>
          <w:szCs w:val="20"/>
        </w:rPr>
        <w:t>101</w:t>
      </w:r>
      <w:r w:rsidR="00617C49">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46">
    <w:p w:rsidR="003127C4" w:rsidRPr="001B2E5E" w:rsidRDefault="003127C4" w:rsidP="00617C49">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cet.3, 1</w:t>
      </w:r>
      <w:r w:rsidR="00617C49">
        <w:rPr>
          <w:rFonts w:ascii="Garamond" w:hAnsi="Garamond" w:cs="Times New Roman"/>
          <w:sz w:val="20"/>
          <w:szCs w:val="20"/>
        </w:rPr>
        <w:t xml:space="preserve">: </w:t>
      </w:r>
      <w:r w:rsidRPr="001B2E5E">
        <w:rPr>
          <w:rFonts w:ascii="Garamond" w:hAnsi="Garamond" w:cs="Times New Roman"/>
          <w:sz w:val="20"/>
          <w:szCs w:val="20"/>
        </w:rPr>
        <w:t>118</w:t>
      </w:r>
      <w:r w:rsidR="00617C49">
        <w:rPr>
          <w:rFonts w:ascii="Garamond" w:hAnsi="Garamond" w:cs="Times New Roman"/>
          <w:sz w:val="20"/>
          <w:szCs w:val="20"/>
        </w:rPr>
        <w:t>.</w:t>
      </w:r>
      <w:r w:rsidRPr="001B2E5E">
        <w:rPr>
          <w:rFonts w:ascii="Garamond" w:hAnsi="Garamond"/>
          <w:sz w:val="20"/>
          <w:szCs w:val="20"/>
        </w:rPr>
        <w:t xml:space="preserve"> </w:t>
      </w:r>
    </w:p>
  </w:footnote>
  <w:footnote w:id="47">
    <w:p w:rsidR="003127C4" w:rsidRPr="001B2E5E" w:rsidRDefault="003127C4" w:rsidP="00617C49">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Karīm</w:t>
      </w:r>
      <w:r w:rsidRPr="001B2E5E">
        <w:rPr>
          <w:rFonts w:ascii="Garamond" w:hAnsi="Garamond" w:cs="Times New Roman"/>
          <w:sz w:val="20"/>
          <w:szCs w:val="20"/>
        </w:rPr>
        <w:t>, cet.3, 1</w:t>
      </w:r>
      <w:r w:rsidR="00617C49">
        <w:rPr>
          <w:rFonts w:ascii="Garamond" w:hAnsi="Garamond" w:cs="Times New Roman"/>
          <w:sz w:val="20"/>
          <w:szCs w:val="20"/>
        </w:rPr>
        <w:t>:</w:t>
      </w:r>
      <w:r w:rsidRPr="001B2E5E">
        <w:rPr>
          <w:rFonts w:ascii="Garamond" w:hAnsi="Garamond" w:cs="Times New Roman"/>
          <w:sz w:val="20"/>
          <w:szCs w:val="20"/>
        </w:rPr>
        <w:t xml:space="preserve"> 101</w:t>
      </w:r>
      <w:r w:rsidR="00617C49">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48">
    <w:p w:rsidR="003127C4" w:rsidRPr="001B2E5E" w:rsidRDefault="003127C4" w:rsidP="001C6C9D">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Jalan yang lurus di dalam kajian tasawuf dikenal dengan jalan penghubung di antara dua busur; busur turun (</w:t>
      </w:r>
      <w:r w:rsidRPr="001B2E5E">
        <w:rPr>
          <w:rFonts w:ascii="Garamond" w:hAnsi="Garamond" w:cs="Times New Roman"/>
          <w:i/>
          <w:iCs/>
          <w:sz w:val="20"/>
          <w:szCs w:val="20"/>
        </w:rPr>
        <w:t>qaus an-</w:t>
      </w:r>
      <w:r w:rsidRPr="001B2E5E">
        <w:rPr>
          <w:rFonts w:ascii="Garamond" w:hAnsi="Garamond" w:cs="TimesNewRomanPS-ItalicMT"/>
          <w:i/>
          <w:iCs/>
          <w:sz w:val="20"/>
          <w:szCs w:val="20"/>
        </w:rPr>
        <w:t>nuzūl</w:t>
      </w:r>
      <w:r w:rsidRPr="001B2E5E">
        <w:rPr>
          <w:rFonts w:ascii="Garamond" w:hAnsi="Garamond" w:cs="Times New Roman"/>
          <w:sz w:val="20"/>
          <w:szCs w:val="20"/>
        </w:rPr>
        <w:t>) dan busur naik (</w:t>
      </w:r>
      <w:r w:rsidRPr="001B2E5E">
        <w:rPr>
          <w:rFonts w:ascii="Garamond" w:hAnsi="Garamond" w:cs="Times New Roman"/>
          <w:i/>
          <w:iCs/>
          <w:sz w:val="20"/>
          <w:szCs w:val="20"/>
        </w:rPr>
        <w:t>qaus as-</w:t>
      </w:r>
      <w:r w:rsidRPr="001B2E5E">
        <w:rPr>
          <w:rFonts w:ascii="Garamond" w:hAnsi="Garamond" w:cs="TimesNewRomanPS-ItalicMT"/>
          <w:i/>
          <w:iCs/>
          <w:sz w:val="20"/>
          <w:szCs w:val="20"/>
        </w:rPr>
        <w:t>su’ūd</w:t>
      </w:r>
      <w:r w:rsidRPr="001B2E5E">
        <w:rPr>
          <w:rFonts w:ascii="Garamond" w:hAnsi="Garamond" w:cs="Times New Roman"/>
          <w:sz w:val="20"/>
          <w:szCs w:val="20"/>
        </w:rPr>
        <w:t>). Tujuan hakiki dari penciptaan manusia adalah mampu kembali dari titik awal menuju titik akhir,atau dalam perjalanan tersebut mampu mencapai kesempurnaan melewati busur turun dan naik sehingga membentuk satu lingkaran yang utuh.</w:t>
      </w:r>
      <w:r w:rsidRPr="001B2E5E">
        <w:rPr>
          <w:rFonts w:ascii="Garamond" w:hAnsi="Garamond"/>
          <w:sz w:val="20"/>
          <w:szCs w:val="20"/>
        </w:rPr>
        <w:t xml:space="preserve">  </w:t>
      </w:r>
    </w:p>
  </w:footnote>
  <w:footnote w:id="49">
    <w:p w:rsidR="003127C4" w:rsidRPr="001B2E5E" w:rsidRDefault="003127C4" w:rsidP="001220A5">
      <w:pPr>
        <w:autoSpaceDE w:val="0"/>
        <w:autoSpaceDN w:val="0"/>
        <w:adjustRightInd w:val="0"/>
        <w:spacing w:after="0" w:line="240" w:lineRule="auto"/>
        <w:ind w:firstLine="720"/>
        <w:jc w:val="both"/>
        <w:rPr>
          <w:rFonts w:ascii="Garamond" w:hAnsi="Garamond" w:cs="TimesNewRomanPSMT"/>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cet.3, jil. 1, hal. 101; Lihat juga: Ar-</w:t>
      </w:r>
      <w:r w:rsidRPr="001B2E5E">
        <w:rPr>
          <w:rFonts w:ascii="Garamond" w:hAnsi="Garamond" w:cs="TimesNewRomanPSMT"/>
          <w:sz w:val="20"/>
          <w:szCs w:val="20"/>
        </w:rPr>
        <w:t>Rāgib al</w:t>
      </w:r>
      <w:r w:rsidRPr="001B2E5E">
        <w:rPr>
          <w:rFonts w:ascii="Garamond" w:hAnsi="Garamond" w:cs="Times New Roman"/>
          <w:sz w:val="20"/>
          <w:szCs w:val="20"/>
        </w:rPr>
        <w:t>-</w:t>
      </w:r>
      <w:r w:rsidRPr="001B2E5E">
        <w:rPr>
          <w:rFonts w:ascii="Garamond" w:hAnsi="Garamond" w:cs="TimesNewRomanPSMT"/>
          <w:sz w:val="20"/>
          <w:szCs w:val="20"/>
        </w:rPr>
        <w:t xml:space="preserve">Asfahānī, </w:t>
      </w:r>
      <w:r w:rsidRPr="001B2E5E">
        <w:rPr>
          <w:rFonts w:ascii="Garamond" w:hAnsi="Garamond" w:cs="TimesNewRomanPS-ItalicMT"/>
          <w:i/>
          <w:iCs/>
          <w:sz w:val="20"/>
          <w:szCs w:val="20"/>
        </w:rPr>
        <w:t>Mu’jam Mufradāt alfā</w:t>
      </w:r>
      <w:r w:rsidRPr="001B2E5E">
        <w:rPr>
          <w:rFonts w:ascii="Cambria" w:hAnsi="Cambria" w:cs="Cambria"/>
          <w:i/>
          <w:iCs/>
          <w:sz w:val="20"/>
          <w:szCs w:val="20"/>
        </w:rPr>
        <w:t>ẓ</w:t>
      </w:r>
      <w:r w:rsidRPr="001B2E5E">
        <w:rPr>
          <w:rFonts w:ascii="Garamond" w:hAnsi="Garamond" w:cs="TimesNewRomanPS-ItalicMT"/>
          <w:i/>
          <w:iCs/>
          <w:sz w:val="20"/>
          <w:szCs w:val="20"/>
        </w:rPr>
        <w:t xml:space="preserve"> </w:t>
      </w:r>
      <w:r w:rsidRPr="001B2E5E">
        <w:rPr>
          <w:rFonts w:ascii="Garamond" w:hAnsi="Garamond" w:cs="Times New Roman"/>
          <w:i/>
          <w:iCs/>
          <w:sz w:val="20"/>
          <w:szCs w:val="20"/>
        </w:rPr>
        <w:t>al-</w:t>
      </w:r>
      <w:r w:rsidRPr="001B2E5E">
        <w:rPr>
          <w:rFonts w:ascii="Garamond" w:hAnsi="Garamond" w:cs="TimesNewRomanPS-ItalicMT"/>
          <w:i/>
          <w:iCs/>
          <w:sz w:val="20"/>
          <w:szCs w:val="20"/>
        </w:rPr>
        <w:t>Qur’an,</w:t>
      </w:r>
      <w:r w:rsidRPr="001B2E5E">
        <w:rPr>
          <w:rFonts w:ascii="Garamond" w:hAnsi="Garamond" w:cs="TimesNewRomanPS-ItalicMT"/>
          <w:sz w:val="20"/>
          <w:szCs w:val="20"/>
        </w:rPr>
        <w:t xml:space="preserve"> (</w:t>
      </w:r>
      <w:r w:rsidRPr="001B2E5E">
        <w:rPr>
          <w:rFonts w:ascii="Garamond" w:hAnsi="Garamond" w:cs="TimesNewRomanPSMT"/>
          <w:sz w:val="20"/>
          <w:szCs w:val="20"/>
        </w:rPr>
        <w:t xml:space="preserve">Damaskus: Dār </w:t>
      </w:r>
      <w:r w:rsidRPr="001B2E5E">
        <w:rPr>
          <w:rFonts w:ascii="Garamond" w:hAnsi="Garamond" w:cs="Times New Roman"/>
          <w:sz w:val="20"/>
          <w:szCs w:val="20"/>
        </w:rPr>
        <w:t>al-Qalam, 1430 H),</w:t>
      </w:r>
      <w:r w:rsidR="001220A5">
        <w:rPr>
          <w:rFonts w:ascii="Garamond" w:hAnsi="Garamond" w:cs="TimesNewRomanPS-ItalicMT"/>
          <w:i/>
          <w:iCs/>
          <w:sz w:val="20"/>
          <w:szCs w:val="20"/>
        </w:rPr>
        <w:t xml:space="preserve"> </w:t>
      </w:r>
      <w:r w:rsidRPr="001B2E5E">
        <w:rPr>
          <w:rFonts w:ascii="Garamond" w:hAnsi="Garamond" w:cs="Times New Roman"/>
          <w:sz w:val="20"/>
          <w:szCs w:val="20"/>
        </w:rPr>
        <w:t>407</w:t>
      </w:r>
      <w:r w:rsidR="001220A5">
        <w:rPr>
          <w:rFonts w:ascii="Garamond" w:hAnsi="Garamond" w:cs="Times New Roman"/>
          <w:sz w:val="20"/>
          <w:szCs w:val="20"/>
        </w:rPr>
        <w:t>.</w:t>
      </w:r>
      <w:r w:rsidRPr="001B2E5E">
        <w:rPr>
          <w:rFonts w:ascii="Garamond" w:hAnsi="Garamond"/>
          <w:sz w:val="20"/>
          <w:szCs w:val="20"/>
        </w:rPr>
        <w:t xml:space="preserve">  </w:t>
      </w:r>
    </w:p>
  </w:footnote>
  <w:footnote w:id="50">
    <w:p w:rsidR="003127C4" w:rsidRPr="001B2E5E" w:rsidRDefault="003127C4" w:rsidP="001220A5">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 xml:space="preserve">cet.3, jil. 1, hal. 122; Lihat juga Mulla Sadra, </w:t>
      </w:r>
      <w:r w:rsidRPr="001B2E5E">
        <w:rPr>
          <w:rFonts w:ascii="Garamond" w:hAnsi="Garamond" w:cs="Times New Roman"/>
          <w:i/>
          <w:iCs/>
          <w:sz w:val="20"/>
          <w:szCs w:val="20"/>
        </w:rPr>
        <w:t>al-</w:t>
      </w:r>
      <w:r w:rsidRPr="001B2E5E">
        <w:rPr>
          <w:rFonts w:ascii="Cambria" w:hAnsi="Cambria" w:cs="Cambria"/>
          <w:i/>
          <w:iCs/>
          <w:sz w:val="20"/>
          <w:szCs w:val="20"/>
        </w:rPr>
        <w:t>Ḥ</w:t>
      </w:r>
      <w:r w:rsidRPr="001B2E5E">
        <w:rPr>
          <w:rFonts w:ascii="Garamond" w:hAnsi="Garamond" w:cs="Times New Roman"/>
          <w:i/>
          <w:iCs/>
          <w:sz w:val="20"/>
          <w:szCs w:val="20"/>
        </w:rPr>
        <w:t>ikmah al-</w:t>
      </w:r>
      <w:r w:rsidRPr="001B2E5E">
        <w:rPr>
          <w:rFonts w:ascii="Garamond" w:hAnsi="Garamond" w:cs="TimesNewRomanPS-ItalicMT"/>
          <w:i/>
          <w:iCs/>
          <w:sz w:val="20"/>
          <w:szCs w:val="20"/>
        </w:rPr>
        <w:t>Muta’āliyah fī al</w:t>
      </w:r>
      <w:r w:rsidRPr="001B2E5E">
        <w:rPr>
          <w:rFonts w:ascii="Garamond" w:hAnsi="Garamond" w:cs="Times New Roman"/>
          <w:i/>
          <w:iCs/>
          <w:sz w:val="20"/>
          <w:szCs w:val="20"/>
        </w:rPr>
        <w:t>-</w:t>
      </w:r>
      <w:r w:rsidRPr="001B2E5E">
        <w:rPr>
          <w:rFonts w:ascii="Garamond" w:hAnsi="Garamond" w:cs="TimesNewRomanPS-ItalicMT"/>
          <w:i/>
          <w:iCs/>
          <w:sz w:val="20"/>
          <w:szCs w:val="20"/>
        </w:rPr>
        <w:t>Asfār al</w:t>
      </w:r>
      <w:r w:rsidRPr="001B2E5E">
        <w:rPr>
          <w:rFonts w:ascii="Garamond" w:hAnsi="Garamond" w:cs="Times New Roman"/>
          <w:i/>
          <w:iCs/>
          <w:sz w:val="20"/>
          <w:szCs w:val="20"/>
        </w:rPr>
        <w:t>-</w:t>
      </w:r>
      <w:r w:rsidRPr="001B2E5E">
        <w:rPr>
          <w:rFonts w:ascii="Garamond" w:hAnsi="Garamond" w:cs="TimesNewRomanPS-ItalicMT"/>
          <w:i/>
          <w:iCs/>
          <w:sz w:val="20"/>
          <w:szCs w:val="20"/>
        </w:rPr>
        <w:t>‘Aqliyyah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Arba’ah, </w:t>
      </w:r>
      <w:r w:rsidRPr="001B2E5E">
        <w:rPr>
          <w:rFonts w:ascii="Garamond" w:hAnsi="Garamond" w:cs="Times New Roman"/>
          <w:sz w:val="20"/>
          <w:szCs w:val="20"/>
        </w:rPr>
        <w:t>9</w:t>
      </w:r>
      <w:r w:rsidR="001220A5">
        <w:rPr>
          <w:rFonts w:ascii="Garamond" w:hAnsi="Garamond" w:cs="Times New Roman"/>
          <w:sz w:val="20"/>
          <w:szCs w:val="20"/>
        </w:rPr>
        <w:t>:</w:t>
      </w:r>
      <w:r w:rsidRPr="001B2E5E">
        <w:rPr>
          <w:rFonts w:ascii="Garamond" w:hAnsi="Garamond" w:cs="Times New Roman"/>
          <w:sz w:val="20"/>
          <w:szCs w:val="20"/>
        </w:rPr>
        <w:t xml:space="preserve"> 288</w:t>
      </w:r>
      <w:r w:rsidR="001220A5">
        <w:rPr>
          <w:rFonts w:ascii="Garamond" w:hAnsi="Garamond" w:cs="Times New Roman"/>
          <w:sz w:val="20"/>
          <w:szCs w:val="20"/>
        </w:rPr>
        <w:t>.</w:t>
      </w:r>
      <w:r w:rsidRPr="001B2E5E">
        <w:rPr>
          <w:rFonts w:ascii="Garamond" w:hAnsi="Garamond"/>
          <w:sz w:val="20"/>
          <w:szCs w:val="20"/>
        </w:rPr>
        <w:t xml:space="preserve">  </w:t>
      </w:r>
    </w:p>
  </w:footnote>
  <w:footnote w:id="51">
    <w:p w:rsidR="003127C4" w:rsidRPr="001B2E5E" w:rsidRDefault="003127C4" w:rsidP="001220A5">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Karīm,</w:t>
      </w:r>
      <w:r w:rsidRPr="001B2E5E">
        <w:rPr>
          <w:rFonts w:ascii="Garamond" w:hAnsi="Garamond" w:cs="Times New Roman"/>
          <w:sz w:val="20"/>
          <w:szCs w:val="20"/>
        </w:rPr>
        <w:t>cet.3, 1</w:t>
      </w:r>
      <w:r w:rsidR="001220A5">
        <w:rPr>
          <w:rFonts w:ascii="Garamond" w:hAnsi="Garamond" w:cs="Times New Roman"/>
          <w:sz w:val="20"/>
          <w:szCs w:val="20"/>
        </w:rPr>
        <w:t xml:space="preserve">: </w:t>
      </w:r>
      <w:r w:rsidRPr="001B2E5E">
        <w:rPr>
          <w:rFonts w:ascii="Garamond" w:hAnsi="Garamond" w:cs="Times New Roman"/>
          <w:sz w:val="20"/>
          <w:szCs w:val="20"/>
        </w:rPr>
        <w:t>98</w:t>
      </w:r>
      <w:r w:rsidR="001220A5">
        <w:rPr>
          <w:rFonts w:ascii="Garamond" w:hAnsi="Garamond" w:cs="Times New Roman"/>
          <w:sz w:val="20"/>
          <w:szCs w:val="20"/>
        </w:rPr>
        <w:t>.</w:t>
      </w:r>
      <w:r w:rsidRPr="001B2E5E">
        <w:rPr>
          <w:rFonts w:ascii="Garamond" w:hAnsi="Garamond"/>
          <w:sz w:val="20"/>
          <w:szCs w:val="20"/>
        </w:rPr>
        <w:t xml:space="preserve">  </w:t>
      </w:r>
    </w:p>
  </w:footnote>
  <w:footnote w:id="52">
    <w:p w:rsidR="003127C4" w:rsidRPr="001B2E5E" w:rsidRDefault="003127C4" w:rsidP="001220A5">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rPr>
        <w:t>Mulla Sadra</w:t>
      </w:r>
      <w:r w:rsidRPr="001B2E5E">
        <w:rPr>
          <w:rFonts w:ascii="Garamond" w:hAnsi="Garamond" w:cs="Times New Roman"/>
          <w:lang w:val="id-ID"/>
        </w:rPr>
        <w:t xml:space="preserve">, </w:t>
      </w:r>
      <w:r w:rsidRPr="001B2E5E">
        <w:rPr>
          <w:rFonts w:ascii="Garamond" w:hAnsi="Garamond" w:cs="TimesNewRomanPS-ItalicMT"/>
          <w:i/>
          <w:iCs/>
          <w:lang w:val="id-ID"/>
        </w:rPr>
        <w:t>Tafsīr al</w:t>
      </w:r>
      <w:r w:rsidRPr="001B2E5E">
        <w:rPr>
          <w:rFonts w:ascii="Garamond" w:hAnsi="Garamond" w:cs="Times New Roman"/>
          <w:i/>
          <w:iCs/>
          <w:lang w:val="id-ID"/>
        </w:rPr>
        <w:t>-</w:t>
      </w:r>
      <w:r w:rsidRPr="001B2E5E">
        <w:rPr>
          <w:rFonts w:ascii="Garamond" w:hAnsi="Garamond" w:cs="TimesNewRomanPS-ItalicMT"/>
          <w:i/>
          <w:iCs/>
          <w:lang w:val="id-ID"/>
        </w:rPr>
        <w:t>Qur’ān al</w:t>
      </w:r>
      <w:r w:rsidRPr="001B2E5E">
        <w:rPr>
          <w:rFonts w:ascii="Garamond" w:hAnsi="Garamond" w:cs="Times New Roman"/>
          <w:i/>
          <w:iCs/>
          <w:lang w:val="id-ID"/>
        </w:rPr>
        <w:t>-</w:t>
      </w:r>
      <w:r w:rsidR="001220A5">
        <w:rPr>
          <w:rFonts w:ascii="Garamond" w:hAnsi="Garamond" w:cs="TimesNewRomanPS-ItalicMT"/>
          <w:i/>
          <w:iCs/>
          <w:lang w:val="id-ID"/>
        </w:rPr>
        <w:t xml:space="preserve">Karīm, </w:t>
      </w:r>
      <w:r w:rsidRPr="001B2E5E">
        <w:rPr>
          <w:rFonts w:ascii="Garamond" w:hAnsi="Garamond" w:cs="Times New Roman"/>
          <w:lang w:val="id-ID"/>
        </w:rPr>
        <w:t>cet.3, 1</w:t>
      </w:r>
      <w:r w:rsidR="001220A5">
        <w:rPr>
          <w:rFonts w:ascii="Garamond" w:hAnsi="Garamond" w:cs="Times New Roman"/>
          <w:lang w:val="id-ID"/>
        </w:rPr>
        <w:t>:</w:t>
      </w:r>
      <w:r w:rsidRPr="001B2E5E">
        <w:rPr>
          <w:rFonts w:ascii="Garamond" w:hAnsi="Garamond" w:cs="Times New Roman"/>
          <w:lang w:val="id-ID"/>
        </w:rPr>
        <w:t xml:space="preserve"> 100</w:t>
      </w:r>
      <w:r w:rsidR="001220A5">
        <w:rPr>
          <w:rFonts w:ascii="Garamond" w:hAnsi="Garamond" w:cs="Times New Roman"/>
          <w:lang w:val="id-ID"/>
        </w:rPr>
        <w:t>.</w:t>
      </w:r>
      <w:r w:rsidRPr="001B2E5E">
        <w:rPr>
          <w:rFonts w:ascii="Garamond" w:hAnsi="Garamond" w:cs="Times New Roman"/>
          <w:lang w:val="id-ID"/>
        </w:rPr>
        <w:t xml:space="preserve"> </w:t>
      </w:r>
      <w:r w:rsidRPr="001B2E5E">
        <w:rPr>
          <w:rFonts w:ascii="Garamond" w:hAnsi="Garamond"/>
          <w:lang w:val="id-ID"/>
        </w:rPr>
        <w:t xml:space="preserve"> </w:t>
      </w:r>
      <w:r w:rsidRPr="001B2E5E">
        <w:rPr>
          <w:rFonts w:ascii="Garamond" w:hAnsi="Garamond"/>
          <w:lang w:val="id-ID"/>
        </w:rPr>
        <w:tab/>
      </w:r>
    </w:p>
  </w:footnote>
  <w:footnote w:id="53">
    <w:p w:rsidR="003127C4" w:rsidRPr="001B2E5E" w:rsidRDefault="003127C4" w:rsidP="001220A5">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Asrār al</w:t>
      </w:r>
      <w:r w:rsidRPr="001B2E5E">
        <w:rPr>
          <w:rFonts w:ascii="Garamond" w:hAnsi="Garamond" w:cs="Times New Roman"/>
          <w:i/>
          <w:iCs/>
          <w:sz w:val="20"/>
          <w:szCs w:val="20"/>
        </w:rPr>
        <w:t>-</w:t>
      </w:r>
      <w:r w:rsidRPr="001B2E5E">
        <w:rPr>
          <w:rFonts w:ascii="Garamond" w:hAnsi="Garamond" w:cs="TimesNewRomanPS-ItalicMT"/>
          <w:i/>
          <w:iCs/>
          <w:sz w:val="20"/>
          <w:szCs w:val="20"/>
        </w:rPr>
        <w:t>Āyāt wa Asrār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Bayyināt, </w:t>
      </w:r>
      <w:r w:rsidRPr="001B2E5E">
        <w:rPr>
          <w:rFonts w:ascii="Garamond" w:hAnsi="Garamond" w:cs="Times New Roman"/>
          <w:sz w:val="20"/>
          <w:szCs w:val="20"/>
        </w:rPr>
        <w:t>192</w:t>
      </w:r>
      <w:r w:rsidR="001220A5">
        <w:rPr>
          <w:rFonts w:ascii="Garamond" w:hAnsi="Garamond" w:cs="Times New Roman"/>
          <w:sz w:val="20"/>
          <w:szCs w:val="20"/>
        </w:rPr>
        <w:t>.</w:t>
      </w:r>
      <w:r w:rsidRPr="001B2E5E">
        <w:rPr>
          <w:rFonts w:ascii="Garamond" w:hAnsi="Garamond"/>
          <w:sz w:val="20"/>
          <w:szCs w:val="20"/>
        </w:rPr>
        <w:t xml:space="preserve">   </w:t>
      </w:r>
    </w:p>
  </w:footnote>
  <w:footnote w:id="54">
    <w:p w:rsidR="003127C4" w:rsidRPr="001B2E5E" w:rsidRDefault="003127C4" w:rsidP="001220A5">
      <w:pPr>
        <w:autoSpaceDE w:val="0"/>
        <w:autoSpaceDN w:val="0"/>
        <w:adjustRightInd w:val="0"/>
        <w:spacing w:after="0" w:line="240" w:lineRule="auto"/>
        <w:ind w:firstLine="720"/>
        <w:jc w:val="both"/>
        <w:rPr>
          <w:rFonts w:ascii="Garamond" w:hAnsi="Garamond" w:cs="Times New Roman"/>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Kholid al-Walid, </w:t>
      </w:r>
      <w:r w:rsidRPr="001B2E5E">
        <w:rPr>
          <w:rFonts w:ascii="Garamond" w:hAnsi="Garamond" w:cs="Times New Roman"/>
          <w:i/>
          <w:iCs/>
          <w:sz w:val="20"/>
          <w:szCs w:val="20"/>
        </w:rPr>
        <w:t xml:space="preserve">Perjalanan Jiwa Menuju Akhirat: Filsafat Ekastologi Mulla Sadra, </w:t>
      </w:r>
      <w:r w:rsidRPr="001B2E5E">
        <w:rPr>
          <w:rFonts w:ascii="Garamond" w:hAnsi="Garamond" w:cs="Times New Roman"/>
          <w:sz w:val="20"/>
          <w:szCs w:val="20"/>
        </w:rPr>
        <w:t xml:space="preserve">(Jakarta: Sadra Press, 2012), hal. 49; Lihat juga 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Karīm,</w:t>
      </w:r>
      <w:r w:rsidRPr="001B2E5E">
        <w:rPr>
          <w:rFonts w:ascii="Garamond" w:hAnsi="Garamond" w:cs="Times New Roman"/>
          <w:sz w:val="20"/>
          <w:szCs w:val="20"/>
        </w:rPr>
        <w:t>cet.3, 1</w:t>
      </w:r>
      <w:r w:rsidR="001220A5">
        <w:rPr>
          <w:rFonts w:ascii="Garamond" w:hAnsi="Garamond" w:cs="Times New Roman"/>
          <w:sz w:val="20"/>
          <w:szCs w:val="20"/>
        </w:rPr>
        <w:t xml:space="preserve">: </w:t>
      </w:r>
      <w:r w:rsidRPr="001B2E5E">
        <w:rPr>
          <w:rFonts w:ascii="Garamond" w:hAnsi="Garamond" w:cs="Times New Roman"/>
          <w:sz w:val="20"/>
          <w:szCs w:val="20"/>
        </w:rPr>
        <w:t>112</w:t>
      </w:r>
      <w:r w:rsidR="001220A5">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55">
    <w:p w:rsidR="003127C4" w:rsidRPr="001B2E5E" w:rsidRDefault="003127C4" w:rsidP="001220A5">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rPr>
        <w:t>Mulla Sadra</w:t>
      </w:r>
      <w:r w:rsidRPr="001B2E5E">
        <w:rPr>
          <w:rFonts w:ascii="Garamond" w:hAnsi="Garamond" w:cs="Times New Roman"/>
          <w:lang w:val="id-ID"/>
        </w:rPr>
        <w:t xml:space="preserve">, </w:t>
      </w:r>
      <w:r w:rsidRPr="001B2E5E">
        <w:rPr>
          <w:rFonts w:ascii="Garamond" w:hAnsi="Garamond" w:cs="TimesNewRomanPS-ItalicMT"/>
          <w:i/>
          <w:iCs/>
          <w:lang w:val="id-ID"/>
        </w:rPr>
        <w:t>Tafsīr al</w:t>
      </w:r>
      <w:r w:rsidRPr="001B2E5E">
        <w:rPr>
          <w:rFonts w:ascii="Garamond" w:hAnsi="Garamond" w:cs="Times New Roman"/>
          <w:i/>
          <w:iCs/>
          <w:lang w:val="id-ID"/>
        </w:rPr>
        <w:t>-</w:t>
      </w:r>
      <w:r w:rsidRPr="001B2E5E">
        <w:rPr>
          <w:rFonts w:ascii="Garamond" w:hAnsi="Garamond" w:cs="TimesNewRomanPS-ItalicMT"/>
          <w:i/>
          <w:iCs/>
          <w:lang w:val="id-ID"/>
        </w:rPr>
        <w:t>Qur’ān al</w:t>
      </w:r>
      <w:r w:rsidRPr="001B2E5E">
        <w:rPr>
          <w:rFonts w:ascii="Garamond" w:hAnsi="Garamond" w:cs="Times New Roman"/>
          <w:i/>
          <w:iCs/>
          <w:lang w:val="id-ID"/>
        </w:rPr>
        <w:t>-</w:t>
      </w:r>
      <w:r w:rsidRPr="001B2E5E">
        <w:rPr>
          <w:rFonts w:ascii="Garamond" w:hAnsi="Garamond" w:cs="TimesNewRomanPS-ItalicMT"/>
          <w:i/>
          <w:iCs/>
          <w:lang w:val="id-ID"/>
        </w:rPr>
        <w:t>Karīm</w:t>
      </w:r>
      <w:r w:rsidR="001220A5">
        <w:rPr>
          <w:rFonts w:ascii="Garamond" w:hAnsi="Garamond" w:cs="TimesNewRomanPS-ItalicMT"/>
          <w:i/>
          <w:iCs/>
          <w:lang w:val="id-ID"/>
        </w:rPr>
        <w:t xml:space="preserve">, </w:t>
      </w:r>
      <w:proofErr w:type="gramStart"/>
      <w:r w:rsidR="001220A5">
        <w:rPr>
          <w:rFonts w:ascii="Garamond" w:hAnsi="Garamond" w:cs="Times New Roman"/>
          <w:lang w:val="id-ID"/>
        </w:rPr>
        <w:t>cet</w:t>
      </w:r>
      <w:proofErr w:type="gramEnd"/>
      <w:r w:rsidR="001220A5">
        <w:rPr>
          <w:rFonts w:ascii="Garamond" w:hAnsi="Garamond" w:cs="Times New Roman"/>
          <w:lang w:val="id-ID"/>
        </w:rPr>
        <w:t xml:space="preserve"> </w:t>
      </w:r>
      <w:r w:rsidRPr="001B2E5E">
        <w:rPr>
          <w:rFonts w:ascii="Garamond" w:hAnsi="Garamond" w:cs="Times New Roman"/>
          <w:lang w:val="id-ID"/>
        </w:rPr>
        <w:t>3, jil. 1</w:t>
      </w:r>
      <w:r w:rsidR="001220A5">
        <w:rPr>
          <w:rFonts w:ascii="Garamond" w:hAnsi="Garamond" w:cs="Times New Roman"/>
          <w:lang w:val="id-ID"/>
        </w:rPr>
        <w:t xml:space="preserve">: </w:t>
      </w:r>
      <w:r w:rsidRPr="001B2E5E">
        <w:rPr>
          <w:rFonts w:ascii="Garamond" w:hAnsi="Garamond" w:cs="Times New Roman"/>
          <w:lang w:val="id-ID"/>
        </w:rPr>
        <w:t>111</w:t>
      </w:r>
      <w:r w:rsidR="001220A5">
        <w:rPr>
          <w:rFonts w:ascii="Garamond" w:hAnsi="Garamond" w:cs="Times New Roman"/>
          <w:lang w:val="id-ID"/>
        </w:rPr>
        <w:t>.</w:t>
      </w:r>
      <w:r w:rsidRPr="001B2E5E">
        <w:rPr>
          <w:rFonts w:ascii="Garamond" w:hAnsi="Garamond"/>
          <w:lang w:val="id-ID"/>
        </w:rPr>
        <w:t xml:space="preserve">  </w:t>
      </w:r>
      <w:r w:rsidRPr="001B2E5E">
        <w:rPr>
          <w:rFonts w:ascii="Garamond" w:hAnsi="Garamond"/>
          <w:lang w:val="id-ID"/>
        </w:rPr>
        <w:tab/>
      </w:r>
    </w:p>
  </w:footnote>
  <w:footnote w:id="56">
    <w:p w:rsidR="003127C4" w:rsidRPr="001B2E5E" w:rsidRDefault="003127C4" w:rsidP="001220A5">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NewRomanPSMT"/>
          <w:sz w:val="20"/>
          <w:szCs w:val="20"/>
        </w:rPr>
        <w:t xml:space="preserve">M. Taqī Misbah Yazdī, </w:t>
      </w:r>
      <w:r w:rsidRPr="001B2E5E">
        <w:rPr>
          <w:rFonts w:ascii="Garamond" w:hAnsi="Garamond" w:cs="Times New Roman"/>
          <w:i/>
          <w:iCs/>
          <w:sz w:val="20"/>
          <w:szCs w:val="20"/>
        </w:rPr>
        <w:t xml:space="preserve">Jagad diri, </w:t>
      </w:r>
      <w:r w:rsidRPr="001B2E5E">
        <w:rPr>
          <w:rFonts w:ascii="Garamond" w:hAnsi="Garamond" w:cs="Times New Roman"/>
          <w:sz w:val="20"/>
          <w:szCs w:val="20"/>
        </w:rPr>
        <w:t>diterjemahkan oleh Ali Ampenan, (Jakarta: Al-Huda, 2006), 21.</w:t>
      </w:r>
      <w:r w:rsidRPr="001B2E5E">
        <w:rPr>
          <w:rFonts w:ascii="Garamond" w:hAnsi="Garamond"/>
          <w:sz w:val="20"/>
          <w:szCs w:val="20"/>
        </w:rPr>
        <w:t xml:space="preserve"> </w:t>
      </w:r>
    </w:p>
  </w:footnote>
  <w:footnote w:id="57">
    <w:p w:rsidR="003127C4" w:rsidRPr="001B2E5E" w:rsidRDefault="003127C4" w:rsidP="001220A5">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heme="majorBidi"/>
        </w:rPr>
        <w:t xml:space="preserve">Muhammad Kamal, </w:t>
      </w:r>
      <w:r w:rsidRPr="001B2E5E">
        <w:rPr>
          <w:rFonts w:ascii="Garamond" w:hAnsi="Garamond" w:cstheme="majorBidi"/>
          <w:i/>
          <w:iCs/>
        </w:rPr>
        <w:t>Mulla Sadra’s Transcendent Philosophy,</w:t>
      </w:r>
      <w:r w:rsidRPr="001B2E5E">
        <w:rPr>
          <w:rFonts w:ascii="Garamond" w:hAnsi="Garamond" w:cstheme="majorBidi"/>
          <w:i/>
          <w:iCs/>
          <w:lang w:val="id-ID"/>
        </w:rPr>
        <w:t xml:space="preserve"> (</w:t>
      </w:r>
      <w:r w:rsidRPr="001B2E5E">
        <w:rPr>
          <w:rFonts w:ascii="Garamond" w:hAnsi="Garamond" w:cstheme="majorBidi"/>
        </w:rPr>
        <w:t>Burlington: Ashgate Publishing</w:t>
      </w:r>
      <w:r w:rsidRPr="001B2E5E">
        <w:rPr>
          <w:rFonts w:ascii="Garamond" w:hAnsi="Garamond" w:cstheme="majorBidi"/>
          <w:lang w:val="id-ID"/>
        </w:rPr>
        <w:t>, 1988),</w:t>
      </w:r>
      <w:r w:rsidRPr="001B2E5E">
        <w:rPr>
          <w:rFonts w:ascii="Garamond" w:hAnsi="Garamond" w:cstheme="majorBidi"/>
          <w:i/>
          <w:iCs/>
        </w:rPr>
        <w:t xml:space="preserve"> </w:t>
      </w:r>
      <w:r w:rsidRPr="001B2E5E">
        <w:rPr>
          <w:rFonts w:ascii="Garamond" w:hAnsi="Garamond" w:cstheme="majorBidi"/>
        </w:rPr>
        <w:t xml:space="preserve">97; Lihat juga Ibrahim Kalin, </w:t>
      </w:r>
      <w:r w:rsidRPr="001B2E5E">
        <w:rPr>
          <w:rFonts w:ascii="Garamond" w:hAnsi="Garamond" w:cstheme="majorBidi"/>
          <w:lang w:val="id-ID"/>
        </w:rPr>
        <w:t>“</w:t>
      </w:r>
      <w:r w:rsidRPr="001B2E5E">
        <w:rPr>
          <w:rFonts w:ascii="Garamond" w:hAnsi="Garamond" w:cstheme="majorBidi"/>
        </w:rPr>
        <w:t>Knowledge as the Unity of the Intellect and the Object of Intellection in Islamic Philosophy: A Historical Survey from Plato to Mulla Sadra</w:t>
      </w:r>
      <w:r w:rsidRPr="001B2E5E">
        <w:rPr>
          <w:rFonts w:ascii="Garamond" w:hAnsi="Garamond" w:cstheme="majorBidi"/>
          <w:lang w:val="id-ID"/>
        </w:rPr>
        <w:t>”</w:t>
      </w:r>
      <w:r w:rsidRPr="001B2E5E">
        <w:rPr>
          <w:rFonts w:ascii="Garamond" w:hAnsi="Garamond" w:cstheme="majorBidi"/>
          <w:i/>
          <w:iCs/>
          <w:lang w:val="id-ID"/>
        </w:rPr>
        <w:t>,</w:t>
      </w:r>
      <w:r w:rsidRPr="001B2E5E">
        <w:rPr>
          <w:rFonts w:ascii="Garamond" w:hAnsi="Garamond" w:cstheme="majorBidi"/>
          <w:lang w:val="id-ID"/>
        </w:rPr>
        <w:t xml:space="preserve"> (</w:t>
      </w:r>
      <w:r w:rsidRPr="001B2E5E">
        <w:rPr>
          <w:rFonts w:ascii="Garamond" w:hAnsi="Garamond" w:cstheme="majorBidi"/>
        </w:rPr>
        <w:t xml:space="preserve">London: </w:t>
      </w:r>
      <w:r w:rsidRPr="001B2E5E">
        <w:rPr>
          <w:rFonts w:ascii="Garamond" w:hAnsi="Garamond" w:cstheme="majorBidi"/>
          <w:i/>
          <w:iCs/>
        </w:rPr>
        <w:t>Journal for Comparative and Mysticism</w:t>
      </w:r>
      <w:r w:rsidRPr="001B2E5E">
        <w:rPr>
          <w:rFonts w:ascii="Garamond" w:hAnsi="Garamond" w:cstheme="majorBidi"/>
          <w:i/>
          <w:iCs/>
          <w:lang w:val="id-ID"/>
        </w:rPr>
        <w:t>, 2000)</w:t>
      </w:r>
      <w:r w:rsidRPr="001B2E5E">
        <w:rPr>
          <w:rFonts w:ascii="Garamond" w:hAnsi="Garamond" w:cstheme="majorBidi"/>
          <w:i/>
          <w:iCs/>
        </w:rPr>
        <w:t>,</w:t>
      </w:r>
      <w:r w:rsidRPr="001B2E5E">
        <w:rPr>
          <w:rFonts w:ascii="Garamond" w:hAnsi="Garamond" w:cstheme="majorBidi"/>
        </w:rPr>
        <w:t xml:space="preserve"> 173</w:t>
      </w:r>
      <w:r w:rsidR="001220A5">
        <w:rPr>
          <w:rFonts w:ascii="Garamond" w:hAnsi="Garamond" w:cstheme="majorBidi"/>
          <w:lang w:val="id-ID"/>
        </w:rPr>
        <w:t>.</w:t>
      </w:r>
      <w:r w:rsidRPr="001B2E5E">
        <w:rPr>
          <w:rFonts w:ascii="Garamond" w:hAnsi="Garamond"/>
          <w:lang w:val="id-ID"/>
        </w:rPr>
        <w:t xml:space="preserve"> </w:t>
      </w:r>
      <w:r w:rsidRPr="001B2E5E">
        <w:rPr>
          <w:rFonts w:ascii="Garamond" w:hAnsi="Garamond"/>
        </w:rPr>
        <w:t xml:space="preserve"> </w:t>
      </w:r>
    </w:p>
  </w:footnote>
  <w:footnote w:id="58">
    <w:p w:rsidR="003127C4" w:rsidRPr="001B2E5E" w:rsidRDefault="003127C4" w:rsidP="001220A5">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heme="majorBidi"/>
        </w:rPr>
        <w:t xml:space="preserve">Ibrahim Kalin, </w:t>
      </w:r>
      <w:r w:rsidRPr="001B2E5E">
        <w:rPr>
          <w:rFonts w:ascii="Garamond" w:hAnsi="Garamond" w:cstheme="majorBidi"/>
          <w:i/>
          <w:iCs/>
        </w:rPr>
        <w:t>Knowledge in Later Islamic Philosophy: Mulla Sadra on Existence, Intellect, and Intuition</w:t>
      </w:r>
      <w:r w:rsidRPr="001B2E5E">
        <w:rPr>
          <w:rFonts w:ascii="Garamond" w:hAnsi="Garamond" w:cstheme="majorBidi"/>
          <w:lang w:val="id-ID"/>
        </w:rPr>
        <w:t xml:space="preserve"> (</w:t>
      </w:r>
      <w:r w:rsidRPr="001B2E5E">
        <w:rPr>
          <w:rFonts w:ascii="Garamond" w:hAnsi="Garamond" w:cstheme="majorBidi"/>
        </w:rPr>
        <w:t>Oxford: Oxfod University Press</w:t>
      </w:r>
      <w:r w:rsidRPr="001B2E5E">
        <w:rPr>
          <w:rFonts w:ascii="Garamond" w:hAnsi="Garamond" w:cstheme="majorBidi"/>
          <w:lang w:val="id-ID"/>
        </w:rPr>
        <w:t>, 2010),</w:t>
      </w:r>
      <w:r w:rsidRPr="001B2E5E">
        <w:rPr>
          <w:rFonts w:ascii="Garamond" w:hAnsi="Garamond" w:cstheme="majorBidi"/>
        </w:rPr>
        <w:t xml:space="preserve"> 160</w:t>
      </w:r>
      <w:r w:rsidR="001220A5">
        <w:rPr>
          <w:rFonts w:ascii="Garamond" w:hAnsi="Garamond" w:cstheme="majorBidi"/>
          <w:lang w:val="id-ID"/>
        </w:rPr>
        <w:t>.</w:t>
      </w:r>
      <w:r w:rsidRPr="001B2E5E">
        <w:rPr>
          <w:rFonts w:ascii="Garamond" w:hAnsi="Garamond" w:cstheme="majorBidi"/>
        </w:rPr>
        <w:t xml:space="preserve">      </w:t>
      </w:r>
      <w:r w:rsidRPr="001B2E5E">
        <w:rPr>
          <w:rFonts w:ascii="Garamond" w:hAnsi="Garamond" w:cstheme="majorBidi"/>
          <w:lang w:val="id-ID"/>
        </w:rPr>
        <w:t xml:space="preserve"> </w:t>
      </w:r>
      <w:r w:rsidRPr="001B2E5E">
        <w:rPr>
          <w:rFonts w:ascii="Garamond" w:hAnsi="Garamond"/>
          <w:lang w:val="id-ID"/>
        </w:rPr>
        <w:t xml:space="preserve"> </w:t>
      </w:r>
      <w:r w:rsidRPr="001B2E5E">
        <w:rPr>
          <w:rFonts w:ascii="Garamond" w:hAnsi="Garamond"/>
        </w:rPr>
        <w:t xml:space="preserve"> </w:t>
      </w:r>
    </w:p>
  </w:footnote>
  <w:footnote w:id="59">
    <w:p w:rsidR="003127C4" w:rsidRPr="001B2E5E" w:rsidRDefault="003127C4" w:rsidP="00295A23">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heme="majorBidi"/>
        </w:rPr>
        <w:t xml:space="preserve">Ibn Sina, </w:t>
      </w:r>
      <w:r w:rsidRPr="001B2E5E">
        <w:rPr>
          <w:rFonts w:ascii="Garamond" w:hAnsi="Garamond" w:cstheme="majorBidi"/>
          <w:i/>
          <w:iCs/>
        </w:rPr>
        <w:t xml:space="preserve">al-Mabdā </w:t>
      </w:r>
      <w:proofErr w:type="gramStart"/>
      <w:r w:rsidRPr="001B2E5E">
        <w:rPr>
          <w:rFonts w:ascii="Garamond" w:hAnsi="Garamond" w:cstheme="majorBidi"/>
          <w:i/>
          <w:iCs/>
        </w:rPr>
        <w:t>wa</w:t>
      </w:r>
      <w:proofErr w:type="gramEnd"/>
      <w:r w:rsidRPr="001B2E5E">
        <w:rPr>
          <w:rFonts w:ascii="Garamond" w:hAnsi="Garamond" w:cstheme="majorBidi"/>
          <w:i/>
          <w:iCs/>
        </w:rPr>
        <w:t xml:space="preserve"> al-ma’ād</w:t>
      </w:r>
      <w:r w:rsidRPr="001B2E5E">
        <w:rPr>
          <w:rFonts w:ascii="Garamond" w:hAnsi="Garamond" w:cstheme="majorBidi"/>
        </w:rPr>
        <w:t>,</w:t>
      </w:r>
      <w:r w:rsidRPr="001B2E5E">
        <w:rPr>
          <w:rFonts w:ascii="Garamond" w:hAnsi="Garamond" w:cstheme="majorBidi"/>
          <w:lang w:val="id-ID"/>
        </w:rPr>
        <w:t xml:space="preserve"> (Tehran:</w:t>
      </w:r>
      <w:r w:rsidRPr="001B2E5E">
        <w:rPr>
          <w:rFonts w:ascii="Garamond" w:hAnsi="Garamond" w:cstheme="majorBidi"/>
        </w:rPr>
        <w:t xml:space="preserve"> Tehran Universitas Press</w:t>
      </w:r>
      <w:r w:rsidRPr="001B2E5E">
        <w:rPr>
          <w:rFonts w:ascii="Garamond" w:hAnsi="Garamond" w:cstheme="majorBidi"/>
          <w:lang w:val="id-ID"/>
        </w:rPr>
        <w:t>, 1998),</w:t>
      </w:r>
      <w:r w:rsidRPr="001B2E5E">
        <w:rPr>
          <w:rFonts w:ascii="Garamond" w:hAnsi="Garamond" w:cstheme="majorBidi"/>
        </w:rPr>
        <w:t xml:space="preserve"> hal. 111-112</w:t>
      </w:r>
      <w:r w:rsidRPr="001B2E5E">
        <w:rPr>
          <w:rFonts w:ascii="Garamond" w:hAnsi="Garamond" w:cstheme="majorBidi"/>
          <w:lang w:val="id-ID"/>
        </w:rPr>
        <w:t xml:space="preserve">; Lihat juga </w:t>
      </w:r>
      <w:r w:rsidRPr="001B2E5E">
        <w:rPr>
          <w:rFonts w:ascii="Garamond" w:hAnsi="Garamond" w:cstheme="majorBidi"/>
        </w:rPr>
        <w:t xml:space="preserve">Sayyed Muhammad Khamenei, </w:t>
      </w:r>
      <w:r w:rsidRPr="001B2E5E">
        <w:rPr>
          <w:rFonts w:ascii="Garamond" w:hAnsi="Garamond" w:cstheme="majorBidi"/>
          <w:i/>
          <w:iCs/>
        </w:rPr>
        <w:t>Mulla Sadra’s Trancendent Philosophy</w:t>
      </w:r>
      <w:r w:rsidRPr="001B2E5E">
        <w:rPr>
          <w:rFonts w:ascii="Garamond" w:hAnsi="Garamond" w:cstheme="majorBidi"/>
        </w:rPr>
        <w:t>,</w:t>
      </w:r>
      <w:r w:rsidRPr="001B2E5E">
        <w:rPr>
          <w:rFonts w:ascii="Garamond" w:hAnsi="Garamond" w:cstheme="majorBidi"/>
          <w:i/>
          <w:iCs/>
          <w:lang w:val="id-ID"/>
        </w:rPr>
        <w:t xml:space="preserve"> </w:t>
      </w:r>
      <w:r w:rsidRPr="001B2E5E">
        <w:rPr>
          <w:rFonts w:ascii="Garamond" w:hAnsi="Garamond" w:cstheme="majorBidi"/>
          <w:lang w:val="id-ID"/>
        </w:rPr>
        <w:t>(</w:t>
      </w:r>
      <w:r w:rsidRPr="001B2E5E">
        <w:rPr>
          <w:rFonts w:ascii="Garamond" w:hAnsi="Garamond" w:cstheme="majorBidi"/>
        </w:rPr>
        <w:t>Tehran: SIPRIn</w:t>
      </w:r>
      <w:r w:rsidRPr="001B2E5E">
        <w:rPr>
          <w:rFonts w:ascii="Garamond" w:hAnsi="Garamond" w:cstheme="majorBidi"/>
          <w:lang w:val="id-ID"/>
        </w:rPr>
        <w:t xml:space="preserve">, 2004), </w:t>
      </w:r>
      <w:r w:rsidRPr="001B2E5E">
        <w:rPr>
          <w:rFonts w:ascii="Garamond" w:hAnsi="Garamond" w:cstheme="majorBidi"/>
        </w:rPr>
        <w:t>91</w:t>
      </w:r>
      <w:r w:rsidR="00295A23">
        <w:rPr>
          <w:rFonts w:ascii="Garamond" w:hAnsi="Garamond" w:cstheme="majorBidi"/>
          <w:lang w:val="id-ID"/>
        </w:rPr>
        <w:t>.</w:t>
      </w:r>
      <w:r w:rsidRPr="001B2E5E">
        <w:rPr>
          <w:rFonts w:ascii="Garamond" w:hAnsi="Garamond" w:cstheme="majorBidi"/>
          <w:lang w:val="id-ID"/>
        </w:rPr>
        <w:t xml:space="preserve"> </w:t>
      </w:r>
      <w:r w:rsidRPr="001B2E5E">
        <w:rPr>
          <w:rFonts w:ascii="Garamond" w:hAnsi="Garamond"/>
        </w:rPr>
        <w:t xml:space="preserve"> </w:t>
      </w:r>
    </w:p>
  </w:footnote>
  <w:footnote w:id="60">
    <w:p w:rsidR="003127C4" w:rsidRPr="001B2E5E" w:rsidRDefault="003127C4" w:rsidP="00295A23">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heme="majorBidi"/>
          <w:lang w:val="id-ID"/>
        </w:rPr>
        <w:t xml:space="preserve">Mulla Sadra, </w:t>
      </w:r>
      <w:r w:rsidRPr="001B2E5E">
        <w:rPr>
          <w:rFonts w:ascii="Garamond" w:hAnsi="Garamond" w:cstheme="majorBidi"/>
          <w:i/>
          <w:iCs/>
          <w:lang w:val="id-ID"/>
        </w:rPr>
        <w:t>Al-Hikmatuh al-Mutālīyah fī al-asfār al-aqliyah al-arba’ah</w:t>
      </w:r>
      <w:r w:rsidRPr="001B2E5E">
        <w:rPr>
          <w:rFonts w:ascii="Garamond" w:hAnsi="Garamond" w:cstheme="majorBidi"/>
          <w:lang w:val="id-ID"/>
        </w:rPr>
        <w:t>, 3</w:t>
      </w:r>
      <w:r w:rsidR="00295A23">
        <w:rPr>
          <w:rFonts w:ascii="Garamond" w:hAnsi="Garamond" w:cstheme="majorBidi"/>
          <w:lang w:val="id-ID"/>
        </w:rPr>
        <w:t>:</w:t>
      </w:r>
      <w:r w:rsidRPr="001B2E5E">
        <w:rPr>
          <w:rFonts w:ascii="Garamond" w:hAnsi="Garamond" w:cstheme="majorBidi"/>
          <w:lang w:val="id-ID"/>
        </w:rPr>
        <w:t xml:space="preserve"> 66; Lihat juga Muhammad Khamenei, </w:t>
      </w:r>
      <w:r w:rsidRPr="001B2E5E">
        <w:rPr>
          <w:rFonts w:ascii="Garamond" w:hAnsi="Garamond" w:cstheme="majorBidi"/>
          <w:i/>
          <w:iCs/>
          <w:lang w:val="id-ID"/>
        </w:rPr>
        <w:t>Mulla Sadra’s: Transcendent Philosophy</w:t>
      </w:r>
      <w:r w:rsidRPr="001B2E5E">
        <w:rPr>
          <w:rFonts w:ascii="Garamond" w:hAnsi="Garamond" w:cstheme="majorBidi"/>
          <w:lang w:val="id-ID"/>
        </w:rPr>
        <w:t>, 66</w:t>
      </w:r>
      <w:r w:rsidR="00295A23">
        <w:rPr>
          <w:rFonts w:ascii="Garamond" w:hAnsi="Garamond" w:cstheme="majorBidi"/>
          <w:lang w:val="id-ID"/>
        </w:rPr>
        <w:t>.</w:t>
      </w:r>
      <w:r w:rsidRPr="001B2E5E">
        <w:rPr>
          <w:rFonts w:ascii="Garamond" w:hAnsi="Garamond" w:cstheme="majorBidi"/>
          <w:lang w:val="id-ID"/>
        </w:rPr>
        <w:t xml:space="preserve"> </w:t>
      </w:r>
      <w:r w:rsidRPr="001B2E5E">
        <w:rPr>
          <w:rFonts w:ascii="Garamond" w:hAnsi="Garamond"/>
          <w:lang w:val="id-ID"/>
        </w:rPr>
        <w:t xml:space="preserve"> </w:t>
      </w:r>
    </w:p>
  </w:footnote>
  <w:footnote w:id="61">
    <w:p w:rsidR="003127C4" w:rsidRPr="001B2E5E" w:rsidRDefault="003127C4" w:rsidP="00295A23">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Asrār al</w:t>
      </w:r>
      <w:r w:rsidRPr="001B2E5E">
        <w:rPr>
          <w:rFonts w:ascii="Garamond" w:hAnsi="Garamond" w:cs="Times New Roman"/>
          <w:i/>
          <w:iCs/>
          <w:sz w:val="20"/>
          <w:szCs w:val="20"/>
        </w:rPr>
        <w:t>-</w:t>
      </w:r>
      <w:r w:rsidRPr="001B2E5E">
        <w:rPr>
          <w:rFonts w:ascii="Garamond" w:hAnsi="Garamond" w:cs="TimesNewRomanPS-ItalicMT"/>
          <w:i/>
          <w:iCs/>
          <w:sz w:val="20"/>
          <w:szCs w:val="20"/>
        </w:rPr>
        <w:t>Āyāt wa Anwār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Bayyināt, </w:t>
      </w:r>
      <w:r w:rsidRPr="001B2E5E">
        <w:rPr>
          <w:rFonts w:ascii="Garamond" w:hAnsi="Garamond" w:cs="Times New Roman"/>
          <w:sz w:val="20"/>
          <w:szCs w:val="20"/>
        </w:rPr>
        <w:t xml:space="preserve">hal. 193; Lihat juga 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cet.3, 1</w:t>
      </w:r>
      <w:r w:rsidR="00295A23">
        <w:rPr>
          <w:rFonts w:ascii="Garamond" w:hAnsi="Garamond" w:cs="Times New Roman"/>
          <w:sz w:val="20"/>
          <w:szCs w:val="20"/>
        </w:rPr>
        <w:t>:</w:t>
      </w:r>
      <w:r w:rsidRPr="001B2E5E">
        <w:rPr>
          <w:rFonts w:ascii="Garamond" w:hAnsi="Garamond" w:cs="Times New Roman"/>
          <w:sz w:val="20"/>
          <w:szCs w:val="20"/>
        </w:rPr>
        <w:t xml:space="preserve"> 111</w:t>
      </w:r>
      <w:r w:rsidR="00295A23">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 w:id="62">
    <w:p w:rsidR="003127C4" w:rsidRPr="001B2E5E" w:rsidRDefault="003127C4" w:rsidP="00295A23">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heme="majorBidi"/>
          <w:lang w:val="id-ID"/>
        </w:rPr>
        <w:t xml:space="preserve">Mulla Sadra, </w:t>
      </w:r>
      <w:r w:rsidRPr="001B2E5E">
        <w:rPr>
          <w:rFonts w:ascii="Garamond" w:hAnsi="Garamond" w:cstheme="majorBidi"/>
          <w:i/>
          <w:iCs/>
          <w:lang w:val="id-ID"/>
        </w:rPr>
        <w:t>Al-Hikmatuh al-Mutālīyah fī al-asfār al-aqliyah al-arba’ah</w:t>
      </w:r>
      <w:r w:rsidRPr="001B2E5E">
        <w:rPr>
          <w:rFonts w:ascii="Garamond" w:hAnsi="Garamond" w:cstheme="majorBidi"/>
          <w:lang w:val="id-ID"/>
        </w:rPr>
        <w:t>, 2</w:t>
      </w:r>
      <w:r w:rsidR="00295A23">
        <w:rPr>
          <w:rFonts w:ascii="Garamond" w:hAnsi="Garamond" w:cstheme="majorBidi"/>
          <w:lang w:val="id-ID"/>
        </w:rPr>
        <w:t xml:space="preserve">: </w:t>
      </w:r>
      <w:r w:rsidRPr="001B2E5E">
        <w:rPr>
          <w:rFonts w:ascii="Garamond" w:hAnsi="Garamond" w:cstheme="majorBidi"/>
          <w:lang w:val="id-ID"/>
        </w:rPr>
        <w:t xml:space="preserve">15; Lihat juga </w:t>
      </w:r>
      <w:r w:rsidRPr="001B2E5E">
        <w:rPr>
          <w:rFonts w:ascii="Garamond" w:hAnsi="Garamond" w:cs="Times New Roman"/>
          <w:lang w:val="id-ID"/>
        </w:rPr>
        <w:t xml:space="preserve">Mulla Sadra, </w:t>
      </w:r>
      <w:r w:rsidRPr="001B2E5E">
        <w:rPr>
          <w:rFonts w:ascii="Garamond" w:hAnsi="Garamond" w:cs="TimesNewRomanPS-ItalicMT"/>
          <w:i/>
          <w:iCs/>
          <w:lang w:val="id-ID"/>
        </w:rPr>
        <w:t>Tafsīr al</w:t>
      </w:r>
      <w:r w:rsidRPr="001B2E5E">
        <w:rPr>
          <w:rFonts w:ascii="Garamond" w:hAnsi="Garamond" w:cs="Times New Roman"/>
          <w:i/>
          <w:iCs/>
          <w:lang w:val="id-ID"/>
        </w:rPr>
        <w:t>-</w:t>
      </w:r>
      <w:r w:rsidRPr="001B2E5E">
        <w:rPr>
          <w:rFonts w:ascii="Garamond" w:hAnsi="Garamond" w:cs="TimesNewRomanPS-ItalicMT"/>
          <w:i/>
          <w:iCs/>
          <w:lang w:val="id-ID"/>
        </w:rPr>
        <w:t>Qur’ān al</w:t>
      </w:r>
      <w:r w:rsidRPr="001B2E5E">
        <w:rPr>
          <w:rFonts w:ascii="Garamond" w:hAnsi="Garamond" w:cs="Times New Roman"/>
          <w:i/>
          <w:iCs/>
          <w:lang w:val="id-ID"/>
        </w:rPr>
        <w:t>-</w:t>
      </w:r>
      <w:r w:rsidRPr="001B2E5E">
        <w:rPr>
          <w:rFonts w:ascii="Garamond" w:hAnsi="Garamond" w:cs="TimesNewRomanPS-ItalicMT"/>
          <w:i/>
          <w:iCs/>
          <w:lang w:val="id-ID"/>
        </w:rPr>
        <w:t xml:space="preserve">Karīm, </w:t>
      </w:r>
      <w:r w:rsidRPr="001B2E5E">
        <w:rPr>
          <w:rFonts w:ascii="Garamond" w:hAnsi="Garamond" w:cs="Times New Roman"/>
          <w:lang w:val="id-ID"/>
        </w:rPr>
        <w:t>cet.3, 1</w:t>
      </w:r>
      <w:r w:rsidR="00295A23">
        <w:rPr>
          <w:rFonts w:ascii="Garamond" w:hAnsi="Garamond" w:cs="Times New Roman"/>
          <w:lang w:val="id-ID"/>
        </w:rPr>
        <w:t>:</w:t>
      </w:r>
      <w:r w:rsidRPr="001B2E5E">
        <w:rPr>
          <w:rFonts w:ascii="Garamond" w:hAnsi="Garamond" w:cs="Times New Roman"/>
          <w:lang w:val="id-ID"/>
        </w:rPr>
        <w:t>118</w:t>
      </w:r>
      <w:r w:rsidR="00295A23">
        <w:rPr>
          <w:rFonts w:ascii="Garamond" w:hAnsi="Garamond" w:cs="Times New Roman"/>
          <w:lang w:val="id-ID"/>
        </w:rPr>
        <w:t>.</w:t>
      </w:r>
      <w:r w:rsidRPr="001B2E5E">
        <w:rPr>
          <w:rFonts w:ascii="Garamond" w:hAnsi="Garamond" w:cstheme="majorBidi"/>
          <w:lang w:val="id-ID"/>
        </w:rPr>
        <w:t xml:space="preserve"> </w:t>
      </w:r>
      <w:r w:rsidRPr="001B2E5E">
        <w:rPr>
          <w:rFonts w:ascii="Garamond" w:hAnsi="Garamond"/>
          <w:lang w:val="id-ID"/>
        </w:rPr>
        <w:t xml:space="preserve">   </w:t>
      </w:r>
    </w:p>
  </w:footnote>
  <w:footnote w:id="63">
    <w:p w:rsidR="003127C4" w:rsidRPr="001B2E5E" w:rsidRDefault="003127C4" w:rsidP="00295A23">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NewRomanPS-ItalicMT"/>
          <w:i/>
          <w:iCs/>
          <w:sz w:val="20"/>
          <w:szCs w:val="20"/>
        </w:rPr>
        <w:t>Asrār al</w:t>
      </w:r>
      <w:r w:rsidRPr="001B2E5E">
        <w:rPr>
          <w:rFonts w:ascii="Garamond" w:hAnsi="Garamond" w:cs="Times New Roman"/>
          <w:i/>
          <w:iCs/>
          <w:sz w:val="20"/>
          <w:szCs w:val="20"/>
        </w:rPr>
        <w:t>-</w:t>
      </w:r>
      <w:r w:rsidRPr="001B2E5E">
        <w:rPr>
          <w:rFonts w:ascii="Garamond" w:hAnsi="Garamond" w:cs="TimesNewRomanPS-ItalicMT"/>
          <w:i/>
          <w:iCs/>
          <w:sz w:val="20"/>
          <w:szCs w:val="20"/>
        </w:rPr>
        <w:t>Āyāt wa Asrār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Bayyināt, </w:t>
      </w:r>
      <w:r w:rsidRPr="001B2E5E">
        <w:rPr>
          <w:rFonts w:ascii="Garamond" w:hAnsi="Garamond" w:cs="Times New Roman"/>
          <w:sz w:val="20"/>
          <w:szCs w:val="20"/>
        </w:rPr>
        <w:t xml:space="preserve">hal. 192; Lihat juga Mulla Sadra, </w:t>
      </w:r>
      <w:r w:rsidRPr="001B2E5E">
        <w:rPr>
          <w:rFonts w:ascii="Garamond" w:hAnsi="Garamond" w:cs="Times New Roman"/>
          <w:i/>
          <w:iCs/>
          <w:sz w:val="20"/>
          <w:szCs w:val="20"/>
        </w:rPr>
        <w:t>al-</w:t>
      </w:r>
      <w:r w:rsidRPr="001B2E5E">
        <w:rPr>
          <w:rFonts w:ascii="Cambria" w:hAnsi="Cambria" w:cs="Cambria"/>
          <w:i/>
          <w:iCs/>
          <w:sz w:val="20"/>
          <w:szCs w:val="20"/>
        </w:rPr>
        <w:t>Ḥ</w:t>
      </w:r>
      <w:r w:rsidRPr="001B2E5E">
        <w:rPr>
          <w:rFonts w:ascii="Garamond" w:hAnsi="Garamond" w:cs="Times New Roman"/>
          <w:i/>
          <w:iCs/>
          <w:sz w:val="20"/>
          <w:szCs w:val="20"/>
        </w:rPr>
        <w:t>ikmah al-</w:t>
      </w:r>
      <w:r w:rsidRPr="001B2E5E">
        <w:rPr>
          <w:rFonts w:ascii="Garamond" w:hAnsi="Garamond" w:cs="TimesNewRomanPS-ItalicMT"/>
          <w:i/>
          <w:iCs/>
          <w:sz w:val="20"/>
          <w:szCs w:val="20"/>
        </w:rPr>
        <w:t>Muta’āliyah fī al</w:t>
      </w:r>
      <w:r w:rsidRPr="001B2E5E">
        <w:rPr>
          <w:rFonts w:ascii="Garamond" w:hAnsi="Garamond" w:cs="Times New Roman"/>
          <w:i/>
          <w:iCs/>
          <w:sz w:val="20"/>
          <w:szCs w:val="20"/>
        </w:rPr>
        <w:t>-</w:t>
      </w:r>
      <w:r w:rsidRPr="001B2E5E">
        <w:rPr>
          <w:rFonts w:ascii="Garamond" w:hAnsi="Garamond" w:cs="TimesNewRomanPS-ItalicMT"/>
          <w:i/>
          <w:iCs/>
          <w:sz w:val="20"/>
          <w:szCs w:val="20"/>
        </w:rPr>
        <w:t>Asfār al</w:t>
      </w:r>
      <w:r w:rsidRPr="001B2E5E">
        <w:rPr>
          <w:rFonts w:ascii="Garamond" w:hAnsi="Garamond" w:cs="Times New Roman"/>
          <w:i/>
          <w:iCs/>
          <w:sz w:val="20"/>
          <w:szCs w:val="20"/>
        </w:rPr>
        <w:t>-</w:t>
      </w:r>
      <w:r w:rsidRPr="001B2E5E">
        <w:rPr>
          <w:rFonts w:ascii="Garamond" w:hAnsi="Garamond" w:cs="TimesNewRomanPS-ItalicMT"/>
          <w:i/>
          <w:iCs/>
          <w:sz w:val="20"/>
          <w:szCs w:val="20"/>
        </w:rPr>
        <w:t>‘Aqliyyah al</w:t>
      </w:r>
      <w:r w:rsidRPr="001B2E5E">
        <w:rPr>
          <w:rFonts w:ascii="Garamond" w:hAnsi="Garamond" w:cs="Times New Roman"/>
          <w:i/>
          <w:iCs/>
          <w:sz w:val="20"/>
          <w:szCs w:val="20"/>
        </w:rPr>
        <w:t>-</w:t>
      </w:r>
      <w:r w:rsidRPr="001B2E5E">
        <w:rPr>
          <w:rFonts w:ascii="Garamond" w:hAnsi="Garamond" w:cs="TimesNewRomanPS-ItalicMT"/>
          <w:i/>
          <w:iCs/>
          <w:sz w:val="20"/>
          <w:szCs w:val="20"/>
        </w:rPr>
        <w:t>Arba’ah,</w:t>
      </w:r>
      <w:r w:rsidRPr="001B2E5E">
        <w:rPr>
          <w:rFonts w:ascii="Garamond" w:hAnsi="Garamond" w:cs="Times New Roman"/>
          <w:sz w:val="20"/>
          <w:szCs w:val="20"/>
        </w:rPr>
        <w:t xml:space="preserve"> 9</w:t>
      </w:r>
      <w:r w:rsidR="00295A23">
        <w:rPr>
          <w:rFonts w:ascii="Garamond" w:hAnsi="Garamond" w:cs="Times New Roman"/>
          <w:sz w:val="20"/>
          <w:szCs w:val="20"/>
        </w:rPr>
        <w:t>:</w:t>
      </w:r>
      <w:r w:rsidRPr="001B2E5E">
        <w:rPr>
          <w:rFonts w:ascii="Garamond" w:hAnsi="Garamond" w:cs="Times New Roman"/>
          <w:sz w:val="20"/>
          <w:szCs w:val="20"/>
        </w:rPr>
        <w:t xml:space="preserve"> 288</w:t>
      </w:r>
      <w:r w:rsidR="00295A23">
        <w:rPr>
          <w:rFonts w:ascii="Garamond" w:hAnsi="Garamond" w:cs="Times New Roman"/>
          <w:sz w:val="20"/>
          <w:szCs w:val="20"/>
        </w:rPr>
        <w:t>.</w:t>
      </w:r>
      <w:r w:rsidRPr="001B2E5E">
        <w:rPr>
          <w:rFonts w:ascii="Garamond" w:hAnsi="Garamond" w:cstheme="majorBidi"/>
          <w:sz w:val="20"/>
          <w:szCs w:val="20"/>
        </w:rPr>
        <w:t xml:space="preserve"> </w:t>
      </w:r>
      <w:r w:rsidRPr="001B2E5E">
        <w:rPr>
          <w:rFonts w:ascii="Garamond" w:hAnsi="Garamond"/>
          <w:sz w:val="20"/>
          <w:szCs w:val="20"/>
        </w:rPr>
        <w:t xml:space="preserve"> </w:t>
      </w:r>
    </w:p>
  </w:footnote>
  <w:footnote w:id="64">
    <w:p w:rsidR="003127C4" w:rsidRPr="001B2E5E" w:rsidRDefault="003127C4" w:rsidP="00295A23">
      <w:pPr>
        <w:pStyle w:val="FootnoteText"/>
        <w:ind w:firstLine="720"/>
        <w:jc w:val="both"/>
        <w:rPr>
          <w:rFonts w:ascii="Garamond" w:hAnsi="Garamond"/>
          <w:lang w:val="id-ID"/>
        </w:rPr>
      </w:pPr>
      <w:r w:rsidRPr="001B2E5E">
        <w:rPr>
          <w:rStyle w:val="FootnoteReference"/>
          <w:rFonts w:ascii="Garamond" w:hAnsi="Garamond"/>
        </w:rPr>
        <w:footnoteRef/>
      </w:r>
      <w:r w:rsidRPr="001B2E5E">
        <w:rPr>
          <w:rFonts w:ascii="Garamond" w:hAnsi="Garamond"/>
          <w:lang w:val="id-ID"/>
        </w:rPr>
        <w:t xml:space="preserve"> </w:t>
      </w:r>
      <w:r w:rsidRPr="001B2E5E">
        <w:rPr>
          <w:rFonts w:ascii="Garamond" w:hAnsi="Garamond" w:cs="Times New Roman"/>
        </w:rPr>
        <w:t>Mulla Sadra</w:t>
      </w:r>
      <w:r w:rsidRPr="001B2E5E">
        <w:rPr>
          <w:rFonts w:ascii="Garamond" w:hAnsi="Garamond" w:cs="Times New Roman"/>
          <w:lang w:val="id-ID"/>
        </w:rPr>
        <w:t xml:space="preserve">, </w:t>
      </w:r>
      <w:r w:rsidRPr="001B2E5E">
        <w:rPr>
          <w:rFonts w:ascii="Garamond" w:hAnsi="Garamond" w:cs="TimesNewRomanPS-ItalicMT"/>
          <w:i/>
          <w:iCs/>
          <w:lang w:val="id-ID"/>
        </w:rPr>
        <w:t>Tafsīr al</w:t>
      </w:r>
      <w:r w:rsidRPr="001B2E5E">
        <w:rPr>
          <w:rFonts w:ascii="Garamond" w:hAnsi="Garamond" w:cs="Times New Roman"/>
          <w:i/>
          <w:iCs/>
          <w:lang w:val="id-ID"/>
        </w:rPr>
        <w:t>-</w:t>
      </w:r>
      <w:r w:rsidRPr="001B2E5E">
        <w:rPr>
          <w:rFonts w:ascii="Garamond" w:hAnsi="Garamond" w:cs="TimesNewRomanPS-ItalicMT"/>
          <w:i/>
          <w:iCs/>
          <w:lang w:val="id-ID"/>
        </w:rPr>
        <w:t>Qur’ān al</w:t>
      </w:r>
      <w:r w:rsidRPr="001B2E5E">
        <w:rPr>
          <w:rFonts w:ascii="Garamond" w:hAnsi="Garamond" w:cs="Times New Roman"/>
          <w:i/>
          <w:iCs/>
          <w:lang w:val="id-ID"/>
        </w:rPr>
        <w:t>-</w:t>
      </w:r>
      <w:r w:rsidRPr="001B2E5E">
        <w:rPr>
          <w:rFonts w:ascii="Garamond" w:hAnsi="Garamond" w:cs="TimesNewRomanPS-ItalicMT"/>
          <w:i/>
          <w:iCs/>
          <w:lang w:val="id-ID"/>
        </w:rPr>
        <w:t xml:space="preserve">Karīm, </w:t>
      </w:r>
      <w:r w:rsidR="00295A23">
        <w:rPr>
          <w:rFonts w:ascii="Garamond" w:hAnsi="Garamond" w:cs="Times New Roman"/>
          <w:lang w:val="id-ID"/>
        </w:rPr>
        <w:t xml:space="preserve">cet.3, 1: </w:t>
      </w:r>
      <w:r w:rsidRPr="001B2E5E">
        <w:rPr>
          <w:rFonts w:ascii="Garamond" w:hAnsi="Garamond" w:cs="Times New Roman"/>
          <w:lang w:val="id-ID"/>
        </w:rPr>
        <w:t>100</w:t>
      </w:r>
      <w:r w:rsidR="00295A23">
        <w:rPr>
          <w:rFonts w:ascii="Garamond" w:hAnsi="Garamond" w:cs="Times New Roman"/>
          <w:lang w:val="id-ID"/>
        </w:rPr>
        <w:t>.</w:t>
      </w:r>
      <w:r w:rsidRPr="001B2E5E">
        <w:rPr>
          <w:rFonts w:ascii="Garamond" w:hAnsi="Garamond" w:cstheme="majorBidi"/>
          <w:lang w:val="id-ID"/>
        </w:rPr>
        <w:t xml:space="preserve"> </w:t>
      </w:r>
      <w:r w:rsidRPr="001B2E5E">
        <w:rPr>
          <w:rFonts w:ascii="Garamond" w:hAnsi="Garamond"/>
          <w:lang w:val="id-ID"/>
        </w:rPr>
        <w:t xml:space="preserve">      </w:t>
      </w:r>
    </w:p>
  </w:footnote>
  <w:footnote w:id="65">
    <w:p w:rsidR="003127C4" w:rsidRPr="001B2E5E" w:rsidRDefault="003127C4" w:rsidP="00295A23">
      <w:pPr>
        <w:autoSpaceDE w:val="0"/>
        <w:autoSpaceDN w:val="0"/>
        <w:adjustRightInd w:val="0"/>
        <w:spacing w:after="0" w:line="240" w:lineRule="auto"/>
        <w:ind w:firstLine="720"/>
        <w:jc w:val="both"/>
        <w:rPr>
          <w:rFonts w:ascii="Garamond" w:hAnsi="Garamond" w:cs="TimesNewRomanPS-ItalicMT"/>
          <w:i/>
          <w:iCs/>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 xml:space="preserve">Mulla Sadra, </w:t>
      </w:r>
      <w:r w:rsidRPr="001B2E5E">
        <w:rPr>
          <w:rFonts w:ascii="Garamond" w:hAnsi="Garamond" w:cs="Times New Roman"/>
          <w:i/>
          <w:iCs/>
          <w:sz w:val="20"/>
          <w:szCs w:val="20"/>
        </w:rPr>
        <w:t>al-</w:t>
      </w:r>
      <w:r w:rsidRPr="001B2E5E">
        <w:rPr>
          <w:rFonts w:ascii="Cambria" w:hAnsi="Cambria" w:cs="Cambria"/>
          <w:i/>
          <w:iCs/>
          <w:sz w:val="20"/>
          <w:szCs w:val="20"/>
        </w:rPr>
        <w:t>Ḥ</w:t>
      </w:r>
      <w:r w:rsidRPr="001B2E5E">
        <w:rPr>
          <w:rFonts w:ascii="Garamond" w:hAnsi="Garamond" w:cs="Times New Roman"/>
          <w:i/>
          <w:iCs/>
          <w:sz w:val="20"/>
          <w:szCs w:val="20"/>
        </w:rPr>
        <w:t>ikmah al-</w:t>
      </w:r>
      <w:r w:rsidRPr="001B2E5E">
        <w:rPr>
          <w:rFonts w:ascii="Garamond" w:hAnsi="Garamond" w:cs="TimesNewRomanPS-ItalicMT"/>
          <w:i/>
          <w:iCs/>
          <w:sz w:val="20"/>
          <w:szCs w:val="20"/>
        </w:rPr>
        <w:t>Muta’āliyah f</w:t>
      </w:r>
      <w:r w:rsidRPr="001B2E5E">
        <w:rPr>
          <w:rFonts w:ascii="Garamond" w:hAnsi="Garamond" w:cs="Times New Roman"/>
          <w:i/>
          <w:iCs/>
          <w:sz w:val="20"/>
          <w:szCs w:val="20"/>
        </w:rPr>
        <w:t>al-</w:t>
      </w:r>
      <w:r w:rsidRPr="001B2E5E">
        <w:rPr>
          <w:rFonts w:ascii="Garamond" w:hAnsi="Garamond" w:cs="TimesNewRomanPS-ItalicMT"/>
          <w:i/>
          <w:iCs/>
          <w:sz w:val="20"/>
          <w:szCs w:val="20"/>
        </w:rPr>
        <w:t>Asfār al</w:t>
      </w:r>
      <w:r w:rsidRPr="001B2E5E">
        <w:rPr>
          <w:rFonts w:ascii="Garamond" w:hAnsi="Garamond" w:cs="Times New Roman"/>
          <w:i/>
          <w:iCs/>
          <w:sz w:val="20"/>
          <w:szCs w:val="20"/>
        </w:rPr>
        <w:t>-</w:t>
      </w:r>
      <w:r w:rsidRPr="001B2E5E">
        <w:rPr>
          <w:rFonts w:ascii="Garamond" w:hAnsi="Garamond" w:cs="TimesNewRomanPS-ItalicMT"/>
          <w:i/>
          <w:iCs/>
          <w:sz w:val="20"/>
          <w:szCs w:val="20"/>
        </w:rPr>
        <w:t>‘Aqliyyah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Arba’ah, </w:t>
      </w:r>
      <w:r w:rsidRPr="001B2E5E">
        <w:rPr>
          <w:rFonts w:ascii="Garamond" w:hAnsi="Garamond" w:cs="Times New Roman"/>
          <w:sz w:val="20"/>
          <w:szCs w:val="20"/>
        </w:rPr>
        <w:t>3</w:t>
      </w:r>
      <w:r w:rsidR="00295A23">
        <w:rPr>
          <w:rFonts w:ascii="Garamond" w:hAnsi="Garamond" w:cs="Times New Roman"/>
          <w:sz w:val="20"/>
          <w:szCs w:val="20"/>
        </w:rPr>
        <w:t xml:space="preserve">: </w:t>
      </w:r>
      <w:r w:rsidRPr="001B2E5E">
        <w:rPr>
          <w:rFonts w:ascii="Garamond" w:hAnsi="Garamond" w:cs="Times New Roman"/>
          <w:sz w:val="20"/>
          <w:szCs w:val="20"/>
        </w:rPr>
        <w:t>361</w:t>
      </w:r>
      <w:r w:rsidR="00295A23">
        <w:rPr>
          <w:rFonts w:ascii="Garamond" w:hAnsi="Garamond" w:cs="Times New Roman"/>
          <w:sz w:val="20"/>
          <w:szCs w:val="20"/>
        </w:rPr>
        <w:t>.</w:t>
      </w:r>
      <w:r w:rsidRPr="001B2E5E">
        <w:rPr>
          <w:rFonts w:ascii="Garamond" w:hAnsi="Garamond"/>
          <w:sz w:val="20"/>
          <w:szCs w:val="20"/>
        </w:rPr>
        <w:t xml:space="preserve">  </w:t>
      </w:r>
      <w:r w:rsidRPr="001B2E5E">
        <w:rPr>
          <w:rFonts w:ascii="Garamond" w:hAnsi="Garamond"/>
          <w:sz w:val="20"/>
          <w:szCs w:val="20"/>
        </w:rPr>
        <w:tab/>
      </w:r>
    </w:p>
  </w:footnote>
  <w:footnote w:id="66">
    <w:p w:rsidR="003127C4" w:rsidRPr="001B2E5E" w:rsidRDefault="003127C4" w:rsidP="00295A23">
      <w:pPr>
        <w:autoSpaceDE w:val="0"/>
        <w:autoSpaceDN w:val="0"/>
        <w:adjustRightInd w:val="0"/>
        <w:spacing w:after="0" w:line="240" w:lineRule="auto"/>
        <w:ind w:firstLine="720"/>
        <w:jc w:val="both"/>
        <w:rPr>
          <w:rFonts w:ascii="Garamond" w:hAnsi="Garamond" w:cs="Times New Roman"/>
          <w:sz w:val="20"/>
          <w:szCs w:val="20"/>
        </w:rPr>
      </w:pPr>
      <w:r w:rsidRPr="001B2E5E">
        <w:rPr>
          <w:rStyle w:val="FootnoteReference"/>
          <w:rFonts w:ascii="Garamond" w:hAnsi="Garamond"/>
          <w:sz w:val="20"/>
          <w:szCs w:val="20"/>
        </w:rPr>
        <w:footnoteRef/>
      </w:r>
      <w:r w:rsidRPr="001B2E5E">
        <w:rPr>
          <w:rFonts w:ascii="Garamond" w:hAnsi="Garamond"/>
          <w:sz w:val="20"/>
          <w:szCs w:val="20"/>
        </w:rPr>
        <w:t xml:space="preserve"> </w:t>
      </w:r>
      <w:r w:rsidRPr="001B2E5E">
        <w:rPr>
          <w:rFonts w:ascii="Garamond" w:hAnsi="Garamond" w:cs="Times New Roman"/>
          <w:sz w:val="20"/>
          <w:szCs w:val="20"/>
        </w:rPr>
        <w:t>Mulla Sadra</w:t>
      </w:r>
      <w:r w:rsidRPr="001B2E5E">
        <w:rPr>
          <w:rFonts w:ascii="Garamond" w:hAnsi="Garamond" w:cs="TimesNewRomanPS-ItalicMT"/>
          <w:i/>
          <w:iCs/>
          <w:sz w:val="20"/>
          <w:szCs w:val="20"/>
        </w:rPr>
        <w:t>, Mafātī</w:t>
      </w:r>
      <w:r w:rsidRPr="001B2E5E">
        <w:rPr>
          <w:rFonts w:ascii="Cambria" w:hAnsi="Cambria" w:cs="Cambria"/>
          <w:i/>
          <w:iCs/>
          <w:sz w:val="20"/>
          <w:szCs w:val="20"/>
        </w:rPr>
        <w:t>ḥ</w:t>
      </w:r>
      <w:r w:rsidRPr="001B2E5E">
        <w:rPr>
          <w:rFonts w:ascii="Garamond" w:hAnsi="Garamond" w:cs="TimesNewRomanPS-ItalicMT"/>
          <w:i/>
          <w:iCs/>
          <w:sz w:val="20"/>
          <w:szCs w:val="20"/>
        </w:rPr>
        <w:t xml:space="preserve"> </w:t>
      </w:r>
      <w:r w:rsidRPr="001B2E5E">
        <w:rPr>
          <w:rFonts w:ascii="Garamond" w:hAnsi="Garamond" w:cs="Times New Roman"/>
          <w:i/>
          <w:iCs/>
          <w:sz w:val="20"/>
          <w:szCs w:val="20"/>
        </w:rPr>
        <w:t xml:space="preserve">al-Ghaib, </w:t>
      </w:r>
      <w:r w:rsidRPr="001B2E5E">
        <w:rPr>
          <w:rFonts w:ascii="Garamond" w:hAnsi="Garamond" w:cs="Times New Roman"/>
          <w:sz w:val="20"/>
          <w:szCs w:val="20"/>
        </w:rPr>
        <w:t xml:space="preserve">hal. 39; Lihat juga Mulla Sadra, </w:t>
      </w:r>
      <w:r w:rsidRPr="001B2E5E">
        <w:rPr>
          <w:rFonts w:ascii="Garamond" w:hAnsi="Garamond" w:cs="TimesNewRomanPS-ItalicMT"/>
          <w:i/>
          <w:iCs/>
          <w:sz w:val="20"/>
          <w:szCs w:val="20"/>
        </w:rPr>
        <w:t>Tafsīr al</w:t>
      </w:r>
      <w:r w:rsidRPr="001B2E5E">
        <w:rPr>
          <w:rFonts w:ascii="Garamond" w:hAnsi="Garamond" w:cs="Times New Roman"/>
          <w:i/>
          <w:iCs/>
          <w:sz w:val="20"/>
          <w:szCs w:val="20"/>
        </w:rPr>
        <w:t>-</w:t>
      </w:r>
      <w:r w:rsidRPr="001B2E5E">
        <w:rPr>
          <w:rFonts w:ascii="Garamond" w:hAnsi="Garamond" w:cs="TimesNewRomanPS-ItalicMT"/>
          <w:i/>
          <w:iCs/>
          <w:sz w:val="20"/>
          <w:szCs w:val="20"/>
        </w:rPr>
        <w:t>Qur’ān al</w:t>
      </w:r>
      <w:r w:rsidRPr="001B2E5E">
        <w:rPr>
          <w:rFonts w:ascii="Garamond" w:hAnsi="Garamond" w:cs="Times New Roman"/>
          <w:i/>
          <w:iCs/>
          <w:sz w:val="20"/>
          <w:szCs w:val="20"/>
        </w:rPr>
        <w:t>-</w:t>
      </w:r>
      <w:r w:rsidRPr="001B2E5E">
        <w:rPr>
          <w:rFonts w:ascii="Garamond" w:hAnsi="Garamond" w:cs="TimesNewRomanPS-ItalicMT"/>
          <w:i/>
          <w:iCs/>
          <w:sz w:val="20"/>
          <w:szCs w:val="20"/>
        </w:rPr>
        <w:t xml:space="preserve">Karīm, </w:t>
      </w:r>
      <w:r w:rsidRPr="001B2E5E">
        <w:rPr>
          <w:rFonts w:ascii="Garamond" w:hAnsi="Garamond" w:cs="Times New Roman"/>
          <w:sz w:val="20"/>
          <w:szCs w:val="20"/>
        </w:rPr>
        <w:t>cet.3, 1</w:t>
      </w:r>
      <w:r w:rsidR="00295A23">
        <w:rPr>
          <w:rFonts w:ascii="Garamond" w:hAnsi="Garamond" w:cs="Times New Roman"/>
          <w:sz w:val="20"/>
          <w:szCs w:val="20"/>
        </w:rPr>
        <w:t>:</w:t>
      </w:r>
      <w:r w:rsidRPr="001B2E5E">
        <w:rPr>
          <w:rFonts w:ascii="Garamond" w:hAnsi="Garamond" w:cs="Times New Roman"/>
          <w:sz w:val="20"/>
          <w:szCs w:val="20"/>
        </w:rPr>
        <w:t xml:space="preserve"> 166</w:t>
      </w:r>
      <w:r w:rsidR="00295A23">
        <w:rPr>
          <w:rFonts w:ascii="Garamond" w:hAnsi="Garamond" w:cs="Times New Roman"/>
          <w:sz w:val="20"/>
          <w:szCs w:val="20"/>
        </w:rPr>
        <w:t>.</w:t>
      </w:r>
      <w:r w:rsidRPr="001B2E5E">
        <w:rPr>
          <w:rFonts w:ascii="Garamond" w:hAnsi="Garamond" w:cs="Times New Roman"/>
          <w:sz w:val="20"/>
          <w:szCs w:val="20"/>
        </w:rPr>
        <w:t xml:space="preserve"> </w:t>
      </w:r>
      <w:r w:rsidRPr="001B2E5E">
        <w:rPr>
          <w:rFonts w:ascii="Garamond" w:hAnsi="Garamond"/>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C68"/>
    <w:multiLevelType w:val="hybridMultilevel"/>
    <w:tmpl w:val="0F162E52"/>
    <w:lvl w:ilvl="0" w:tplc="04210019">
      <w:start w:val="1"/>
      <w:numFmt w:val="lowerLetter"/>
      <w:lvlText w:val="%1."/>
      <w:lvlJc w:val="left"/>
      <w:pPr>
        <w:ind w:left="1895" w:hanging="360"/>
      </w:pPr>
    </w:lvl>
    <w:lvl w:ilvl="1" w:tplc="04210019" w:tentative="1">
      <w:start w:val="1"/>
      <w:numFmt w:val="lowerLetter"/>
      <w:lvlText w:val="%2."/>
      <w:lvlJc w:val="left"/>
      <w:pPr>
        <w:ind w:left="2615" w:hanging="360"/>
      </w:pPr>
    </w:lvl>
    <w:lvl w:ilvl="2" w:tplc="0421001B" w:tentative="1">
      <w:start w:val="1"/>
      <w:numFmt w:val="lowerRoman"/>
      <w:lvlText w:val="%3."/>
      <w:lvlJc w:val="right"/>
      <w:pPr>
        <w:ind w:left="3335" w:hanging="180"/>
      </w:pPr>
    </w:lvl>
    <w:lvl w:ilvl="3" w:tplc="0421000F" w:tentative="1">
      <w:start w:val="1"/>
      <w:numFmt w:val="decimal"/>
      <w:lvlText w:val="%4."/>
      <w:lvlJc w:val="left"/>
      <w:pPr>
        <w:ind w:left="4055" w:hanging="360"/>
      </w:pPr>
    </w:lvl>
    <w:lvl w:ilvl="4" w:tplc="04210019" w:tentative="1">
      <w:start w:val="1"/>
      <w:numFmt w:val="lowerLetter"/>
      <w:lvlText w:val="%5."/>
      <w:lvlJc w:val="left"/>
      <w:pPr>
        <w:ind w:left="4775" w:hanging="360"/>
      </w:pPr>
    </w:lvl>
    <w:lvl w:ilvl="5" w:tplc="0421001B" w:tentative="1">
      <w:start w:val="1"/>
      <w:numFmt w:val="lowerRoman"/>
      <w:lvlText w:val="%6."/>
      <w:lvlJc w:val="right"/>
      <w:pPr>
        <w:ind w:left="5495" w:hanging="180"/>
      </w:pPr>
    </w:lvl>
    <w:lvl w:ilvl="6" w:tplc="0421000F" w:tentative="1">
      <w:start w:val="1"/>
      <w:numFmt w:val="decimal"/>
      <w:lvlText w:val="%7."/>
      <w:lvlJc w:val="left"/>
      <w:pPr>
        <w:ind w:left="6215" w:hanging="360"/>
      </w:pPr>
    </w:lvl>
    <w:lvl w:ilvl="7" w:tplc="04210019" w:tentative="1">
      <w:start w:val="1"/>
      <w:numFmt w:val="lowerLetter"/>
      <w:lvlText w:val="%8."/>
      <w:lvlJc w:val="left"/>
      <w:pPr>
        <w:ind w:left="6935" w:hanging="360"/>
      </w:pPr>
    </w:lvl>
    <w:lvl w:ilvl="8" w:tplc="0421001B" w:tentative="1">
      <w:start w:val="1"/>
      <w:numFmt w:val="lowerRoman"/>
      <w:lvlText w:val="%9."/>
      <w:lvlJc w:val="right"/>
      <w:pPr>
        <w:ind w:left="7655" w:hanging="180"/>
      </w:pPr>
    </w:lvl>
  </w:abstractNum>
  <w:abstractNum w:abstractNumId="1">
    <w:nsid w:val="0D5E7497"/>
    <w:multiLevelType w:val="hybridMultilevel"/>
    <w:tmpl w:val="B900D87C"/>
    <w:lvl w:ilvl="0" w:tplc="45E0083E">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275890"/>
    <w:multiLevelType w:val="hybridMultilevel"/>
    <w:tmpl w:val="97B8092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33B31E96"/>
    <w:multiLevelType w:val="hybridMultilevel"/>
    <w:tmpl w:val="32B6E710"/>
    <w:lvl w:ilvl="0" w:tplc="45E0083E">
      <w:start w:val="1"/>
      <w:numFmt w:val="decimal"/>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D6B76A5"/>
    <w:multiLevelType w:val="hybridMultilevel"/>
    <w:tmpl w:val="B818F6CA"/>
    <w:lvl w:ilvl="0" w:tplc="45E0083E">
      <w:start w:val="1"/>
      <w:numFmt w:val="decimal"/>
      <w:lvlText w:val="%1."/>
      <w:lvlJc w:val="righ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31230DD"/>
    <w:multiLevelType w:val="hybridMultilevel"/>
    <w:tmpl w:val="935E16F6"/>
    <w:lvl w:ilvl="0" w:tplc="0421000F">
      <w:start w:val="1"/>
      <w:numFmt w:val="decimal"/>
      <w:lvlText w:val="%1."/>
      <w:lvlJc w:val="left"/>
      <w:pPr>
        <w:ind w:left="1897" w:hanging="360"/>
      </w:pPr>
    </w:lvl>
    <w:lvl w:ilvl="1" w:tplc="04210019" w:tentative="1">
      <w:start w:val="1"/>
      <w:numFmt w:val="lowerLetter"/>
      <w:lvlText w:val="%2."/>
      <w:lvlJc w:val="left"/>
      <w:pPr>
        <w:ind w:left="2617" w:hanging="360"/>
      </w:pPr>
    </w:lvl>
    <w:lvl w:ilvl="2" w:tplc="0421001B" w:tentative="1">
      <w:start w:val="1"/>
      <w:numFmt w:val="lowerRoman"/>
      <w:lvlText w:val="%3."/>
      <w:lvlJc w:val="right"/>
      <w:pPr>
        <w:ind w:left="3337" w:hanging="180"/>
      </w:pPr>
    </w:lvl>
    <w:lvl w:ilvl="3" w:tplc="0421000F" w:tentative="1">
      <w:start w:val="1"/>
      <w:numFmt w:val="decimal"/>
      <w:lvlText w:val="%4."/>
      <w:lvlJc w:val="left"/>
      <w:pPr>
        <w:ind w:left="4057" w:hanging="360"/>
      </w:pPr>
    </w:lvl>
    <w:lvl w:ilvl="4" w:tplc="04210019" w:tentative="1">
      <w:start w:val="1"/>
      <w:numFmt w:val="lowerLetter"/>
      <w:lvlText w:val="%5."/>
      <w:lvlJc w:val="left"/>
      <w:pPr>
        <w:ind w:left="4777" w:hanging="360"/>
      </w:pPr>
    </w:lvl>
    <w:lvl w:ilvl="5" w:tplc="0421001B" w:tentative="1">
      <w:start w:val="1"/>
      <w:numFmt w:val="lowerRoman"/>
      <w:lvlText w:val="%6."/>
      <w:lvlJc w:val="right"/>
      <w:pPr>
        <w:ind w:left="5497" w:hanging="180"/>
      </w:pPr>
    </w:lvl>
    <w:lvl w:ilvl="6" w:tplc="0421000F" w:tentative="1">
      <w:start w:val="1"/>
      <w:numFmt w:val="decimal"/>
      <w:lvlText w:val="%7."/>
      <w:lvlJc w:val="left"/>
      <w:pPr>
        <w:ind w:left="6217" w:hanging="360"/>
      </w:pPr>
    </w:lvl>
    <w:lvl w:ilvl="7" w:tplc="04210019" w:tentative="1">
      <w:start w:val="1"/>
      <w:numFmt w:val="lowerLetter"/>
      <w:lvlText w:val="%8."/>
      <w:lvlJc w:val="left"/>
      <w:pPr>
        <w:ind w:left="6937" w:hanging="360"/>
      </w:pPr>
    </w:lvl>
    <w:lvl w:ilvl="8" w:tplc="0421001B" w:tentative="1">
      <w:start w:val="1"/>
      <w:numFmt w:val="lowerRoman"/>
      <w:lvlText w:val="%9."/>
      <w:lvlJc w:val="right"/>
      <w:pPr>
        <w:ind w:left="7657" w:hanging="180"/>
      </w:pPr>
    </w:lvl>
  </w:abstractNum>
  <w:abstractNum w:abstractNumId="6">
    <w:nsid w:val="63E5139C"/>
    <w:multiLevelType w:val="hybridMultilevel"/>
    <w:tmpl w:val="FD8816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6E238C8"/>
    <w:multiLevelType w:val="hybridMultilevel"/>
    <w:tmpl w:val="DE4499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2201B6"/>
    <w:multiLevelType w:val="hybridMultilevel"/>
    <w:tmpl w:val="93386F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D4F1ADF"/>
    <w:multiLevelType w:val="hybridMultilevel"/>
    <w:tmpl w:val="425633FA"/>
    <w:lvl w:ilvl="0" w:tplc="BCEEAFD0">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7"/>
  </w:num>
  <w:num w:numId="2">
    <w:abstractNumId w:val="8"/>
  </w:num>
  <w:num w:numId="3">
    <w:abstractNumId w:val="6"/>
  </w:num>
  <w:num w:numId="4">
    <w:abstractNumId w:val="3"/>
  </w:num>
  <w:num w:numId="5">
    <w:abstractNumId w:val="1"/>
  </w:num>
  <w:num w:numId="6">
    <w:abstractNumId w:val="4"/>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09"/>
    <w:rsid w:val="00001082"/>
    <w:rsid w:val="00002A03"/>
    <w:rsid w:val="00004C05"/>
    <w:rsid w:val="00017B5C"/>
    <w:rsid w:val="00026517"/>
    <w:rsid w:val="00034BFB"/>
    <w:rsid w:val="0003593A"/>
    <w:rsid w:val="00040FA1"/>
    <w:rsid w:val="00041F6C"/>
    <w:rsid w:val="00045F12"/>
    <w:rsid w:val="00051033"/>
    <w:rsid w:val="00052409"/>
    <w:rsid w:val="000553A5"/>
    <w:rsid w:val="00057183"/>
    <w:rsid w:val="000601B3"/>
    <w:rsid w:val="00062CDB"/>
    <w:rsid w:val="00072C29"/>
    <w:rsid w:val="00073463"/>
    <w:rsid w:val="00073C0E"/>
    <w:rsid w:val="0007511A"/>
    <w:rsid w:val="00077013"/>
    <w:rsid w:val="0008042D"/>
    <w:rsid w:val="0008188E"/>
    <w:rsid w:val="00082F38"/>
    <w:rsid w:val="000843D0"/>
    <w:rsid w:val="00085D87"/>
    <w:rsid w:val="00085F97"/>
    <w:rsid w:val="00085FC5"/>
    <w:rsid w:val="00095178"/>
    <w:rsid w:val="000A5D77"/>
    <w:rsid w:val="000B12B3"/>
    <w:rsid w:val="000B765B"/>
    <w:rsid w:val="000C3CDF"/>
    <w:rsid w:val="000D7AF3"/>
    <w:rsid w:val="000E5FA7"/>
    <w:rsid w:val="000E73AB"/>
    <w:rsid w:val="000F0634"/>
    <w:rsid w:val="000F0DD5"/>
    <w:rsid w:val="000F33A8"/>
    <w:rsid w:val="001000EB"/>
    <w:rsid w:val="00105095"/>
    <w:rsid w:val="00107005"/>
    <w:rsid w:val="00111C88"/>
    <w:rsid w:val="00111F1F"/>
    <w:rsid w:val="00115849"/>
    <w:rsid w:val="00117DC8"/>
    <w:rsid w:val="00120D8B"/>
    <w:rsid w:val="001220A5"/>
    <w:rsid w:val="00123B94"/>
    <w:rsid w:val="00124A6C"/>
    <w:rsid w:val="00124E14"/>
    <w:rsid w:val="00133FBD"/>
    <w:rsid w:val="00134D9E"/>
    <w:rsid w:val="00135F83"/>
    <w:rsid w:val="001401C5"/>
    <w:rsid w:val="00144DD7"/>
    <w:rsid w:val="001452A0"/>
    <w:rsid w:val="00146025"/>
    <w:rsid w:val="001512D5"/>
    <w:rsid w:val="00152A0B"/>
    <w:rsid w:val="00160322"/>
    <w:rsid w:val="00164769"/>
    <w:rsid w:val="001678E8"/>
    <w:rsid w:val="00167F8B"/>
    <w:rsid w:val="00171C20"/>
    <w:rsid w:val="001724A1"/>
    <w:rsid w:val="00173665"/>
    <w:rsid w:val="00176797"/>
    <w:rsid w:val="00180BF6"/>
    <w:rsid w:val="001829BD"/>
    <w:rsid w:val="001837A9"/>
    <w:rsid w:val="00190EB0"/>
    <w:rsid w:val="001A74A8"/>
    <w:rsid w:val="001B0D95"/>
    <w:rsid w:val="001B2E5E"/>
    <w:rsid w:val="001B49B4"/>
    <w:rsid w:val="001B4DBC"/>
    <w:rsid w:val="001C6C9D"/>
    <w:rsid w:val="001C7A51"/>
    <w:rsid w:val="001D4A94"/>
    <w:rsid w:val="001D74A5"/>
    <w:rsid w:val="001E0278"/>
    <w:rsid w:val="001E2559"/>
    <w:rsid w:val="001F0D12"/>
    <w:rsid w:val="001F3C13"/>
    <w:rsid w:val="0020012D"/>
    <w:rsid w:val="002006C6"/>
    <w:rsid w:val="00202CF3"/>
    <w:rsid w:val="00203C4A"/>
    <w:rsid w:val="0020406C"/>
    <w:rsid w:val="00204877"/>
    <w:rsid w:val="002125B1"/>
    <w:rsid w:val="00220CF6"/>
    <w:rsid w:val="0022263C"/>
    <w:rsid w:val="00222B67"/>
    <w:rsid w:val="00232BFE"/>
    <w:rsid w:val="00233139"/>
    <w:rsid w:val="00240FB7"/>
    <w:rsid w:val="002465D2"/>
    <w:rsid w:val="00252787"/>
    <w:rsid w:val="00252C9D"/>
    <w:rsid w:val="0025375B"/>
    <w:rsid w:val="00261978"/>
    <w:rsid w:val="00262691"/>
    <w:rsid w:val="00264624"/>
    <w:rsid w:val="00265814"/>
    <w:rsid w:val="00272B36"/>
    <w:rsid w:val="00295A23"/>
    <w:rsid w:val="002A0882"/>
    <w:rsid w:val="002A3452"/>
    <w:rsid w:val="002A7F33"/>
    <w:rsid w:val="002B1F89"/>
    <w:rsid w:val="002B2008"/>
    <w:rsid w:val="002B7CD7"/>
    <w:rsid w:val="002C04A3"/>
    <w:rsid w:val="002C2504"/>
    <w:rsid w:val="002C3794"/>
    <w:rsid w:val="002C3991"/>
    <w:rsid w:val="002C3C71"/>
    <w:rsid w:val="002F45BF"/>
    <w:rsid w:val="00301C78"/>
    <w:rsid w:val="00302DDE"/>
    <w:rsid w:val="00303932"/>
    <w:rsid w:val="003052DE"/>
    <w:rsid w:val="003119FD"/>
    <w:rsid w:val="003127C4"/>
    <w:rsid w:val="00315E72"/>
    <w:rsid w:val="0032425B"/>
    <w:rsid w:val="00324D77"/>
    <w:rsid w:val="00327B7A"/>
    <w:rsid w:val="003301F0"/>
    <w:rsid w:val="00335479"/>
    <w:rsid w:val="0033680D"/>
    <w:rsid w:val="00341356"/>
    <w:rsid w:val="0034332E"/>
    <w:rsid w:val="00347F5F"/>
    <w:rsid w:val="003528F5"/>
    <w:rsid w:val="00357E63"/>
    <w:rsid w:val="00366AAD"/>
    <w:rsid w:val="00372F07"/>
    <w:rsid w:val="003826EA"/>
    <w:rsid w:val="00385E84"/>
    <w:rsid w:val="00386A76"/>
    <w:rsid w:val="00387C05"/>
    <w:rsid w:val="00390249"/>
    <w:rsid w:val="003917EF"/>
    <w:rsid w:val="003946DE"/>
    <w:rsid w:val="003953F7"/>
    <w:rsid w:val="003B20E6"/>
    <w:rsid w:val="003B2838"/>
    <w:rsid w:val="003B29C5"/>
    <w:rsid w:val="003B39F2"/>
    <w:rsid w:val="003C1129"/>
    <w:rsid w:val="003C6256"/>
    <w:rsid w:val="003D2855"/>
    <w:rsid w:val="003E271F"/>
    <w:rsid w:val="003E28D1"/>
    <w:rsid w:val="004001FF"/>
    <w:rsid w:val="00402845"/>
    <w:rsid w:val="0041222A"/>
    <w:rsid w:val="00414AA2"/>
    <w:rsid w:val="00420D3D"/>
    <w:rsid w:val="004216FC"/>
    <w:rsid w:val="00430A6D"/>
    <w:rsid w:val="004315D6"/>
    <w:rsid w:val="0043361F"/>
    <w:rsid w:val="00433B12"/>
    <w:rsid w:val="00434D58"/>
    <w:rsid w:val="00444A62"/>
    <w:rsid w:val="00445249"/>
    <w:rsid w:val="004469C5"/>
    <w:rsid w:val="004470C7"/>
    <w:rsid w:val="00450A9D"/>
    <w:rsid w:val="0045590E"/>
    <w:rsid w:val="004565D5"/>
    <w:rsid w:val="004575EC"/>
    <w:rsid w:val="00462D7D"/>
    <w:rsid w:val="0046549E"/>
    <w:rsid w:val="00465987"/>
    <w:rsid w:val="004668C1"/>
    <w:rsid w:val="00471E91"/>
    <w:rsid w:val="004804E2"/>
    <w:rsid w:val="0048349D"/>
    <w:rsid w:val="004871A3"/>
    <w:rsid w:val="00487547"/>
    <w:rsid w:val="00492DC6"/>
    <w:rsid w:val="00494734"/>
    <w:rsid w:val="004A0A62"/>
    <w:rsid w:val="004A26CF"/>
    <w:rsid w:val="004A5CEF"/>
    <w:rsid w:val="004A6523"/>
    <w:rsid w:val="004B2FD5"/>
    <w:rsid w:val="004C42DD"/>
    <w:rsid w:val="004D0E01"/>
    <w:rsid w:val="004D3AEE"/>
    <w:rsid w:val="004D539B"/>
    <w:rsid w:val="004E3257"/>
    <w:rsid w:val="004E43FC"/>
    <w:rsid w:val="004F1004"/>
    <w:rsid w:val="004F236A"/>
    <w:rsid w:val="004F2D65"/>
    <w:rsid w:val="005015C7"/>
    <w:rsid w:val="00502364"/>
    <w:rsid w:val="00504769"/>
    <w:rsid w:val="00506F22"/>
    <w:rsid w:val="00514E87"/>
    <w:rsid w:val="005349FE"/>
    <w:rsid w:val="005503A1"/>
    <w:rsid w:val="005544BC"/>
    <w:rsid w:val="00554A2F"/>
    <w:rsid w:val="00555E81"/>
    <w:rsid w:val="00557F2B"/>
    <w:rsid w:val="005650ED"/>
    <w:rsid w:val="00577978"/>
    <w:rsid w:val="0058384D"/>
    <w:rsid w:val="00593072"/>
    <w:rsid w:val="0059389B"/>
    <w:rsid w:val="005978FF"/>
    <w:rsid w:val="005A2981"/>
    <w:rsid w:val="005B220E"/>
    <w:rsid w:val="005B388B"/>
    <w:rsid w:val="005C128D"/>
    <w:rsid w:val="005C2056"/>
    <w:rsid w:val="005C3C78"/>
    <w:rsid w:val="005C7002"/>
    <w:rsid w:val="005C76C9"/>
    <w:rsid w:val="005D0701"/>
    <w:rsid w:val="005D124D"/>
    <w:rsid w:val="005D6E5E"/>
    <w:rsid w:val="005E0A37"/>
    <w:rsid w:val="005E7B21"/>
    <w:rsid w:val="005F1F7E"/>
    <w:rsid w:val="005F20C9"/>
    <w:rsid w:val="005F73E0"/>
    <w:rsid w:val="00603717"/>
    <w:rsid w:val="00613744"/>
    <w:rsid w:val="00617C49"/>
    <w:rsid w:val="00617D8E"/>
    <w:rsid w:val="00621FD4"/>
    <w:rsid w:val="00625522"/>
    <w:rsid w:val="0062679C"/>
    <w:rsid w:val="00627043"/>
    <w:rsid w:val="00634C98"/>
    <w:rsid w:val="00640D0F"/>
    <w:rsid w:val="00651E5A"/>
    <w:rsid w:val="00654112"/>
    <w:rsid w:val="00657C05"/>
    <w:rsid w:val="00663B76"/>
    <w:rsid w:val="00664A17"/>
    <w:rsid w:val="00666E9A"/>
    <w:rsid w:val="006677BE"/>
    <w:rsid w:val="006742D5"/>
    <w:rsid w:val="0068599C"/>
    <w:rsid w:val="0068771E"/>
    <w:rsid w:val="0069264C"/>
    <w:rsid w:val="0069543F"/>
    <w:rsid w:val="00695EA4"/>
    <w:rsid w:val="006A082A"/>
    <w:rsid w:val="006A0958"/>
    <w:rsid w:val="006A4399"/>
    <w:rsid w:val="006B0E10"/>
    <w:rsid w:val="006C33EF"/>
    <w:rsid w:val="006D3BBF"/>
    <w:rsid w:val="006D4AB6"/>
    <w:rsid w:val="006D72C5"/>
    <w:rsid w:val="006D74FD"/>
    <w:rsid w:val="006F0068"/>
    <w:rsid w:val="006F6DDA"/>
    <w:rsid w:val="007033D1"/>
    <w:rsid w:val="00703630"/>
    <w:rsid w:val="0071381C"/>
    <w:rsid w:val="00714FBC"/>
    <w:rsid w:val="00722A86"/>
    <w:rsid w:val="007254AD"/>
    <w:rsid w:val="007262F2"/>
    <w:rsid w:val="00732022"/>
    <w:rsid w:val="00734FD8"/>
    <w:rsid w:val="00751C5E"/>
    <w:rsid w:val="00762BCE"/>
    <w:rsid w:val="00770A6F"/>
    <w:rsid w:val="007736C5"/>
    <w:rsid w:val="00775A6A"/>
    <w:rsid w:val="00784A76"/>
    <w:rsid w:val="007873FA"/>
    <w:rsid w:val="00793434"/>
    <w:rsid w:val="00795FB4"/>
    <w:rsid w:val="007B3014"/>
    <w:rsid w:val="007B5F48"/>
    <w:rsid w:val="007C4E13"/>
    <w:rsid w:val="007D1204"/>
    <w:rsid w:val="007D25EE"/>
    <w:rsid w:val="007E059B"/>
    <w:rsid w:val="007E2120"/>
    <w:rsid w:val="007E7E75"/>
    <w:rsid w:val="007F36B6"/>
    <w:rsid w:val="007F5A58"/>
    <w:rsid w:val="008010C5"/>
    <w:rsid w:val="00822BFF"/>
    <w:rsid w:val="0083007D"/>
    <w:rsid w:val="00833C9E"/>
    <w:rsid w:val="008430D4"/>
    <w:rsid w:val="00843A5F"/>
    <w:rsid w:val="00856495"/>
    <w:rsid w:val="008619BC"/>
    <w:rsid w:val="00862244"/>
    <w:rsid w:val="008701F5"/>
    <w:rsid w:val="00874D8F"/>
    <w:rsid w:val="008752DC"/>
    <w:rsid w:val="00882E70"/>
    <w:rsid w:val="008839AA"/>
    <w:rsid w:val="00885CBA"/>
    <w:rsid w:val="008A2A0B"/>
    <w:rsid w:val="008A5375"/>
    <w:rsid w:val="008A5FF2"/>
    <w:rsid w:val="008B2B67"/>
    <w:rsid w:val="008B57C1"/>
    <w:rsid w:val="008C3663"/>
    <w:rsid w:val="008C4006"/>
    <w:rsid w:val="008C441B"/>
    <w:rsid w:val="008C5DFE"/>
    <w:rsid w:val="008D02A6"/>
    <w:rsid w:val="008D4ABB"/>
    <w:rsid w:val="008D6C2C"/>
    <w:rsid w:val="008D6E08"/>
    <w:rsid w:val="008D75DF"/>
    <w:rsid w:val="008F038C"/>
    <w:rsid w:val="008F6CB7"/>
    <w:rsid w:val="008F6FBC"/>
    <w:rsid w:val="008F7237"/>
    <w:rsid w:val="00907607"/>
    <w:rsid w:val="00910307"/>
    <w:rsid w:val="0091457A"/>
    <w:rsid w:val="0092186E"/>
    <w:rsid w:val="009229FD"/>
    <w:rsid w:val="00931C17"/>
    <w:rsid w:val="00936C1B"/>
    <w:rsid w:val="009505FF"/>
    <w:rsid w:val="00954C5E"/>
    <w:rsid w:val="00960A35"/>
    <w:rsid w:val="009619F3"/>
    <w:rsid w:val="009751CB"/>
    <w:rsid w:val="00977952"/>
    <w:rsid w:val="00980F5A"/>
    <w:rsid w:val="0098103E"/>
    <w:rsid w:val="0098203A"/>
    <w:rsid w:val="00994D03"/>
    <w:rsid w:val="0099681D"/>
    <w:rsid w:val="009968D0"/>
    <w:rsid w:val="009A4161"/>
    <w:rsid w:val="009B1333"/>
    <w:rsid w:val="009B3EC3"/>
    <w:rsid w:val="009B436D"/>
    <w:rsid w:val="009B4612"/>
    <w:rsid w:val="009B5529"/>
    <w:rsid w:val="009C6A61"/>
    <w:rsid w:val="009D2C9F"/>
    <w:rsid w:val="009D59F3"/>
    <w:rsid w:val="009E0D4D"/>
    <w:rsid w:val="009E38F2"/>
    <w:rsid w:val="009F20ED"/>
    <w:rsid w:val="009F23F4"/>
    <w:rsid w:val="009F77A7"/>
    <w:rsid w:val="00A013EA"/>
    <w:rsid w:val="00A027FA"/>
    <w:rsid w:val="00A034ED"/>
    <w:rsid w:val="00A03C0C"/>
    <w:rsid w:val="00A04254"/>
    <w:rsid w:val="00A06815"/>
    <w:rsid w:val="00A06D08"/>
    <w:rsid w:val="00A15F88"/>
    <w:rsid w:val="00A25379"/>
    <w:rsid w:val="00A40E58"/>
    <w:rsid w:val="00A416DE"/>
    <w:rsid w:val="00A45494"/>
    <w:rsid w:val="00A50BA2"/>
    <w:rsid w:val="00A52C74"/>
    <w:rsid w:val="00A62473"/>
    <w:rsid w:val="00A63048"/>
    <w:rsid w:val="00A638B6"/>
    <w:rsid w:val="00A64752"/>
    <w:rsid w:val="00A65ACD"/>
    <w:rsid w:val="00A7283C"/>
    <w:rsid w:val="00A7508F"/>
    <w:rsid w:val="00A80877"/>
    <w:rsid w:val="00A87EAA"/>
    <w:rsid w:val="00A96302"/>
    <w:rsid w:val="00AA22CA"/>
    <w:rsid w:val="00AA333F"/>
    <w:rsid w:val="00AA489E"/>
    <w:rsid w:val="00AA6B5B"/>
    <w:rsid w:val="00AB6214"/>
    <w:rsid w:val="00AB693B"/>
    <w:rsid w:val="00AC3D67"/>
    <w:rsid w:val="00AC4B6D"/>
    <w:rsid w:val="00AD5E61"/>
    <w:rsid w:val="00AE097E"/>
    <w:rsid w:val="00AE192C"/>
    <w:rsid w:val="00AE4CD6"/>
    <w:rsid w:val="00AE5F98"/>
    <w:rsid w:val="00AE7111"/>
    <w:rsid w:val="00B01F7F"/>
    <w:rsid w:val="00B03266"/>
    <w:rsid w:val="00B05A65"/>
    <w:rsid w:val="00B11FBF"/>
    <w:rsid w:val="00B12D29"/>
    <w:rsid w:val="00B13A62"/>
    <w:rsid w:val="00B13DD0"/>
    <w:rsid w:val="00B14A51"/>
    <w:rsid w:val="00B14B48"/>
    <w:rsid w:val="00B249B6"/>
    <w:rsid w:val="00B31E71"/>
    <w:rsid w:val="00B33ACC"/>
    <w:rsid w:val="00B3541D"/>
    <w:rsid w:val="00B426C6"/>
    <w:rsid w:val="00B4366A"/>
    <w:rsid w:val="00B46716"/>
    <w:rsid w:val="00B51E96"/>
    <w:rsid w:val="00B51FF0"/>
    <w:rsid w:val="00B635B5"/>
    <w:rsid w:val="00B645F6"/>
    <w:rsid w:val="00B70C4D"/>
    <w:rsid w:val="00B71330"/>
    <w:rsid w:val="00B74111"/>
    <w:rsid w:val="00B74429"/>
    <w:rsid w:val="00B768E4"/>
    <w:rsid w:val="00B8588D"/>
    <w:rsid w:val="00BB078F"/>
    <w:rsid w:val="00BB240E"/>
    <w:rsid w:val="00BB4F17"/>
    <w:rsid w:val="00BC076E"/>
    <w:rsid w:val="00BD1D06"/>
    <w:rsid w:val="00BD30A0"/>
    <w:rsid w:val="00BD3F64"/>
    <w:rsid w:val="00BE610C"/>
    <w:rsid w:val="00BF0399"/>
    <w:rsid w:val="00C02550"/>
    <w:rsid w:val="00C05155"/>
    <w:rsid w:val="00C07C0D"/>
    <w:rsid w:val="00C15192"/>
    <w:rsid w:val="00C17E52"/>
    <w:rsid w:val="00C31768"/>
    <w:rsid w:val="00C334E9"/>
    <w:rsid w:val="00C36035"/>
    <w:rsid w:val="00C36A43"/>
    <w:rsid w:val="00C415C2"/>
    <w:rsid w:val="00C4652E"/>
    <w:rsid w:val="00C537AE"/>
    <w:rsid w:val="00C54064"/>
    <w:rsid w:val="00C557A9"/>
    <w:rsid w:val="00C55DE2"/>
    <w:rsid w:val="00C61280"/>
    <w:rsid w:val="00C658F8"/>
    <w:rsid w:val="00C73924"/>
    <w:rsid w:val="00C73EF4"/>
    <w:rsid w:val="00C76708"/>
    <w:rsid w:val="00C802B1"/>
    <w:rsid w:val="00C81E02"/>
    <w:rsid w:val="00C9064E"/>
    <w:rsid w:val="00C925ED"/>
    <w:rsid w:val="00C92947"/>
    <w:rsid w:val="00C937E4"/>
    <w:rsid w:val="00CA0326"/>
    <w:rsid w:val="00CA5833"/>
    <w:rsid w:val="00CA646D"/>
    <w:rsid w:val="00CB1C0B"/>
    <w:rsid w:val="00CB4CC1"/>
    <w:rsid w:val="00CC1E8D"/>
    <w:rsid w:val="00CC5481"/>
    <w:rsid w:val="00CC778E"/>
    <w:rsid w:val="00CD075A"/>
    <w:rsid w:val="00CD0C22"/>
    <w:rsid w:val="00CD0C85"/>
    <w:rsid w:val="00CD23E8"/>
    <w:rsid w:val="00CE40BD"/>
    <w:rsid w:val="00CE45CE"/>
    <w:rsid w:val="00CF3A48"/>
    <w:rsid w:val="00D0537A"/>
    <w:rsid w:val="00D06D10"/>
    <w:rsid w:val="00D167C7"/>
    <w:rsid w:val="00D338E5"/>
    <w:rsid w:val="00D36A05"/>
    <w:rsid w:val="00D372A5"/>
    <w:rsid w:val="00D37CD7"/>
    <w:rsid w:val="00D407AB"/>
    <w:rsid w:val="00D5163C"/>
    <w:rsid w:val="00D564B3"/>
    <w:rsid w:val="00D5775E"/>
    <w:rsid w:val="00D6210E"/>
    <w:rsid w:val="00D64040"/>
    <w:rsid w:val="00D66BC3"/>
    <w:rsid w:val="00D72687"/>
    <w:rsid w:val="00D746A4"/>
    <w:rsid w:val="00D7700B"/>
    <w:rsid w:val="00D80483"/>
    <w:rsid w:val="00D859ED"/>
    <w:rsid w:val="00D910EF"/>
    <w:rsid w:val="00D94D27"/>
    <w:rsid w:val="00D94DBC"/>
    <w:rsid w:val="00DA098C"/>
    <w:rsid w:val="00DA329F"/>
    <w:rsid w:val="00DB23D5"/>
    <w:rsid w:val="00DB74F6"/>
    <w:rsid w:val="00DC36C7"/>
    <w:rsid w:val="00DC7FAC"/>
    <w:rsid w:val="00DD06C6"/>
    <w:rsid w:val="00DD49D5"/>
    <w:rsid w:val="00DD7589"/>
    <w:rsid w:val="00DE2B3B"/>
    <w:rsid w:val="00DE6CD1"/>
    <w:rsid w:val="00DF1052"/>
    <w:rsid w:val="00DF1181"/>
    <w:rsid w:val="00DF4381"/>
    <w:rsid w:val="00DF44A9"/>
    <w:rsid w:val="00DF62B8"/>
    <w:rsid w:val="00E039B5"/>
    <w:rsid w:val="00E03FC3"/>
    <w:rsid w:val="00E07147"/>
    <w:rsid w:val="00E110EB"/>
    <w:rsid w:val="00E1492F"/>
    <w:rsid w:val="00E204B2"/>
    <w:rsid w:val="00E3177D"/>
    <w:rsid w:val="00E32C85"/>
    <w:rsid w:val="00E370A8"/>
    <w:rsid w:val="00E541DF"/>
    <w:rsid w:val="00E57536"/>
    <w:rsid w:val="00E623CE"/>
    <w:rsid w:val="00E62909"/>
    <w:rsid w:val="00E62FF4"/>
    <w:rsid w:val="00E65577"/>
    <w:rsid w:val="00E859BB"/>
    <w:rsid w:val="00E91F26"/>
    <w:rsid w:val="00E95C20"/>
    <w:rsid w:val="00EA09D3"/>
    <w:rsid w:val="00EB0419"/>
    <w:rsid w:val="00EC133F"/>
    <w:rsid w:val="00EC599F"/>
    <w:rsid w:val="00EC77B2"/>
    <w:rsid w:val="00ED5946"/>
    <w:rsid w:val="00ED6506"/>
    <w:rsid w:val="00EF02A2"/>
    <w:rsid w:val="00EF23A8"/>
    <w:rsid w:val="00F00248"/>
    <w:rsid w:val="00F012E1"/>
    <w:rsid w:val="00F06696"/>
    <w:rsid w:val="00F109BE"/>
    <w:rsid w:val="00F11812"/>
    <w:rsid w:val="00F11FAC"/>
    <w:rsid w:val="00F30950"/>
    <w:rsid w:val="00F31BC9"/>
    <w:rsid w:val="00F37740"/>
    <w:rsid w:val="00F41E02"/>
    <w:rsid w:val="00F42237"/>
    <w:rsid w:val="00F54E05"/>
    <w:rsid w:val="00F5573F"/>
    <w:rsid w:val="00F65202"/>
    <w:rsid w:val="00F80780"/>
    <w:rsid w:val="00F81159"/>
    <w:rsid w:val="00F8376D"/>
    <w:rsid w:val="00F85127"/>
    <w:rsid w:val="00F86330"/>
    <w:rsid w:val="00F900D2"/>
    <w:rsid w:val="00F90215"/>
    <w:rsid w:val="00F97DBD"/>
    <w:rsid w:val="00FA0E56"/>
    <w:rsid w:val="00FA6B9F"/>
    <w:rsid w:val="00FA7816"/>
    <w:rsid w:val="00FB2979"/>
    <w:rsid w:val="00FB4300"/>
    <w:rsid w:val="00FB4B99"/>
    <w:rsid w:val="00FB787D"/>
    <w:rsid w:val="00FB7F6C"/>
    <w:rsid w:val="00FD097C"/>
    <w:rsid w:val="00FE26E0"/>
    <w:rsid w:val="00FF2809"/>
    <w:rsid w:val="00FF3242"/>
    <w:rsid w:val="00FF4602"/>
    <w:rsid w:val="00FF5453"/>
    <w:rsid w:val="00FF60B6"/>
    <w:rsid w:val="00FF63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8E8"/>
    <w:rPr>
      <w:color w:val="0563C1" w:themeColor="hyperlink"/>
      <w:u w:val="single"/>
    </w:rPr>
  </w:style>
  <w:style w:type="paragraph" w:styleId="ListParagraph">
    <w:name w:val="List Paragraph"/>
    <w:basedOn w:val="Normal"/>
    <w:uiPriority w:val="34"/>
    <w:qFormat/>
    <w:rsid w:val="00D338E5"/>
    <w:pPr>
      <w:ind w:left="720"/>
      <w:contextualSpacing/>
    </w:pPr>
  </w:style>
  <w:style w:type="paragraph" w:styleId="FootnoteText">
    <w:name w:val="footnote text"/>
    <w:basedOn w:val="Normal"/>
    <w:link w:val="FootnoteTextChar"/>
    <w:uiPriority w:val="99"/>
    <w:unhideWhenUsed/>
    <w:rsid w:val="009C6A6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C6A61"/>
    <w:rPr>
      <w:sz w:val="20"/>
      <w:szCs w:val="20"/>
      <w:lang w:val="en-US"/>
    </w:rPr>
  </w:style>
  <w:style w:type="character" w:styleId="FootnoteReference">
    <w:name w:val="footnote reference"/>
    <w:basedOn w:val="DefaultParagraphFont"/>
    <w:uiPriority w:val="99"/>
    <w:unhideWhenUsed/>
    <w:rsid w:val="009C6A61"/>
    <w:rPr>
      <w:vertAlign w:val="superscript"/>
    </w:rPr>
  </w:style>
  <w:style w:type="table" w:styleId="TableGrid">
    <w:name w:val="Table Grid"/>
    <w:basedOn w:val="TableNormal"/>
    <w:uiPriority w:val="39"/>
    <w:rsid w:val="00315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8E8"/>
    <w:rPr>
      <w:color w:val="0563C1" w:themeColor="hyperlink"/>
      <w:u w:val="single"/>
    </w:rPr>
  </w:style>
  <w:style w:type="paragraph" w:styleId="ListParagraph">
    <w:name w:val="List Paragraph"/>
    <w:basedOn w:val="Normal"/>
    <w:uiPriority w:val="34"/>
    <w:qFormat/>
    <w:rsid w:val="00D338E5"/>
    <w:pPr>
      <w:ind w:left="720"/>
      <w:contextualSpacing/>
    </w:pPr>
  </w:style>
  <w:style w:type="paragraph" w:styleId="FootnoteText">
    <w:name w:val="footnote text"/>
    <w:basedOn w:val="Normal"/>
    <w:link w:val="FootnoteTextChar"/>
    <w:uiPriority w:val="99"/>
    <w:unhideWhenUsed/>
    <w:rsid w:val="009C6A6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C6A61"/>
    <w:rPr>
      <w:sz w:val="20"/>
      <w:szCs w:val="20"/>
      <w:lang w:val="en-US"/>
    </w:rPr>
  </w:style>
  <w:style w:type="character" w:styleId="FootnoteReference">
    <w:name w:val="footnote reference"/>
    <w:basedOn w:val="DefaultParagraphFont"/>
    <w:uiPriority w:val="99"/>
    <w:unhideWhenUsed/>
    <w:rsid w:val="009C6A61"/>
    <w:rPr>
      <w:vertAlign w:val="superscript"/>
    </w:rPr>
  </w:style>
  <w:style w:type="table" w:styleId="TableGrid">
    <w:name w:val="Table Grid"/>
    <w:basedOn w:val="TableNormal"/>
    <w:uiPriority w:val="39"/>
    <w:rsid w:val="00315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inab.zilullah@gmail.com" TargetMode="External"/><Relationship Id="rId5" Type="http://schemas.openxmlformats.org/officeDocument/2006/relationships/settings" Target="settings.xml"/><Relationship Id="rId10" Type="http://schemas.openxmlformats.org/officeDocument/2006/relationships/hyperlink" Target="mailto:zeranggi.reza@gmail.com" TargetMode="External"/><Relationship Id="rId4" Type="http://schemas.microsoft.com/office/2007/relationships/stylesWithEffects" Target="stylesWithEffects.xml"/><Relationship Id="rId9" Type="http://schemas.openxmlformats.org/officeDocument/2006/relationships/hyperlink" Target="mailto:nurulkhair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AA93-9EF6-4A7B-A95D-EFEA6F83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24</Pages>
  <Words>7114</Words>
  <Characters>40555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497</cp:revision>
  <dcterms:created xsi:type="dcterms:W3CDTF">2020-05-28T11:57:00Z</dcterms:created>
  <dcterms:modified xsi:type="dcterms:W3CDTF">2020-07-03T09:52:00Z</dcterms:modified>
</cp:coreProperties>
</file>