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E81B" w14:textId="77777777" w:rsidR="00E27997" w:rsidRPr="003F4D08" w:rsidRDefault="00460E99" w:rsidP="001A0F31">
      <w:pPr>
        <w:jc w:val="center"/>
        <w:rPr>
          <w:b/>
          <w:noProof/>
        </w:rPr>
      </w:pPr>
      <w:bookmarkStart w:id="0" w:name="_GoBack"/>
      <w:bookmarkEnd w:id="0"/>
      <w:r w:rsidRPr="003F4D08">
        <w:rPr>
          <w:b/>
          <w:noProof/>
        </w:rPr>
        <w:t xml:space="preserve">Evaluation of </w:t>
      </w:r>
      <w:r w:rsidR="000A33F7" w:rsidRPr="003F4D08">
        <w:rPr>
          <w:b/>
          <w:noProof/>
        </w:rPr>
        <w:t>Language Learning Strategies</w:t>
      </w:r>
      <w:r w:rsidRPr="003F4D08">
        <w:rPr>
          <w:b/>
          <w:noProof/>
        </w:rPr>
        <w:t xml:space="preserve"> Used </w:t>
      </w:r>
      <w:r w:rsidR="00213ECC" w:rsidRPr="003F4D08">
        <w:rPr>
          <w:b/>
          <w:noProof/>
        </w:rPr>
        <w:t>by English Students</w:t>
      </w:r>
    </w:p>
    <w:p w14:paraId="3CD78012" w14:textId="050A42C8" w:rsidR="00460E99" w:rsidRPr="003F4D08" w:rsidRDefault="00213ECC" w:rsidP="001A0F31">
      <w:pPr>
        <w:jc w:val="center"/>
        <w:rPr>
          <w:b/>
          <w:noProof/>
        </w:rPr>
      </w:pPr>
      <w:r w:rsidRPr="003F4D08">
        <w:rPr>
          <w:b/>
          <w:noProof/>
        </w:rPr>
        <w:t xml:space="preserve"> of FKIP Universitas Jambi</w:t>
      </w:r>
    </w:p>
    <w:p w14:paraId="4B80E166" w14:textId="6A357CA3" w:rsidR="00460E99" w:rsidRPr="00E95D17" w:rsidRDefault="00460E99" w:rsidP="001A0F31">
      <w:pPr>
        <w:jc w:val="center"/>
        <w:rPr>
          <w:i/>
          <w:noProof/>
          <w:sz w:val="22"/>
          <w:szCs w:val="22"/>
        </w:rPr>
      </w:pPr>
      <w:r w:rsidRPr="00E95D17">
        <w:rPr>
          <w:i/>
          <w:noProof/>
          <w:sz w:val="22"/>
          <w:szCs w:val="22"/>
        </w:rPr>
        <w:t xml:space="preserve">Bunga Ayu Wulandari, SPd, MEIL, </w:t>
      </w:r>
      <w:r w:rsidR="00EC5739" w:rsidRPr="00E95D17">
        <w:rPr>
          <w:i/>
          <w:noProof/>
          <w:sz w:val="22"/>
          <w:szCs w:val="22"/>
        </w:rPr>
        <w:t>PhD</w:t>
      </w:r>
    </w:p>
    <w:p w14:paraId="77889A44" w14:textId="0A7F7C11" w:rsidR="008A53C7" w:rsidRPr="00E95D17" w:rsidRDefault="008A53C7" w:rsidP="001A0F31">
      <w:pPr>
        <w:jc w:val="center"/>
        <w:rPr>
          <w:i/>
          <w:noProof/>
          <w:sz w:val="22"/>
          <w:szCs w:val="22"/>
        </w:rPr>
      </w:pPr>
      <w:r w:rsidRPr="00E95D17">
        <w:rPr>
          <w:i/>
          <w:noProof/>
          <w:sz w:val="22"/>
          <w:szCs w:val="22"/>
        </w:rPr>
        <w:t>Universitas Jambi</w:t>
      </w:r>
    </w:p>
    <w:p w14:paraId="55E6974F" w14:textId="0A47A637" w:rsidR="00186719" w:rsidRPr="00E95D17" w:rsidRDefault="00186719" w:rsidP="00186719">
      <w:pPr>
        <w:jc w:val="center"/>
        <w:rPr>
          <w:i/>
          <w:noProof/>
          <w:sz w:val="22"/>
          <w:szCs w:val="22"/>
        </w:rPr>
      </w:pPr>
      <w:r w:rsidRPr="00E95D17">
        <w:rPr>
          <w:i/>
          <w:noProof/>
          <w:sz w:val="22"/>
          <w:szCs w:val="22"/>
        </w:rPr>
        <w:t>bunga_ad@yahoo.com/081278905995</w:t>
      </w:r>
    </w:p>
    <w:p w14:paraId="756F9CFD" w14:textId="77777777" w:rsidR="00186719" w:rsidRPr="00E95D17" w:rsidRDefault="00186719" w:rsidP="001A0F31">
      <w:pPr>
        <w:jc w:val="center"/>
        <w:rPr>
          <w:i/>
          <w:noProof/>
          <w:sz w:val="22"/>
          <w:szCs w:val="22"/>
        </w:rPr>
      </w:pPr>
    </w:p>
    <w:p w14:paraId="325900B1" w14:textId="77777777" w:rsidR="00460E99" w:rsidRPr="00E95D17" w:rsidRDefault="00460E99" w:rsidP="001A0F31">
      <w:pPr>
        <w:jc w:val="both"/>
        <w:rPr>
          <w:b/>
          <w:noProof/>
          <w:sz w:val="22"/>
          <w:szCs w:val="22"/>
        </w:rPr>
      </w:pPr>
    </w:p>
    <w:p w14:paraId="3BBFF2EB" w14:textId="14C9EE57" w:rsidR="007855C9" w:rsidRDefault="00931012" w:rsidP="006A68C7">
      <w:pPr>
        <w:spacing w:line="360" w:lineRule="auto"/>
        <w:jc w:val="both"/>
        <w:rPr>
          <w:noProof/>
          <w:sz w:val="18"/>
          <w:szCs w:val="18"/>
        </w:rPr>
      </w:pPr>
      <w:r w:rsidRPr="001A2D69">
        <w:rPr>
          <w:noProof/>
          <w:sz w:val="18"/>
          <w:szCs w:val="18"/>
        </w:rPr>
        <w:t xml:space="preserve">This research investigates the language </w:t>
      </w:r>
      <w:r w:rsidR="003C3AAC" w:rsidRPr="001A2D69">
        <w:rPr>
          <w:noProof/>
          <w:sz w:val="18"/>
          <w:szCs w:val="18"/>
        </w:rPr>
        <w:t>learning strategies</w:t>
      </w:r>
      <w:r w:rsidR="00C77FDB" w:rsidRPr="001A2D69">
        <w:rPr>
          <w:noProof/>
          <w:sz w:val="18"/>
          <w:szCs w:val="18"/>
        </w:rPr>
        <w:t xml:space="preserve"> used by English students of F</w:t>
      </w:r>
      <w:r w:rsidR="00213ECC" w:rsidRPr="001A2D69">
        <w:rPr>
          <w:noProof/>
          <w:sz w:val="18"/>
          <w:szCs w:val="18"/>
        </w:rPr>
        <w:t xml:space="preserve">akultas </w:t>
      </w:r>
      <w:r w:rsidR="00C77FDB" w:rsidRPr="001A2D69">
        <w:rPr>
          <w:noProof/>
          <w:sz w:val="18"/>
          <w:szCs w:val="18"/>
        </w:rPr>
        <w:t>K</w:t>
      </w:r>
      <w:r w:rsidR="00213ECC" w:rsidRPr="001A2D69">
        <w:rPr>
          <w:noProof/>
          <w:sz w:val="18"/>
          <w:szCs w:val="18"/>
        </w:rPr>
        <w:t xml:space="preserve">eguruan dan </w:t>
      </w:r>
      <w:r w:rsidR="00C77FDB" w:rsidRPr="001A2D69">
        <w:rPr>
          <w:noProof/>
          <w:sz w:val="18"/>
          <w:szCs w:val="18"/>
        </w:rPr>
        <w:t>I</w:t>
      </w:r>
      <w:r w:rsidR="00213ECC" w:rsidRPr="001A2D69">
        <w:rPr>
          <w:noProof/>
          <w:sz w:val="18"/>
          <w:szCs w:val="18"/>
        </w:rPr>
        <w:t xml:space="preserve">lmu </w:t>
      </w:r>
      <w:r w:rsidR="00C77FDB" w:rsidRPr="001A2D69">
        <w:rPr>
          <w:noProof/>
          <w:sz w:val="18"/>
          <w:szCs w:val="18"/>
        </w:rPr>
        <w:t>P</w:t>
      </w:r>
      <w:r w:rsidR="00213ECC" w:rsidRPr="001A2D69">
        <w:rPr>
          <w:noProof/>
          <w:sz w:val="18"/>
          <w:szCs w:val="18"/>
        </w:rPr>
        <w:t>endidikan (FKIP)</w:t>
      </w:r>
      <w:r w:rsidR="00C77FDB" w:rsidRPr="001A2D69">
        <w:rPr>
          <w:noProof/>
          <w:sz w:val="18"/>
          <w:szCs w:val="18"/>
        </w:rPr>
        <w:t xml:space="preserve"> Un</w:t>
      </w:r>
      <w:r w:rsidR="00213ECC" w:rsidRPr="001A2D69">
        <w:rPr>
          <w:noProof/>
          <w:sz w:val="18"/>
          <w:szCs w:val="18"/>
        </w:rPr>
        <w:t>iversitas J</w:t>
      </w:r>
      <w:r w:rsidR="00C77FDB" w:rsidRPr="001A2D69">
        <w:rPr>
          <w:noProof/>
          <w:sz w:val="18"/>
          <w:szCs w:val="18"/>
        </w:rPr>
        <w:t>a</w:t>
      </w:r>
      <w:r w:rsidR="001032FA" w:rsidRPr="001A2D69">
        <w:rPr>
          <w:noProof/>
          <w:sz w:val="18"/>
          <w:szCs w:val="18"/>
        </w:rPr>
        <w:t>mbi</w:t>
      </w:r>
      <w:r w:rsidR="00C77FDB" w:rsidRPr="001A2D69">
        <w:rPr>
          <w:noProof/>
          <w:sz w:val="18"/>
          <w:szCs w:val="18"/>
        </w:rPr>
        <w:t xml:space="preserve">. </w:t>
      </w:r>
      <w:r w:rsidR="003645A9" w:rsidRPr="001A2D69">
        <w:rPr>
          <w:noProof/>
          <w:sz w:val="18"/>
          <w:szCs w:val="18"/>
        </w:rPr>
        <w:t>L</w:t>
      </w:r>
      <w:r w:rsidR="00B60582" w:rsidRPr="001A2D69">
        <w:rPr>
          <w:noProof/>
          <w:sz w:val="18"/>
          <w:szCs w:val="18"/>
        </w:rPr>
        <w:t>anguage l</w:t>
      </w:r>
      <w:r w:rsidR="006308ED" w:rsidRPr="001A2D69">
        <w:rPr>
          <w:noProof/>
          <w:sz w:val="18"/>
          <w:szCs w:val="18"/>
        </w:rPr>
        <w:t xml:space="preserve">earning strategies, according to Scarcela and Oxford (1992), are defined as “specific actions, behaviours, steps, or techniques such as seeking out </w:t>
      </w:r>
      <w:r w:rsidR="005B571E" w:rsidRPr="001A2D69">
        <w:rPr>
          <w:noProof/>
          <w:sz w:val="18"/>
          <w:szCs w:val="18"/>
        </w:rPr>
        <w:t xml:space="preserve">conversation </w:t>
      </w:r>
      <w:r w:rsidR="00E27F46" w:rsidRPr="001A2D69">
        <w:rPr>
          <w:noProof/>
          <w:sz w:val="18"/>
          <w:szCs w:val="18"/>
        </w:rPr>
        <w:t>pa</w:t>
      </w:r>
      <w:r w:rsidR="00723CDE" w:rsidRPr="001A2D69">
        <w:rPr>
          <w:noProof/>
          <w:sz w:val="18"/>
          <w:szCs w:val="18"/>
        </w:rPr>
        <w:t>rtners, or giving oneself encouragement to tackle a dif</w:t>
      </w:r>
      <w:r w:rsidR="003A07F6" w:rsidRPr="001A2D69">
        <w:rPr>
          <w:noProof/>
          <w:sz w:val="18"/>
          <w:szCs w:val="18"/>
        </w:rPr>
        <w:t>f</w:t>
      </w:r>
      <w:r w:rsidR="00723CDE" w:rsidRPr="001A2D69">
        <w:rPr>
          <w:noProof/>
          <w:sz w:val="18"/>
          <w:szCs w:val="18"/>
        </w:rPr>
        <w:t>icult language task</w:t>
      </w:r>
      <w:r w:rsidR="00C617DE" w:rsidRPr="001A2D69">
        <w:rPr>
          <w:noProof/>
          <w:sz w:val="18"/>
          <w:szCs w:val="18"/>
        </w:rPr>
        <w:t xml:space="preserve"> – used by students to enhance </w:t>
      </w:r>
      <w:r w:rsidR="00D9794C" w:rsidRPr="001A2D69">
        <w:rPr>
          <w:noProof/>
          <w:sz w:val="18"/>
          <w:szCs w:val="18"/>
        </w:rPr>
        <w:t>their own lear</w:t>
      </w:r>
      <w:r w:rsidR="000E5580" w:rsidRPr="001A2D69">
        <w:rPr>
          <w:noProof/>
          <w:sz w:val="18"/>
          <w:szCs w:val="18"/>
        </w:rPr>
        <w:t>ning</w:t>
      </w:r>
      <w:r w:rsidR="00AC352A" w:rsidRPr="001A2D69">
        <w:rPr>
          <w:noProof/>
          <w:sz w:val="18"/>
          <w:szCs w:val="18"/>
        </w:rPr>
        <w:t>” (</w:t>
      </w:r>
      <w:r w:rsidR="003148A7" w:rsidRPr="001A2D69">
        <w:rPr>
          <w:noProof/>
          <w:sz w:val="18"/>
          <w:szCs w:val="18"/>
        </w:rPr>
        <w:t xml:space="preserve">p. 63). </w:t>
      </w:r>
      <w:r w:rsidR="00E1694E" w:rsidRPr="001A2D69">
        <w:rPr>
          <w:noProof/>
          <w:sz w:val="18"/>
          <w:szCs w:val="18"/>
        </w:rPr>
        <w:t xml:space="preserve">Oxford (1990) classified language learning strategies into two categories: </w:t>
      </w:r>
      <w:r w:rsidR="000967B9" w:rsidRPr="001A2D69">
        <w:rPr>
          <w:noProof/>
          <w:sz w:val="18"/>
          <w:szCs w:val="18"/>
        </w:rPr>
        <w:t>direct and</w:t>
      </w:r>
      <w:r w:rsidR="009D6D6A" w:rsidRPr="001A2D69">
        <w:rPr>
          <w:noProof/>
          <w:sz w:val="18"/>
          <w:szCs w:val="18"/>
        </w:rPr>
        <w:t xml:space="preserve"> indirect strategies. Direct strategies comprise </w:t>
      </w:r>
      <w:r w:rsidR="009D6D6A" w:rsidRPr="001A2D69">
        <w:rPr>
          <w:i/>
          <w:noProof/>
          <w:sz w:val="18"/>
          <w:szCs w:val="18"/>
        </w:rPr>
        <w:t>memory</w:t>
      </w:r>
      <w:r w:rsidR="009D6D6A" w:rsidRPr="001A2D69">
        <w:rPr>
          <w:noProof/>
          <w:sz w:val="18"/>
          <w:szCs w:val="18"/>
        </w:rPr>
        <w:t xml:space="preserve">, </w:t>
      </w:r>
      <w:r w:rsidR="009D6D6A" w:rsidRPr="001A2D69">
        <w:rPr>
          <w:i/>
          <w:noProof/>
          <w:sz w:val="18"/>
          <w:szCs w:val="18"/>
        </w:rPr>
        <w:t>cognitive</w:t>
      </w:r>
      <w:r w:rsidR="009D6D6A" w:rsidRPr="001A2D69">
        <w:rPr>
          <w:noProof/>
          <w:sz w:val="18"/>
          <w:szCs w:val="18"/>
        </w:rPr>
        <w:t xml:space="preserve"> and </w:t>
      </w:r>
      <w:r w:rsidR="009D6D6A" w:rsidRPr="001A2D69">
        <w:rPr>
          <w:i/>
          <w:noProof/>
          <w:sz w:val="18"/>
          <w:szCs w:val="18"/>
        </w:rPr>
        <w:t>compensation</w:t>
      </w:r>
      <w:r w:rsidR="009D6D6A" w:rsidRPr="001A2D69">
        <w:rPr>
          <w:noProof/>
          <w:sz w:val="18"/>
          <w:szCs w:val="18"/>
        </w:rPr>
        <w:t xml:space="preserve"> strategies while indirect strategies </w:t>
      </w:r>
      <w:r w:rsidR="00466169" w:rsidRPr="001A2D69">
        <w:rPr>
          <w:noProof/>
          <w:sz w:val="18"/>
          <w:szCs w:val="18"/>
        </w:rPr>
        <w:t xml:space="preserve">consist of </w:t>
      </w:r>
      <w:r w:rsidR="00466169" w:rsidRPr="001A2D69">
        <w:rPr>
          <w:i/>
          <w:noProof/>
          <w:sz w:val="18"/>
          <w:szCs w:val="18"/>
        </w:rPr>
        <w:t>metacognitive</w:t>
      </w:r>
      <w:r w:rsidR="00466169" w:rsidRPr="001A2D69">
        <w:rPr>
          <w:noProof/>
          <w:sz w:val="18"/>
          <w:szCs w:val="18"/>
        </w:rPr>
        <w:t xml:space="preserve">, </w:t>
      </w:r>
      <w:r w:rsidR="00466169" w:rsidRPr="001A2D69">
        <w:rPr>
          <w:i/>
          <w:noProof/>
          <w:sz w:val="18"/>
          <w:szCs w:val="18"/>
        </w:rPr>
        <w:t>affective</w:t>
      </w:r>
      <w:r w:rsidR="00466169" w:rsidRPr="001A2D69">
        <w:rPr>
          <w:noProof/>
          <w:sz w:val="18"/>
          <w:szCs w:val="18"/>
        </w:rPr>
        <w:t xml:space="preserve">, and </w:t>
      </w:r>
      <w:r w:rsidR="00466169" w:rsidRPr="001A2D69">
        <w:rPr>
          <w:i/>
          <w:noProof/>
          <w:sz w:val="18"/>
          <w:szCs w:val="18"/>
        </w:rPr>
        <w:t>social strategies</w:t>
      </w:r>
      <w:r w:rsidR="00466169" w:rsidRPr="001A2D69">
        <w:rPr>
          <w:noProof/>
          <w:sz w:val="18"/>
          <w:szCs w:val="18"/>
        </w:rPr>
        <w:t xml:space="preserve"> (Oxford, 1990). </w:t>
      </w:r>
      <w:r w:rsidR="00F9716A" w:rsidRPr="001A2D69">
        <w:rPr>
          <w:noProof/>
          <w:sz w:val="18"/>
          <w:szCs w:val="18"/>
        </w:rPr>
        <w:t xml:space="preserve">This research used the </w:t>
      </w:r>
      <w:r w:rsidR="000D14C3" w:rsidRPr="001A2D69">
        <w:rPr>
          <w:noProof/>
          <w:sz w:val="18"/>
          <w:szCs w:val="18"/>
        </w:rPr>
        <w:t>S</w:t>
      </w:r>
      <w:r w:rsidR="00841F65" w:rsidRPr="001A2D69">
        <w:rPr>
          <w:noProof/>
          <w:sz w:val="18"/>
          <w:szCs w:val="18"/>
        </w:rPr>
        <w:t>trategy</w:t>
      </w:r>
      <w:r w:rsidR="000D14C3" w:rsidRPr="001A2D69">
        <w:rPr>
          <w:noProof/>
          <w:sz w:val="18"/>
          <w:szCs w:val="18"/>
        </w:rPr>
        <w:t xml:space="preserve"> Inventory for Language Learning (SILL) designed by Oxford (1990)</w:t>
      </w:r>
      <w:r w:rsidR="00636B94" w:rsidRPr="001A2D69">
        <w:rPr>
          <w:noProof/>
          <w:sz w:val="18"/>
          <w:szCs w:val="18"/>
        </w:rPr>
        <w:t xml:space="preserve"> to obtained </w:t>
      </w:r>
      <w:r w:rsidR="00F9716A" w:rsidRPr="001A2D69">
        <w:rPr>
          <w:noProof/>
          <w:sz w:val="18"/>
          <w:szCs w:val="18"/>
        </w:rPr>
        <w:t>data</w:t>
      </w:r>
      <w:r w:rsidR="00786E85" w:rsidRPr="001A2D69">
        <w:rPr>
          <w:noProof/>
          <w:sz w:val="18"/>
          <w:szCs w:val="18"/>
        </w:rPr>
        <w:t xml:space="preserve"> from </w:t>
      </w:r>
      <w:r w:rsidR="00CB425C" w:rsidRPr="001A2D69">
        <w:rPr>
          <w:noProof/>
          <w:sz w:val="18"/>
          <w:szCs w:val="18"/>
        </w:rPr>
        <w:t xml:space="preserve">85 students of </w:t>
      </w:r>
      <w:r w:rsidR="00EB4323" w:rsidRPr="001A2D69">
        <w:rPr>
          <w:noProof/>
          <w:sz w:val="18"/>
          <w:szCs w:val="18"/>
        </w:rPr>
        <w:t>the fifth semester</w:t>
      </w:r>
      <w:r w:rsidR="00C2247A">
        <w:rPr>
          <w:noProof/>
          <w:sz w:val="18"/>
          <w:szCs w:val="18"/>
        </w:rPr>
        <w:t xml:space="preserve"> class 2015</w:t>
      </w:r>
      <w:r w:rsidR="00EB4323" w:rsidRPr="001A2D69">
        <w:rPr>
          <w:noProof/>
          <w:sz w:val="18"/>
          <w:szCs w:val="18"/>
        </w:rPr>
        <w:t xml:space="preserve"> </w:t>
      </w:r>
      <w:r w:rsidR="00D630F9" w:rsidRPr="001A2D69">
        <w:rPr>
          <w:noProof/>
          <w:sz w:val="18"/>
          <w:szCs w:val="18"/>
        </w:rPr>
        <w:t>who study at English department.</w:t>
      </w:r>
      <w:r w:rsidR="00CB425C" w:rsidRPr="001A2D69">
        <w:rPr>
          <w:noProof/>
          <w:sz w:val="18"/>
          <w:szCs w:val="18"/>
        </w:rPr>
        <w:t xml:space="preserve"> </w:t>
      </w:r>
      <w:r w:rsidR="00E82B7C">
        <w:rPr>
          <w:noProof/>
          <w:sz w:val="18"/>
          <w:szCs w:val="18"/>
        </w:rPr>
        <w:t xml:space="preserve">The statistical </w:t>
      </w:r>
      <w:r w:rsidR="00D630F9" w:rsidRPr="001A2D69">
        <w:rPr>
          <w:noProof/>
          <w:sz w:val="18"/>
          <w:szCs w:val="18"/>
        </w:rPr>
        <w:t xml:space="preserve">analysis of the data revealed that </w:t>
      </w:r>
      <w:r w:rsidR="0093328D" w:rsidRPr="001A2D69">
        <w:rPr>
          <w:noProof/>
          <w:sz w:val="18"/>
          <w:szCs w:val="18"/>
        </w:rPr>
        <w:t>students opted for</w:t>
      </w:r>
      <w:r w:rsidR="00C34CBC" w:rsidRPr="001A2D69">
        <w:rPr>
          <w:noProof/>
          <w:sz w:val="18"/>
          <w:szCs w:val="18"/>
        </w:rPr>
        <w:t xml:space="preserve"> </w:t>
      </w:r>
      <w:r w:rsidR="00C34CBC" w:rsidRPr="001A2D69">
        <w:rPr>
          <w:i/>
          <w:noProof/>
          <w:sz w:val="18"/>
          <w:szCs w:val="18"/>
        </w:rPr>
        <w:t>metacognitive</w:t>
      </w:r>
      <w:r w:rsidR="00C34CBC" w:rsidRPr="001A2D69">
        <w:rPr>
          <w:noProof/>
          <w:sz w:val="18"/>
          <w:szCs w:val="18"/>
        </w:rPr>
        <w:t>,</w:t>
      </w:r>
      <w:r w:rsidR="0093328D" w:rsidRPr="001A2D69">
        <w:rPr>
          <w:noProof/>
          <w:sz w:val="18"/>
          <w:szCs w:val="18"/>
        </w:rPr>
        <w:t xml:space="preserve"> </w:t>
      </w:r>
      <w:r w:rsidR="003953A8" w:rsidRPr="001A2D69">
        <w:rPr>
          <w:i/>
          <w:noProof/>
          <w:sz w:val="18"/>
          <w:szCs w:val="18"/>
        </w:rPr>
        <w:t>cognitive</w:t>
      </w:r>
      <w:r w:rsidR="003953A8" w:rsidRPr="001A2D69">
        <w:rPr>
          <w:noProof/>
          <w:sz w:val="18"/>
          <w:szCs w:val="18"/>
        </w:rPr>
        <w:t xml:space="preserve">, </w:t>
      </w:r>
      <w:r w:rsidR="00C34CBC" w:rsidRPr="001A2D69">
        <w:rPr>
          <w:i/>
          <w:noProof/>
          <w:sz w:val="18"/>
          <w:szCs w:val="18"/>
        </w:rPr>
        <w:t>social</w:t>
      </w:r>
      <w:r w:rsidR="00C34CBC" w:rsidRPr="001A2D69">
        <w:rPr>
          <w:noProof/>
          <w:sz w:val="18"/>
          <w:szCs w:val="18"/>
        </w:rPr>
        <w:t xml:space="preserve">, </w:t>
      </w:r>
      <w:r w:rsidR="00C34CBC" w:rsidRPr="001A2D69">
        <w:rPr>
          <w:i/>
          <w:noProof/>
          <w:sz w:val="18"/>
          <w:szCs w:val="18"/>
        </w:rPr>
        <w:t>compensation</w:t>
      </w:r>
      <w:r w:rsidR="00C34CBC" w:rsidRPr="001A2D69">
        <w:rPr>
          <w:noProof/>
          <w:sz w:val="18"/>
          <w:szCs w:val="18"/>
        </w:rPr>
        <w:t xml:space="preserve">, </w:t>
      </w:r>
      <w:r w:rsidR="009346AD" w:rsidRPr="001A2D69">
        <w:rPr>
          <w:i/>
          <w:noProof/>
          <w:sz w:val="18"/>
          <w:szCs w:val="18"/>
        </w:rPr>
        <w:t>memory</w:t>
      </w:r>
      <w:r w:rsidR="000B37E5" w:rsidRPr="001A2D69">
        <w:rPr>
          <w:i/>
          <w:noProof/>
          <w:sz w:val="18"/>
          <w:szCs w:val="18"/>
        </w:rPr>
        <w:t xml:space="preserve"> </w:t>
      </w:r>
      <w:r w:rsidR="000B37E5" w:rsidRPr="001A2D69">
        <w:rPr>
          <w:noProof/>
          <w:sz w:val="18"/>
          <w:szCs w:val="18"/>
        </w:rPr>
        <w:t xml:space="preserve">and </w:t>
      </w:r>
      <w:r w:rsidR="000B37E5" w:rsidRPr="001A2D69">
        <w:rPr>
          <w:i/>
          <w:noProof/>
          <w:sz w:val="18"/>
          <w:szCs w:val="18"/>
        </w:rPr>
        <w:t>affective</w:t>
      </w:r>
      <w:r w:rsidR="00FF748D" w:rsidRPr="001A2D69">
        <w:rPr>
          <w:i/>
          <w:noProof/>
          <w:sz w:val="18"/>
          <w:szCs w:val="18"/>
        </w:rPr>
        <w:t xml:space="preserve"> </w:t>
      </w:r>
      <w:r w:rsidR="00FF748D" w:rsidRPr="001A2D69">
        <w:rPr>
          <w:noProof/>
          <w:sz w:val="18"/>
          <w:szCs w:val="18"/>
        </w:rPr>
        <w:t>strategies</w:t>
      </w:r>
      <w:r w:rsidR="009346AD" w:rsidRPr="001A2D69">
        <w:rPr>
          <w:noProof/>
          <w:sz w:val="18"/>
          <w:szCs w:val="18"/>
        </w:rPr>
        <w:t xml:space="preserve"> respectively as the most strategies they have used in their language learning process. </w:t>
      </w:r>
      <w:r w:rsidR="00C101BA" w:rsidRPr="001A2D69">
        <w:rPr>
          <w:noProof/>
          <w:sz w:val="18"/>
          <w:szCs w:val="18"/>
        </w:rPr>
        <w:t>This finding informs that</w:t>
      </w:r>
      <w:r w:rsidR="001E3C6A" w:rsidRPr="001A2D69">
        <w:rPr>
          <w:noProof/>
          <w:sz w:val="18"/>
          <w:szCs w:val="18"/>
        </w:rPr>
        <w:t xml:space="preserve"> </w:t>
      </w:r>
      <w:r w:rsidR="007855C9" w:rsidRPr="001A2D69">
        <w:rPr>
          <w:noProof/>
          <w:sz w:val="18"/>
          <w:szCs w:val="18"/>
        </w:rPr>
        <w:t>teachers can actually assess their students’ learning strategies</w:t>
      </w:r>
      <w:r w:rsidR="007855C9">
        <w:rPr>
          <w:noProof/>
          <w:sz w:val="18"/>
          <w:szCs w:val="18"/>
        </w:rPr>
        <w:t xml:space="preserve">, and </w:t>
      </w:r>
      <w:r w:rsidR="007855C9" w:rsidRPr="001A2D69">
        <w:rPr>
          <w:noProof/>
          <w:sz w:val="18"/>
          <w:szCs w:val="18"/>
        </w:rPr>
        <w:t xml:space="preserve">students have actively defined individual learning strategies </w:t>
      </w:r>
      <w:r w:rsidR="007855C9">
        <w:rPr>
          <w:noProof/>
          <w:sz w:val="18"/>
          <w:szCs w:val="18"/>
        </w:rPr>
        <w:t xml:space="preserve">metacognitively </w:t>
      </w:r>
      <w:r w:rsidR="007855C9" w:rsidRPr="001A2D69">
        <w:rPr>
          <w:noProof/>
          <w:sz w:val="18"/>
          <w:szCs w:val="18"/>
        </w:rPr>
        <w:t xml:space="preserve">to help them </w:t>
      </w:r>
      <w:r w:rsidR="00990EB4">
        <w:rPr>
          <w:noProof/>
          <w:sz w:val="18"/>
          <w:szCs w:val="18"/>
        </w:rPr>
        <w:t xml:space="preserve">learning </w:t>
      </w:r>
      <w:r w:rsidR="007855C9" w:rsidRPr="001A2D69">
        <w:rPr>
          <w:noProof/>
          <w:sz w:val="18"/>
          <w:szCs w:val="18"/>
        </w:rPr>
        <w:t>the target language</w:t>
      </w:r>
      <w:r w:rsidR="007855C9">
        <w:rPr>
          <w:noProof/>
          <w:sz w:val="18"/>
          <w:szCs w:val="18"/>
        </w:rPr>
        <w:t xml:space="preserve">. </w:t>
      </w:r>
      <w:r w:rsidR="00990EB4">
        <w:rPr>
          <w:noProof/>
          <w:sz w:val="18"/>
          <w:szCs w:val="18"/>
        </w:rPr>
        <w:t>This finding implies</w:t>
      </w:r>
      <w:r w:rsidR="007855C9">
        <w:rPr>
          <w:noProof/>
          <w:sz w:val="18"/>
          <w:szCs w:val="18"/>
        </w:rPr>
        <w:t xml:space="preserve"> that teachers should be </w:t>
      </w:r>
      <w:r w:rsidR="007855C9" w:rsidRPr="001A2D69">
        <w:rPr>
          <w:noProof/>
          <w:sz w:val="18"/>
          <w:szCs w:val="18"/>
        </w:rPr>
        <w:t>aware that students have different preferences to learn so that teachers need to be prepared to conduct variety of teaching strategies in their classrooms</w:t>
      </w:r>
      <w:r w:rsidR="007855C9">
        <w:rPr>
          <w:noProof/>
          <w:sz w:val="18"/>
          <w:szCs w:val="18"/>
        </w:rPr>
        <w:t xml:space="preserve"> as well as emphasing the importance of </w:t>
      </w:r>
      <w:r w:rsidR="00BD22E1">
        <w:rPr>
          <w:noProof/>
          <w:sz w:val="18"/>
          <w:szCs w:val="18"/>
        </w:rPr>
        <w:t>learners’</w:t>
      </w:r>
      <w:r w:rsidR="00FB0719">
        <w:rPr>
          <w:noProof/>
          <w:sz w:val="18"/>
          <w:szCs w:val="18"/>
        </w:rPr>
        <w:t>s</w:t>
      </w:r>
      <w:r w:rsidR="00416E07">
        <w:rPr>
          <w:noProof/>
          <w:sz w:val="18"/>
          <w:szCs w:val="18"/>
        </w:rPr>
        <w:t xml:space="preserve"> </w:t>
      </w:r>
      <w:r w:rsidR="007855C9">
        <w:rPr>
          <w:noProof/>
          <w:sz w:val="18"/>
          <w:szCs w:val="18"/>
        </w:rPr>
        <w:t xml:space="preserve">metacognitive strategies.   </w:t>
      </w:r>
    </w:p>
    <w:p w14:paraId="401DCA15" w14:textId="77777777" w:rsidR="007855C9" w:rsidRDefault="007855C9" w:rsidP="006A68C7">
      <w:pPr>
        <w:jc w:val="center"/>
        <w:rPr>
          <w:noProof/>
          <w:sz w:val="18"/>
          <w:szCs w:val="18"/>
        </w:rPr>
      </w:pPr>
    </w:p>
    <w:p w14:paraId="3AA41A8C" w14:textId="3BB62346" w:rsidR="00B43037" w:rsidRPr="001A2D69" w:rsidRDefault="00B43037" w:rsidP="001A0F31">
      <w:pPr>
        <w:jc w:val="both"/>
        <w:rPr>
          <w:i/>
          <w:noProof/>
          <w:sz w:val="18"/>
          <w:szCs w:val="18"/>
        </w:rPr>
      </w:pPr>
      <w:r w:rsidRPr="001A2D69">
        <w:rPr>
          <w:i/>
          <w:noProof/>
          <w:sz w:val="18"/>
          <w:szCs w:val="18"/>
        </w:rPr>
        <w:t>Keywords: language learning strategy, strategy inventory for language learning</w:t>
      </w:r>
    </w:p>
    <w:p w14:paraId="449B4EDE" w14:textId="77777777" w:rsidR="00B43037" w:rsidRPr="001A2D69" w:rsidRDefault="00B43037" w:rsidP="001A0F31">
      <w:pPr>
        <w:jc w:val="both"/>
        <w:rPr>
          <w:noProof/>
          <w:sz w:val="18"/>
          <w:szCs w:val="18"/>
        </w:rPr>
      </w:pPr>
    </w:p>
    <w:p w14:paraId="152D649B" w14:textId="77777777" w:rsidR="00261C95" w:rsidRDefault="00D2254C" w:rsidP="001A0F31"/>
    <w:p w14:paraId="7413559C" w14:textId="3AE207AC" w:rsidR="000972A5" w:rsidRPr="00755856" w:rsidRDefault="004268A8" w:rsidP="002D1E62">
      <w:pPr>
        <w:spacing w:line="360" w:lineRule="auto"/>
        <w:rPr>
          <w:b/>
        </w:rPr>
      </w:pPr>
      <w:r w:rsidRPr="00755856">
        <w:rPr>
          <w:b/>
        </w:rPr>
        <w:t>Background</w:t>
      </w:r>
    </w:p>
    <w:p w14:paraId="2A67ADF6" w14:textId="1BDD21DA" w:rsidR="0063095F" w:rsidRPr="00FF5951" w:rsidRDefault="0053448D" w:rsidP="00684464">
      <w:pPr>
        <w:spacing w:line="360" w:lineRule="auto"/>
        <w:jc w:val="both"/>
        <w:rPr>
          <w:rFonts w:eastAsia="Arial Unicode MS"/>
          <w:sz w:val="20"/>
          <w:szCs w:val="20"/>
        </w:rPr>
      </w:pPr>
      <w:r w:rsidRPr="00FF5951">
        <w:rPr>
          <w:rFonts w:eastAsia="Arial Unicode MS"/>
          <w:sz w:val="20"/>
          <w:szCs w:val="20"/>
        </w:rPr>
        <w:t xml:space="preserve">This </w:t>
      </w:r>
      <w:r w:rsidR="00A431D8" w:rsidRPr="00FF5951">
        <w:rPr>
          <w:rFonts w:eastAsia="Arial Unicode MS"/>
          <w:sz w:val="20"/>
          <w:szCs w:val="20"/>
        </w:rPr>
        <w:t>current research investigates the language learning strategies used by the fifth semester student</w:t>
      </w:r>
      <w:r w:rsidR="00886DC5" w:rsidRPr="00FF5951">
        <w:rPr>
          <w:rFonts w:eastAsia="Arial Unicode MS"/>
          <w:sz w:val="20"/>
          <w:szCs w:val="20"/>
        </w:rPr>
        <w:t>s of English department at the Faculty of Teacher Training and Education of Jambi University</w:t>
      </w:r>
      <w:r w:rsidR="00A431D8" w:rsidRPr="00FF5951">
        <w:rPr>
          <w:rFonts w:eastAsia="Arial Unicode MS"/>
          <w:sz w:val="20"/>
          <w:szCs w:val="20"/>
        </w:rPr>
        <w:t xml:space="preserve">. </w:t>
      </w:r>
      <w:r w:rsidR="00EE19AF" w:rsidRPr="00FF5951">
        <w:rPr>
          <w:rFonts w:eastAsia="Arial Unicode MS"/>
          <w:sz w:val="20"/>
          <w:szCs w:val="20"/>
        </w:rPr>
        <w:t xml:space="preserve">Definitions of learning strategy are usually found in psychological literatures. </w:t>
      </w:r>
      <w:r w:rsidR="00896045" w:rsidRPr="00FF5951">
        <w:rPr>
          <w:rFonts w:eastAsia="Arial Unicode MS"/>
          <w:sz w:val="20"/>
          <w:szCs w:val="20"/>
        </w:rPr>
        <w:t xml:space="preserve">Learning has been defined </w:t>
      </w:r>
      <w:r w:rsidR="00F974C9" w:rsidRPr="00FF5951">
        <w:rPr>
          <w:rFonts w:eastAsia="Arial Unicode MS"/>
          <w:sz w:val="20"/>
          <w:szCs w:val="20"/>
        </w:rPr>
        <w:t>as the process of stori</w:t>
      </w:r>
      <w:r w:rsidR="00684464" w:rsidRPr="00FF5951">
        <w:rPr>
          <w:rFonts w:eastAsia="Arial Unicode MS"/>
          <w:sz w:val="20"/>
          <w:szCs w:val="20"/>
        </w:rPr>
        <w:t>ng and recalling of information</w:t>
      </w:r>
      <w:r w:rsidR="00684464" w:rsidRPr="00FF5951">
        <w:rPr>
          <w:noProof/>
          <w:sz w:val="20"/>
          <w:szCs w:val="20"/>
        </w:rPr>
        <w:t xml:space="preserve"> </w:t>
      </w:r>
      <w:r w:rsidR="003A77A4" w:rsidRPr="00FF5951">
        <w:rPr>
          <w:noProof/>
          <w:sz w:val="20"/>
          <w:szCs w:val="20"/>
        </w:rPr>
        <w:t>(</w:t>
      </w:r>
      <w:proofErr w:type="spellStart"/>
      <w:r w:rsidR="003A77A4" w:rsidRPr="00FF5951">
        <w:rPr>
          <w:color w:val="000000"/>
          <w:sz w:val="20"/>
          <w:szCs w:val="20"/>
        </w:rPr>
        <w:t>Dörnyei</w:t>
      </w:r>
      <w:proofErr w:type="spellEnd"/>
      <w:r w:rsidR="003A77A4" w:rsidRPr="00FF5951">
        <w:rPr>
          <w:color w:val="000000"/>
          <w:sz w:val="20"/>
          <w:szCs w:val="20"/>
        </w:rPr>
        <w:t xml:space="preserve">, 2005; Rubin, 1981), </w:t>
      </w:r>
      <w:r w:rsidR="00165677" w:rsidRPr="00FF5951">
        <w:rPr>
          <w:color w:val="000000"/>
          <w:sz w:val="20"/>
          <w:szCs w:val="20"/>
        </w:rPr>
        <w:t xml:space="preserve">while strategy has been described as technique or </w:t>
      </w:r>
      <w:r w:rsidR="00264552" w:rsidRPr="00FF5951">
        <w:rPr>
          <w:color w:val="000000"/>
          <w:sz w:val="20"/>
          <w:szCs w:val="20"/>
        </w:rPr>
        <w:t>tool used to acquire knowledge</w:t>
      </w:r>
      <w:r w:rsidR="003A77A4" w:rsidRPr="00FF5951">
        <w:rPr>
          <w:color w:val="000000"/>
          <w:sz w:val="20"/>
          <w:szCs w:val="20"/>
        </w:rPr>
        <w:t xml:space="preserve"> (Rubin, 1975) </w:t>
      </w:r>
      <w:r w:rsidR="00264552" w:rsidRPr="00FF5951">
        <w:rPr>
          <w:color w:val="000000"/>
          <w:sz w:val="20"/>
          <w:szCs w:val="20"/>
        </w:rPr>
        <w:t>or behaviours to achieve the targeted objectives</w:t>
      </w:r>
      <w:r w:rsidR="003A77A4" w:rsidRPr="00FF5951">
        <w:rPr>
          <w:color w:val="000000"/>
          <w:sz w:val="20"/>
          <w:szCs w:val="20"/>
        </w:rPr>
        <w:t xml:space="preserve"> (Cohen, Weaver &amp; Li, 1996).</w:t>
      </w:r>
      <w:r w:rsidR="008450E9" w:rsidRPr="00FF5951">
        <w:rPr>
          <w:color w:val="000000"/>
          <w:sz w:val="20"/>
          <w:szCs w:val="20"/>
        </w:rPr>
        <w:t xml:space="preserve"> Thus, </w:t>
      </w:r>
      <w:proofErr w:type="spellStart"/>
      <w:r w:rsidR="000F61A4" w:rsidRPr="00FF5951">
        <w:rPr>
          <w:color w:val="000000"/>
          <w:sz w:val="20"/>
          <w:szCs w:val="20"/>
        </w:rPr>
        <w:t>Chamot</w:t>
      </w:r>
      <w:proofErr w:type="spellEnd"/>
      <w:r w:rsidR="000F61A4" w:rsidRPr="00FF5951">
        <w:rPr>
          <w:color w:val="000000"/>
          <w:sz w:val="20"/>
          <w:szCs w:val="20"/>
        </w:rPr>
        <w:t xml:space="preserve"> (2005) defined </w:t>
      </w:r>
      <w:r w:rsidR="00447417" w:rsidRPr="00FF5951">
        <w:rPr>
          <w:color w:val="000000"/>
          <w:sz w:val="20"/>
          <w:szCs w:val="20"/>
        </w:rPr>
        <w:t>learning strategies as “p</w:t>
      </w:r>
      <w:r w:rsidR="006B0BF4" w:rsidRPr="00FF5951">
        <w:rPr>
          <w:color w:val="000000"/>
          <w:sz w:val="20"/>
          <w:szCs w:val="20"/>
        </w:rPr>
        <w:t xml:space="preserve">rocedures that </w:t>
      </w:r>
      <w:r w:rsidR="006842DC" w:rsidRPr="00FF5951">
        <w:rPr>
          <w:color w:val="000000"/>
          <w:sz w:val="20"/>
          <w:szCs w:val="20"/>
        </w:rPr>
        <w:t xml:space="preserve">facilitate a learning task” (p. 112). </w:t>
      </w:r>
      <w:r w:rsidR="00FE1541" w:rsidRPr="00FF5951">
        <w:rPr>
          <w:color w:val="000000"/>
          <w:sz w:val="20"/>
          <w:szCs w:val="20"/>
        </w:rPr>
        <w:t>She explained further that these strategies are</w:t>
      </w:r>
      <w:r w:rsidR="00C1457A" w:rsidRPr="00FF5951">
        <w:rPr>
          <w:color w:val="000000"/>
          <w:sz w:val="20"/>
          <w:szCs w:val="20"/>
        </w:rPr>
        <w:t xml:space="preserve"> </w:t>
      </w:r>
      <w:r w:rsidR="0006161D" w:rsidRPr="00FF5951">
        <w:rPr>
          <w:color w:val="000000"/>
          <w:sz w:val="20"/>
          <w:szCs w:val="20"/>
        </w:rPr>
        <w:t>“most often conscious and goa</w:t>
      </w:r>
      <w:r w:rsidR="00454D0B" w:rsidRPr="00FF5951">
        <w:rPr>
          <w:color w:val="000000"/>
          <w:sz w:val="20"/>
          <w:szCs w:val="20"/>
        </w:rPr>
        <w:t>l</w:t>
      </w:r>
      <w:r w:rsidR="0006161D" w:rsidRPr="00FF5951">
        <w:rPr>
          <w:color w:val="000000"/>
          <w:sz w:val="20"/>
          <w:szCs w:val="20"/>
        </w:rPr>
        <w:t xml:space="preserve">-driven, </w:t>
      </w:r>
      <w:r w:rsidR="0017653C" w:rsidRPr="00FF5951">
        <w:rPr>
          <w:color w:val="000000"/>
          <w:sz w:val="20"/>
          <w:szCs w:val="20"/>
        </w:rPr>
        <w:t>especially</w:t>
      </w:r>
      <w:r w:rsidR="00C31E3A" w:rsidRPr="00FF5951">
        <w:rPr>
          <w:color w:val="000000"/>
          <w:sz w:val="20"/>
          <w:szCs w:val="20"/>
        </w:rPr>
        <w:t xml:space="preserve"> in the beginning </w:t>
      </w:r>
      <w:r w:rsidR="00AD3570" w:rsidRPr="00FF5951">
        <w:rPr>
          <w:color w:val="000000"/>
          <w:sz w:val="20"/>
          <w:szCs w:val="20"/>
        </w:rPr>
        <w:t xml:space="preserve">stages of tackling </w:t>
      </w:r>
      <w:r w:rsidR="004D7EFF" w:rsidRPr="00FF5951">
        <w:rPr>
          <w:color w:val="000000"/>
          <w:sz w:val="20"/>
          <w:szCs w:val="20"/>
        </w:rPr>
        <w:t xml:space="preserve">an unfamiliar </w:t>
      </w:r>
      <w:r w:rsidR="00132FCE" w:rsidRPr="00FF5951">
        <w:rPr>
          <w:color w:val="000000"/>
          <w:sz w:val="20"/>
          <w:szCs w:val="20"/>
        </w:rPr>
        <w:t xml:space="preserve">language task” (p. 112). </w:t>
      </w:r>
      <w:r w:rsidR="001A3611" w:rsidRPr="00FF5951">
        <w:rPr>
          <w:color w:val="000000"/>
          <w:sz w:val="20"/>
          <w:szCs w:val="20"/>
        </w:rPr>
        <w:t xml:space="preserve">Learning strategies are different from learning types </w:t>
      </w:r>
      <w:r w:rsidR="00592367" w:rsidRPr="00FF5951">
        <w:rPr>
          <w:color w:val="000000"/>
          <w:sz w:val="20"/>
          <w:szCs w:val="20"/>
        </w:rPr>
        <w:t xml:space="preserve">at the level of consciousness, consistency, and deliberateness </w:t>
      </w:r>
      <w:r w:rsidR="003A77A4" w:rsidRPr="00FF5951">
        <w:rPr>
          <w:color w:val="000000"/>
          <w:sz w:val="20"/>
          <w:szCs w:val="20"/>
        </w:rPr>
        <w:t>(</w:t>
      </w:r>
      <w:proofErr w:type="spellStart"/>
      <w:r w:rsidR="003A77A4" w:rsidRPr="00FF5951">
        <w:rPr>
          <w:color w:val="000000"/>
          <w:sz w:val="20"/>
          <w:szCs w:val="20"/>
        </w:rPr>
        <w:t>Ehrman</w:t>
      </w:r>
      <w:proofErr w:type="spellEnd"/>
      <w:r w:rsidR="003A77A4" w:rsidRPr="00FF5951">
        <w:rPr>
          <w:color w:val="000000"/>
          <w:sz w:val="20"/>
          <w:szCs w:val="20"/>
        </w:rPr>
        <w:t xml:space="preserve"> &amp; Oxford, 1990). Oxford (1993 as cited in Wong &amp; </w:t>
      </w:r>
      <w:proofErr w:type="spellStart"/>
      <w:r w:rsidR="003A77A4" w:rsidRPr="00FF5951">
        <w:rPr>
          <w:color w:val="000000"/>
          <w:sz w:val="20"/>
          <w:szCs w:val="20"/>
        </w:rPr>
        <w:t>Nunan</w:t>
      </w:r>
      <w:proofErr w:type="spellEnd"/>
      <w:r w:rsidR="003A77A4" w:rsidRPr="00FF5951">
        <w:rPr>
          <w:color w:val="000000"/>
          <w:sz w:val="20"/>
          <w:szCs w:val="20"/>
        </w:rPr>
        <w:t>, 2011)</w:t>
      </w:r>
      <w:r w:rsidR="00A02684" w:rsidRPr="00FF5951">
        <w:rPr>
          <w:color w:val="000000"/>
          <w:sz w:val="20"/>
          <w:szCs w:val="20"/>
        </w:rPr>
        <w:t xml:space="preserve"> </w:t>
      </w:r>
      <w:r w:rsidR="001E5BFE" w:rsidRPr="00FF5951">
        <w:rPr>
          <w:color w:val="000000"/>
          <w:sz w:val="20"/>
          <w:szCs w:val="20"/>
        </w:rPr>
        <w:t>argued that students who are aware of their learning types will use learning strategies to meet their learning types.</w:t>
      </w:r>
      <w:r w:rsidR="00A02684" w:rsidRPr="00FF5951">
        <w:rPr>
          <w:color w:val="000000"/>
          <w:sz w:val="20"/>
          <w:szCs w:val="20"/>
        </w:rPr>
        <w:t xml:space="preserve"> </w:t>
      </w:r>
    </w:p>
    <w:p w14:paraId="0ECBE04E" w14:textId="77777777" w:rsidR="0098497D" w:rsidRPr="00FF5951" w:rsidRDefault="0098497D" w:rsidP="0098497D">
      <w:pPr>
        <w:pStyle w:val="ListParagraph"/>
        <w:spacing w:line="360" w:lineRule="auto"/>
        <w:ind w:left="0"/>
        <w:jc w:val="both"/>
        <w:rPr>
          <w:rFonts w:ascii="Times New Roman" w:hAnsi="Times New Roman" w:cs="Times New Roman"/>
          <w:color w:val="000000"/>
          <w:sz w:val="20"/>
          <w:szCs w:val="20"/>
          <w:lang w:val="en-GB"/>
        </w:rPr>
      </w:pPr>
    </w:p>
    <w:p w14:paraId="6A5FE351" w14:textId="452042D5" w:rsidR="002D1E62" w:rsidRPr="00FF5951" w:rsidRDefault="003A77A4" w:rsidP="0098497D">
      <w:pPr>
        <w:pStyle w:val="ListParagraph"/>
        <w:spacing w:line="360" w:lineRule="auto"/>
        <w:ind w:left="0"/>
        <w:jc w:val="both"/>
        <w:rPr>
          <w:rFonts w:ascii="Times New Roman" w:hAnsi="Times New Roman" w:cs="Times New Roman"/>
          <w:color w:val="000000"/>
          <w:sz w:val="20"/>
          <w:szCs w:val="20"/>
          <w:lang w:val="en-GB"/>
        </w:rPr>
      </w:pPr>
      <w:r w:rsidRPr="00FF5951">
        <w:rPr>
          <w:rFonts w:ascii="Times New Roman" w:hAnsi="Times New Roman" w:cs="Times New Roman"/>
          <w:color w:val="000000"/>
          <w:sz w:val="20"/>
          <w:szCs w:val="20"/>
          <w:lang w:val="en-GB"/>
        </w:rPr>
        <w:t xml:space="preserve">Bromley (2013), </w:t>
      </w:r>
      <w:proofErr w:type="spellStart"/>
      <w:r w:rsidRPr="00FF5951">
        <w:rPr>
          <w:rFonts w:ascii="Times New Roman" w:hAnsi="Times New Roman" w:cs="Times New Roman"/>
          <w:color w:val="000000"/>
          <w:sz w:val="20"/>
          <w:szCs w:val="20"/>
          <w:lang w:val="en-GB"/>
        </w:rPr>
        <w:t>Dornyei</w:t>
      </w:r>
      <w:proofErr w:type="spellEnd"/>
      <w:r w:rsidRPr="00FF5951">
        <w:rPr>
          <w:rFonts w:ascii="Times New Roman" w:hAnsi="Times New Roman" w:cs="Times New Roman"/>
          <w:color w:val="000000"/>
          <w:sz w:val="20"/>
          <w:szCs w:val="20"/>
          <w:lang w:val="en-GB"/>
        </w:rPr>
        <w:t xml:space="preserve"> (2005) </w:t>
      </w:r>
      <w:r w:rsidR="00B66358" w:rsidRPr="00FF5951">
        <w:rPr>
          <w:rFonts w:ascii="Times New Roman" w:hAnsi="Times New Roman" w:cs="Times New Roman"/>
          <w:color w:val="000000"/>
          <w:sz w:val="20"/>
          <w:szCs w:val="20"/>
          <w:lang w:val="en-GB"/>
        </w:rPr>
        <w:t xml:space="preserve">and </w:t>
      </w:r>
      <w:r w:rsidRPr="00FF5951">
        <w:rPr>
          <w:rFonts w:ascii="Times New Roman" w:hAnsi="Times New Roman" w:cs="Times New Roman"/>
          <w:color w:val="000000"/>
          <w:sz w:val="20"/>
          <w:szCs w:val="20"/>
          <w:lang w:val="en-GB"/>
        </w:rPr>
        <w:t xml:space="preserve">Oxford (1993) </w:t>
      </w:r>
      <w:r w:rsidR="00310D5E" w:rsidRPr="00FF5951">
        <w:rPr>
          <w:rFonts w:ascii="Times New Roman" w:hAnsi="Times New Roman" w:cs="Times New Roman"/>
          <w:color w:val="000000"/>
          <w:sz w:val="20"/>
          <w:szCs w:val="20"/>
          <w:lang w:val="en-GB"/>
        </w:rPr>
        <w:t>stated that the inclusion of learning strategy into education will generate</w:t>
      </w:r>
      <w:r w:rsidR="0090683C" w:rsidRPr="00FF5951">
        <w:rPr>
          <w:rFonts w:ascii="Times New Roman" w:hAnsi="Times New Roman" w:cs="Times New Roman"/>
          <w:color w:val="000000"/>
          <w:sz w:val="20"/>
          <w:szCs w:val="20"/>
          <w:lang w:val="en-GB"/>
        </w:rPr>
        <w:t xml:space="preserve"> </w:t>
      </w:r>
      <w:r w:rsidR="001B1637" w:rsidRPr="00FF5951">
        <w:rPr>
          <w:rFonts w:ascii="Times New Roman" w:hAnsi="Times New Roman" w:cs="Times New Roman"/>
          <w:color w:val="000000"/>
          <w:sz w:val="20"/>
          <w:szCs w:val="20"/>
          <w:lang w:val="en-GB"/>
        </w:rPr>
        <w:t>active and competent stude</w:t>
      </w:r>
      <w:r w:rsidR="00F44C50" w:rsidRPr="00FF5951">
        <w:rPr>
          <w:rFonts w:ascii="Times New Roman" w:hAnsi="Times New Roman" w:cs="Times New Roman"/>
          <w:color w:val="000000"/>
          <w:sz w:val="20"/>
          <w:szCs w:val="20"/>
          <w:lang w:val="en-GB"/>
        </w:rPr>
        <w:t xml:space="preserve">nts, and </w:t>
      </w:r>
      <w:r w:rsidR="00BF6C7A" w:rsidRPr="00FF5951">
        <w:rPr>
          <w:rFonts w:ascii="Times New Roman" w:hAnsi="Times New Roman" w:cs="Times New Roman"/>
          <w:color w:val="000000"/>
          <w:sz w:val="20"/>
          <w:szCs w:val="20"/>
          <w:lang w:val="en-GB"/>
        </w:rPr>
        <w:t xml:space="preserve">it </w:t>
      </w:r>
      <w:r w:rsidR="00F44C50" w:rsidRPr="00FF5951">
        <w:rPr>
          <w:rFonts w:ascii="Times New Roman" w:hAnsi="Times New Roman" w:cs="Times New Roman"/>
          <w:color w:val="000000"/>
          <w:sz w:val="20"/>
          <w:szCs w:val="20"/>
          <w:lang w:val="en-GB"/>
        </w:rPr>
        <w:t>contribute</w:t>
      </w:r>
      <w:r w:rsidR="008C69C1" w:rsidRPr="00FF5951">
        <w:rPr>
          <w:rFonts w:ascii="Times New Roman" w:hAnsi="Times New Roman" w:cs="Times New Roman"/>
          <w:color w:val="000000"/>
          <w:sz w:val="20"/>
          <w:szCs w:val="20"/>
          <w:lang w:val="en-GB"/>
        </w:rPr>
        <w:t>s to student-</w:t>
      </w:r>
      <w:r w:rsidR="00BF6C7A" w:rsidRPr="00FF5951">
        <w:rPr>
          <w:rFonts w:ascii="Times New Roman" w:hAnsi="Times New Roman" w:cs="Times New Roman"/>
          <w:color w:val="000000"/>
          <w:sz w:val="20"/>
          <w:szCs w:val="20"/>
          <w:lang w:val="en-GB"/>
        </w:rPr>
        <w:t>centre</w:t>
      </w:r>
      <w:r w:rsidR="008C69C1" w:rsidRPr="00FF5951">
        <w:rPr>
          <w:rFonts w:ascii="Times New Roman" w:hAnsi="Times New Roman" w:cs="Times New Roman"/>
          <w:color w:val="000000"/>
          <w:sz w:val="20"/>
          <w:szCs w:val="20"/>
          <w:lang w:val="en-GB"/>
        </w:rPr>
        <w:t>d</w:t>
      </w:r>
      <w:r w:rsidR="00BF6C7A" w:rsidRPr="00FF5951">
        <w:rPr>
          <w:rFonts w:ascii="Times New Roman" w:hAnsi="Times New Roman" w:cs="Times New Roman"/>
          <w:color w:val="000000"/>
          <w:sz w:val="20"/>
          <w:szCs w:val="20"/>
          <w:lang w:val="en-GB"/>
        </w:rPr>
        <w:t xml:space="preserve"> instructional design. </w:t>
      </w:r>
      <w:proofErr w:type="spellStart"/>
      <w:r w:rsidR="00FF4E6F">
        <w:rPr>
          <w:rFonts w:ascii="Times New Roman" w:hAnsi="Times New Roman" w:cs="Times New Roman"/>
          <w:color w:val="000000"/>
          <w:sz w:val="20"/>
          <w:szCs w:val="20"/>
          <w:lang w:val="en-GB"/>
        </w:rPr>
        <w:t>Afshar</w:t>
      </w:r>
      <w:proofErr w:type="spellEnd"/>
      <w:r w:rsidR="00FF4E6F">
        <w:rPr>
          <w:rFonts w:ascii="Times New Roman" w:hAnsi="Times New Roman" w:cs="Times New Roman"/>
          <w:color w:val="000000"/>
          <w:sz w:val="20"/>
          <w:szCs w:val="20"/>
          <w:lang w:val="en-GB"/>
        </w:rPr>
        <w:t xml:space="preserve">, </w:t>
      </w:r>
      <w:proofErr w:type="spellStart"/>
      <w:r w:rsidR="00FF4E6F">
        <w:rPr>
          <w:rFonts w:ascii="Times New Roman" w:hAnsi="Times New Roman" w:cs="Times New Roman"/>
          <w:color w:val="000000"/>
          <w:sz w:val="20"/>
          <w:szCs w:val="20"/>
          <w:lang w:val="en-GB"/>
        </w:rPr>
        <w:t>Tofighi</w:t>
      </w:r>
      <w:proofErr w:type="spellEnd"/>
      <w:r w:rsidR="00FF4E6F">
        <w:rPr>
          <w:rFonts w:ascii="Times New Roman" w:hAnsi="Times New Roman" w:cs="Times New Roman"/>
          <w:color w:val="000000"/>
          <w:sz w:val="20"/>
          <w:szCs w:val="20"/>
          <w:lang w:val="en-GB"/>
        </w:rPr>
        <w:t xml:space="preserve"> and</w:t>
      </w:r>
      <w:r w:rsidRPr="00FF5951">
        <w:rPr>
          <w:rFonts w:ascii="Times New Roman" w:hAnsi="Times New Roman" w:cs="Times New Roman"/>
          <w:color w:val="000000"/>
          <w:sz w:val="20"/>
          <w:szCs w:val="20"/>
          <w:lang w:val="en-GB"/>
        </w:rPr>
        <w:t xml:space="preserve"> </w:t>
      </w:r>
      <w:proofErr w:type="spellStart"/>
      <w:r w:rsidRPr="00FF5951">
        <w:rPr>
          <w:rFonts w:ascii="Times New Roman" w:hAnsi="Times New Roman" w:cs="Times New Roman"/>
          <w:color w:val="000000"/>
          <w:sz w:val="20"/>
          <w:szCs w:val="20"/>
          <w:lang w:val="en-GB"/>
        </w:rPr>
        <w:t>Hamazavi</w:t>
      </w:r>
      <w:proofErr w:type="spellEnd"/>
      <w:r w:rsidRPr="00FF5951">
        <w:rPr>
          <w:rFonts w:ascii="Times New Roman" w:hAnsi="Times New Roman" w:cs="Times New Roman"/>
          <w:color w:val="000000"/>
          <w:sz w:val="20"/>
          <w:szCs w:val="20"/>
          <w:lang w:val="en-GB"/>
        </w:rPr>
        <w:t xml:space="preserve"> (2016) </w:t>
      </w:r>
      <w:r w:rsidR="00737407" w:rsidRPr="00FF5951">
        <w:rPr>
          <w:rFonts w:ascii="Times New Roman" w:hAnsi="Times New Roman" w:cs="Times New Roman"/>
          <w:color w:val="000000"/>
          <w:sz w:val="20"/>
          <w:szCs w:val="20"/>
          <w:lang w:val="en-GB"/>
        </w:rPr>
        <w:t xml:space="preserve">argued that </w:t>
      </w:r>
      <w:r w:rsidR="00EF6988" w:rsidRPr="00FF5951">
        <w:rPr>
          <w:rFonts w:ascii="Times New Roman" w:hAnsi="Times New Roman" w:cs="Times New Roman"/>
          <w:color w:val="000000"/>
          <w:sz w:val="20"/>
          <w:szCs w:val="20"/>
          <w:lang w:val="en-GB"/>
        </w:rPr>
        <w:t xml:space="preserve">the awareness and the application of </w:t>
      </w:r>
      <w:r w:rsidR="00F828BF" w:rsidRPr="00FF5951">
        <w:rPr>
          <w:rFonts w:ascii="Times New Roman" w:hAnsi="Times New Roman" w:cs="Times New Roman"/>
          <w:color w:val="000000"/>
          <w:sz w:val="20"/>
          <w:szCs w:val="20"/>
          <w:lang w:val="en-GB"/>
        </w:rPr>
        <w:t xml:space="preserve">learning strategies differentiate </w:t>
      </w:r>
      <w:r w:rsidR="005C30B8" w:rsidRPr="00FF5951">
        <w:rPr>
          <w:rFonts w:ascii="Times New Roman" w:hAnsi="Times New Roman" w:cs="Times New Roman"/>
          <w:color w:val="000000"/>
          <w:sz w:val="20"/>
          <w:szCs w:val="20"/>
          <w:lang w:val="en-GB"/>
        </w:rPr>
        <w:lastRenderedPageBreak/>
        <w:t>the succes</w:t>
      </w:r>
      <w:r w:rsidR="00255643" w:rsidRPr="00FF5951">
        <w:rPr>
          <w:rFonts w:ascii="Times New Roman" w:hAnsi="Times New Roman" w:cs="Times New Roman"/>
          <w:color w:val="000000"/>
          <w:sz w:val="20"/>
          <w:szCs w:val="20"/>
          <w:lang w:val="en-GB"/>
        </w:rPr>
        <w:t xml:space="preserve">sful and </w:t>
      </w:r>
      <w:r w:rsidR="00D34D76" w:rsidRPr="00FF5951">
        <w:rPr>
          <w:rFonts w:ascii="Times New Roman" w:hAnsi="Times New Roman" w:cs="Times New Roman"/>
          <w:color w:val="000000"/>
          <w:sz w:val="20"/>
          <w:szCs w:val="20"/>
          <w:lang w:val="en-GB"/>
        </w:rPr>
        <w:t xml:space="preserve">unsuccessful students. </w:t>
      </w:r>
      <w:r w:rsidR="00255643" w:rsidRPr="00FF5951">
        <w:rPr>
          <w:rFonts w:ascii="Times New Roman" w:hAnsi="Times New Roman" w:cs="Times New Roman"/>
          <w:color w:val="000000"/>
          <w:sz w:val="20"/>
          <w:szCs w:val="20"/>
          <w:lang w:val="en-GB"/>
        </w:rPr>
        <w:t xml:space="preserve">Wong and </w:t>
      </w:r>
      <w:proofErr w:type="spellStart"/>
      <w:r w:rsidR="00255643" w:rsidRPr="00FF5951">
        <w:rPr>
          <w:rFonts w:ascii="Times New Roman" w:hAnsi="Times New Roman" w:cs="Times New Roman"/>
          <w:color w:val="000000"/>
          <w:sz w:val="20"/>
          <w:szCs w:val="20"/>
          <w:lang w:val="en-GB"/>
        </w:rPr>
        <w:t>Nunan</w:t>
      </w:r>
      <w:proofErr w:type="spellEnd"/>
      <w:r w:rsidR="00255643" w:rsidRPr="00FF5951">
        <w:rPr>
          <w:rFonts w:ascii="Times New Roman" w:hAnsi="Times New Roman" w:cs="Times New Roman"/>
          <w:color w:val="000000"/>
          <w:sz w:val="20"/>
          <w:szCs w:val="20"/>
          <w:lang w:val="en-GB"/>
        </w:rPr>
        <w:t xml:space="preserve"> (2011) had also </w:t>
      </w:r>
      <w:r w:rsidR="00370000" w:rsidRPr="00FF5951">
        <w:rPr>
          <w:rFonts w:ascii="Times New Roman" w:hAnsi="Times New Roman" w:cs="Times New Roman"/>
          <w:color w:val="000000"/>
          <w:sz w:val="20"/>
          <w:szCs w:val="20"/>
          <w:lang w:val="en-GB"/>
        </w:rPr>
        <w:t>investigated the distinctions between active and passive students</w:t>
      </w:r>
      <w:r w:rsidR="00D34D76" w:rsidRPr="00FF5951">
        <w:rPr>
          <w:rFonts w:ascii="Times New Roman" w:hAnsi="Times New Roman" w:cs="Times New Roman"/>
          <w:color w:val="000000"/>
          <w:sz w:val="20"/>
          <w:szCs w:val="20"/>
          <w:lang w:val="en-GB"/>
        </w:rPr>
        <w:t xml:space="preserve"> in terms of </w:t>
      </w:r>
      <w:r w:rsidR="00473DAC" w:rsidRPr="00FF5951">
        <w:rPr>
          <w:rFonts w:ascii="Times New Roman" w:hAnsi="Times New Roman" w:cs="Times New Roman"/>
          <w:color w:val="000000"/>
          <w:sz w:val="20"/>
          <w:szCs w:val="20"/>
          <w:lang w:val="en-GB"/>
        </w:rPr>
        <w:t>learning styles, strategies</w:t>
      </w:r>
      <w:r w:rsidR="00537E11" w:rsidRPr="00FF5951">
        <w:rPr>
          <w:rFonts w:ascii="Times New Roman" w:hAnsi="Times New Roman" w:cs="Times New Roman"/>
          <w:color w:val="000000"/>
          <w:sz w:val="20"/>
          <w:szCs w:val="20"/>
          <w:lang w:val="en-GB"/>
        </w:rPr>
        <w:t xml:space="preserve"> and practices.</w:t>
      </w:r>
      <w:r w:rsidR="00521CAF" w:rsidRPr="00FF5951">
        <w:rPr>
          <w:rFonts w:ascii="Times New Roman" w:hAnsi="Times New Roman" w:cs="Times New Roman"/>
          <w:color w:val="000000"/>
          <w:sz w:val="20"/>
          <w:szCs w:val="20"/>
          <w:lang w:val="en-GB"/>
        </w:rPr>
        <w:t xml:space="preserve"> They found that </w:t>
      </w:r>
      <w:r w:rsidR="00385F57" w:rsidRPr="00FF5951">
        <w:rPr>
          <w:rFonts w:ascii="Times New Roman" w:hAnsi="Times New Roman" w:cs="Times New Roman"/>
          <w:color w:val="000000"/>
          <w:sz w:val="20"/>
          <w:szCs w:val="20"/>
          <w:lang w:val="en-GB"/>
        </w:rPr>
        <w:t xml:space="preserve">effective students were those </w:t>
      </w:r>
      <w:r w:rsidR="00E05562" w:rsidRPr="00FF5951">
        <w:rPr>
          <w:rFonts w:ascii="Times New Roman" w:hAnsi="Times New Roman" w:cs="Times New Roman"/>
          <w:color w:val="000000"/>
          <w:sz w:val="20"/>
          <w:szCs w:val="20"/>
          <w:lang w:val="en-GB"/>
        </w:rPr>
        <w:t xml:space="preserve">who </w:t>
      </w:r>
      <w:r w:rsidR="004A2993" w:rsidRPr="00FF5951">
        <w:rPr>
          <w:rFonts w:ascii="Times New Roman" w:hAnsi="Times New Roman" w:cs="Times New Roman"/>
          <w:color w:val="000000"/>
          <w:sz w:val="20"/>
          <w:szCs w:val="20"/>
          <w:lang w:val="en-GB"/>
        </w:rPr>
        <w:t xml:space="preserve">were communicative </w:t>
      </w:r>
      <w:r w:rsidR="000514B5" w:rsidRPr="00FF5951">
        <w:rPr>
          <w:rFonts w:ascii="Times New Roman" w:hAnsi="Times New Roman" w:cs="Times New Roman"/>
          <w:color w:val="000000"/>
          <w:sz w:val="20"/>
          <w:szCs w:val="20"/>
          <w:lang w:val="en-GB"/>
        </w:rPr>
        <w:t xml:space="preserve">in their </w:t>
      </w:r>
      <w:r w:rsidR="00CE002A" w:rsidRPr="00FF5951">
        <w:rPr>
          <w:rFonts w:ascii="Times New Roman" w:hAnsi="Times New Roman" w:cs="Times New Roman"/>
          <w:color w:val="000000"/>
          <w:sz w:val="20"/>
          <w:szCs w:val="20"/>
          <w:lang w:val="en-GB"/>
        </w:rPr>
        <w:t xml:space="preserve">learning styles, independent in </w:t>
      </w:r>
      <w:r w:rsidR="00EC3166" w:rsidRPr="00FF5951">
        <w:rPr>
          <w:rFonts w:ascii="Times New Roman" w:hAnsi="Times New Roman" w:cs="Times New Roman"/>
          <w:color w:val="000000"/>
          <w:sz w:val="20"/>
          <w:szCs w:val="20"/>
          <w:lang w:val="en-GB"/>
        </w:rPr>
        <w:t xml:space="preserve">practicing their learning strategies, and applied various of </w:t>
      </w:r>
      <w:r w:rsidR="001853D9" w:rsidRPr="00FF5951">
        <w:rPr>
          <w:rFonts w:ascii="Times New Roman" w:hAnsi="Times New Roman" w:cs="Times New Roman"/>
          <w:color w:val="000000"/>
          <w:sz w:val="20"/>
          <w:szCs w:val="20"/>
          <w:lang w:val="en-GB"/>
        </w:rPr>
        <w:t xml:space="preserve">learning strategies while ineffective students had to be guided and tended to be passive and solitude. </w:t>
      </w:r>
      <w:r w:rsidR="00ED019A" w:rsidRPr="00FF5951">
        <w:rPr>
          <w:rFonts w:ascii="Times New Roman" w:hAnsi="Times New Roman" w:cs="Times New Roman"/>
          <w:color w:val="000000"/>
          <w:sz w:val="20"/>
          <w:szCs w:val="20"/>
          <w:lang w:val="en-GB"/>
        </w:rPr>
        <w:t xml:space="preserve">Therefore, due to the acknowledged influence of the learning strategy so that the evaluation toward these learning strategies is important because at the end this evaluation provides descriptions of effective strategies to support language learning acquisition.  </w:t>
      </w:r>
      <w:r w:rsidR="00521CAF" w:rsidRPr="00FF5951">
        <w:rPr>
          <w:rFonts w:ascii="Times New Roman" w:hAnsi="Times New Roman" w:cs="Times New Roman"/>
          <w:color w:val="000000"/>
          <w:sz w:val="20"/>
          <w:szCs w:val="20"/>
          <w:lang w:val="en-GB"/>
        </w:rPr>
        <w:t xml:space="preserve"> </w:t>
      </w:r>
    </w:p>
    <w:p w14:paraId="783CD131" w14:textId="3AE95C15" w:rsidR="003A77A4" w:rsidRPr="00FF5951" w:rsidRDefault="003A77A4" w:rsidP="003A77A4">
      <w:pPr>
        <w:pStyle w:val="ListParagraph"/>
        <w:spacing w:line="360" w:lineRule="auto"/>
        <w:ind w:left="0"/>
        <w:jc w:val="both"/>
        <w:rPr>
          <w:rFonts w:ascii="Times New Roman" w:hAnsi="Times New Roman" w:cs="Times New Roman"/>
          <w:color w:val="000000"/>
          <w:sz w:val="20"/>
          <w:szCs w:val="20"/>
          <w:lang w:val="en-GB"/>
        </w:rPr>
      </w:pPr>
    </w:p>
    <w:p w14:paraId="50324454" w14:textId="77777777" w:rsidR="003A77A4" w:rsidRPr="00755856" w:rsidRDefault="003A77A4" w:rsidP="006B5861">
      <w:pPr>
        <w:spacing w:line="360" w:lineRule="auto"/>
        <w:jc w:val="both"/>
        <w:rPr>
          <w:b/>
          <w:color w:val="000000"/>
        </w:rPr>
      </w:pPr>
      <w:r w:rsidRPr="00755856">
        <w:rPr>
          <w:b/>
          <w:color w:val="000000"/>
        </w:rPr>
        <w:t>The Strategy Inventory for Language Learning (SILL)</w:t>
      </w:r>
    </w:p>
    <w:p w14:paraId="1CF2CA98" w14:textId="0F9502F6" w:rsidR="00A84EFA" w:rsidRPr="00FF5951" w:rsidRDefault="00601B72" w:rsidP="0061647E">
      <w:pPr>
        <w:spacing w:line="360" w:lineRule="auto"/>
        <w:jc w:val="both"/>
        <w:rPr>
          <w:color w:val="000000"/>
          <w:sz w:val="20"/>
          <w:szCs w:val="20"/>
        </w:rPr>
      </w:pPr>
      <w:r w:rsidRPr="00FF5951">
        <w:rPr>
          <w:color w:val="000000"/>
          <w:sz w:val="20"/>
          <w:szCs w:val="20"/>
        </w:rPr>
        <w:t xml:space="preserve">One of mostly used methods </w:t>
      </w:r>
      <w:r w:rsidR="00AC6ABE" w:rsidRPr="00FF5951">
        <w:rPr>
          <w:color w:val="000000"/>
          <w:sz w:val="20"/>
          <w:szCs w:val="20"/>
        </w:rPr>
        <w:t xml:space="preserve">to evaluate </w:t>
      </w:r>
      <w:r w:rsidR="00C54A8D" w:rsidRPr="00FF5951">
        <w:rPr>
          <w:color w:val="000000"/>
          <w:sz w:val="20"/>
          <w:szCs w:val="20"/>
        </w:rPr>
        <w:t>language</w:t>
      </w:r>
      <w:r w:rsidR="008A48C7" w:rsidRPr="00FF5951">
        <w:rPr>
          <w:color w:val="000000"/>
          <w:sz w:val="20"/>
          <w:szCs w:val="20"/>
        </w:rPr>
        <w:t xml:space="preserve"> le</w:t>
      </w:r>
      <w:r w:rsidR="00C54A8D" w:rsidRPr="00FF5951">
        <w:rPr>
          <w:color w:val="000000"/>
          <w:sz w:val="20"/>
          <w:szCs w:val="20"/>
        </w:rPr>
        <w:t>a</w:t>
      </w:r>
      <w:r w:rsidR="008A48C7" w:rsidRPr="00FF5951">
        <w:rPr>
          <w:color w:val="000000"/>
          <w:sz w:val="20"/>
          <w:szCs w:val="20"/>
        </w:rPr>
        <w:t>r</w:t>
      </w:r>
      <w:r w:rsidR="00C54A8D" w:rsidRPr="00FF5951">
        <w:rPr>
          <w:color w:val="000000"/>
          <w:sz w:val="20"/>
          <w:szCs w:val="20"/>
        </w:rPr>
        <w:t>ning</w:t>
      </w:r>
      <w:r w:rsidR="008A48C7" w:rsidRPr="00FF5951">
        <w:rPr>
          <w:color w:val="000000"/>
          <w:sz w:val="20"/>
          <w:szCs w:val="20"/>
        </w:rPr>
        <w:t xml:space="preserve"> strategy is the </w:t>
      </w:r>
      <w:r w:rsidR="008A48C7" w:rsidRPr="00FF5951">
        <w:rPr>
          <w:i/>
          <w:color w:val="000000"/>
          <w:sz w:val="20"/>
          <w:szCs w:val="20"/>
        </w:rPr>
        <w:t>Strategy Inventory for Language Learning</w:t>
      </w:r>
      <w:r w:rsidRPr="00FF5951">
        <w:rPr>
          <w:color w:val="000000"/>
          <w:sz w:val="20"/>
          <w:szCs w:val="20"/>
        </w:rPr>
        <w:t xml:space="preserve"> (SILL) designed by Oxford in 1990s. At the beginning </w:t>
      </w:r>
      <w:r w:rsidR="00032BFC" w:rsidRPr="00FF5951">
        <w:rPr>
          <w:color w:val="000000"/>
          <w:sz w:val="20"/>
          <w:szCs w:val="20"/>
        </w:rPr>
        <w:t>this method</w:t>
      </w:r>
      <w:r w:rsidR="008E0D89" w:rsidRPr="00FF5951">
        <w:rPr>
          <w:color w:val="000000"/>
          <w:sz w:val="20"/>
          <w:szCs w:val="20"/>
        </w:rPr>
        <w:t xml:space="preserve"> was designed to assess how often students at the </w:t>
      </w:r>
      <w:r w:rsidR="008E0D89" w:rsidRPr="00FF5951">
        <w:rPr>
          <w:i/>
          <w:color w:val="000000"/>
          <w:sz w:val="20"/>
          <w:szCs w:val="20"/>
        </w:rPr>
        <w:t>Defence Language Institute Foreign Language centre</w:t>
      </w:r>
      <w:r w:rsidR="008E0D89" w:rsidRPr="00FF5951">
        <w:rPr>
          <w:color w:val="000000"/>
          <w:sz w:val="20"/>
          <w:szCs w:val="20"/>
        </w:rPr>
        <w:t xml:space="preserve"> in Monterey, California used language learning strategy. There are two versions of this SILL, namely version 5.1 which consists of 80 </w:t>
      </w:r>
      <w:r w:rsidR="007C4A75" w:rsidRPr="00FF5951">
        <w:rPr>
          <w:color w:val="000000"/>
          <w:sz w:val="20"/>
          <w:szCs w:val="20"/>
        </w:rPr>
        <w:t xml:space="preserve">questions for native English speakers who learn another foreign language, and version 7.0 which contains </w:t>
      </w:r>
      <w:r w:rsidR="00596F2F" w:rsidRPr="00FF5951">
        <w:rPr>
          <w:color w:val="000000"/>
          <w:sz w:val="20"/>
          <w:szCs w:val="20"/>
        </w:rPr>
        <w:t>50 questions for English as a second language or foreign language learners.</w:t>
      </w:r>
      <w:r w:rsidR="008A48C7" w:rsidRPr="00FF5951">
        <w:rPr>
          <w:i/>
          <w:color w:val="000000"/>
          <w:sz w:val="20"/>
          <w:szCs w:val="20"/>
        </w:rPr>
        <w:t xml:space="preserve"> </w:t>
      </w:r>
      <w:r w:rsidR="00F97245" w:rsidRPr="00FF5951">
        <w:rPr>
          <w:color w:val="000000"/>
          <w:sz w:val="20"/>
          <w:szCs w:val="20"/>
        </w:rPr>
        <w:t>Sill aims to evaluate to what extent students apply language learning strategies and provide teachers descriptions about the effective strategies used by the students so that the teachers</w:t>
      </w:r>
      <w:r w:rsidR="00C01403" w:rsidRPr="00FF5951">
        <w:rPr>
          <w:color w:val="000000"/>
          <w:sz w:val="20"/>
          <w:szCs w:val="20"/>
        </w:rPr>
        <w:t xml:space="preserve"> </w:t>
      </w:r>
      <w:r w:rsidR="00880EA4" w:rsidRPr="00FF5951">
        <w:rPr>
          <w:color w:val="000000"/>
          <w:sz w:val="20"/>
          <w:szCs w:val="20"/>
        </w:rPr>
        <w:t>are able to suggest which effective strategies can be used for other learners</w:t>
      </w:r>
      <w:r w:rsidR="00764301" w:rsidRPr="00FF5951">
        <w:rPr>
          <w:color w:val="000000"/>
          <w:sz w:val="20"/>
          <w:szCs w:val="20"/>
        </w:rPr>
        <w:t xml:space="preserve"> (Oxford, 1990)</w:t>
      </w:r>
      <w:r w:rsidR="00880EA4" w:rsidRPr="00FF5951">
        <w:rPr>
          <w:color w:val="000000"/>
          <w:sz w:val="20"/>
          <w:szCs w:val="20"/>
        </w:rPr>
        <w:t>.</w:t>
      </w:r>
      <w:r w:rsidR="00764301" w:rsidRPr="00FF5951">
        <w:rPr>
          <w:color w:val="000000"/>
          <w:sz w:val="20"/>
          <w:szCs w:val="20"/>
        </w:rPr>
        <w:t xml:space="preserve"> </w:t>
      </w:r>
      <w:r w:rsidR="00E455C4" w:rsidRPr="00FF5951">
        <w:rPr>
          <w:color w:val="000000"/>
          <w:sz w:val="20"/>
          <w:szCs w:val="20"/>
        </w:rPr>
        <w:t xml:space="preserve">Sill commonly has been used to </w:t>
      </w:r>
      <w:r w:rsidR="006D2F68" w:rsidRPr="00FF5951">
        <w:rPr>
          <w:color w:val="000000"/>
          <w:sz w:val="20"/>
          <w:szCs w:val="20"/>
        </w:rPr>
        <w:t xml:space="preserve">examine university students who learn foreign languages (see </w:t>
      </w:r>
      <w:proofErr w:type="spellStart"/>
      <w:r w:rsidR="003A77A4" w:rsidRPr="00FF5951">
        <w:rPr>
          <w:color w:val="000000"/>
          <w:sz w:val="20"/>
          <w:szCs w:val="20"/>
        </w:rPr>
        <w:t>Afshar</w:t>
      </w:r>
      <w:proofErr w:type="spellEnd"/>
      <w:r w:rsidR="003A77A4" w:rsidRPr="00FF5951">
        <w:rPr>
          <w:color w:val="000000"/>
          <w:sz w:val="20"/>
          <w:szCs w:val="20"/>
        </w:rPr>
        <w:t xml:space="preserve">, </w:t>
      </w:r>
      <w:proofErr w:type="spellStart"/>
      <w:r w:rsidR="003A77A4" w:rsidRPr="00FF5951">
        <w:rPr>
          <w:color w:val="000000"/>
          <w:sz w:val="20"/>
          <w:szCs w:val="20"/>
        </w:rPr>
        <w:t>Tofighi</w:t>
      </w:r>
      <w:proofErr w:type="spellEnd"/>
      <w:r w:rsidR="003A77A4" w:rsidRPr="00FF5951">
        <w:rPr>
          <w:color w:val="000000"/>
          <w:sz w:val="20"/>
          <w:szCs w:val="20"/>
        </w:rPr>
        <w:t xml:space="preserve"> &amp; </w:t>
      </w:r>
      <w:proofErr w:type="spellStart"/>
      <w:r w:rsidR="003A77A4" w:rsidRPr="00FF5951">
        <w:rPr>
          <w:color w:val="000000"/>
          <w:sz w:val="20"/>
          <w:szCs w:val="20"/>
        </w:rPr>
        <w:t>Hamazavi</w:t>
      </w:r>
      <w:proofErr w:type="spellEnd"/>
      <w:r w:rsidR="003A77A4" w:rsidRPr="00FF5951">
        <w:rPr>
          <w:color w:val="000000"/>
          <w:sz w:val="20"/>
          <w:szCs w:val="20"/>
        </w:rPr>
        <w:t xml:space="preserve">, 2016; </w:t>
      </w:r>
      <w:proofErr w:type="spellStart"/>
      <w:r w:rsidR="003A77A4" w:rsidRPr="00FF5951">
        <w:rPr>
          <w:color w:val="000000"/>
          <w:sz w:val="20"/>
          <w:szCs w:val="20"/>
        </w:rPr>
        <w:t>Kunasaraphan</w:t>
      </w:r>
      <w:proofErr w:type="spellEnd"/>
      <w:r w:rsidR="003A77A4" w:rsidRPr="00FF5951">
        <w:rPr>
          <w:color w:val="000000"/>
          <w:sz w:val="20"/>
          <w:szCs w:val="20"/>
        </w:rPr>
        <w:t xml:space="preserve">, 2015; Zhou &amp; </w:t>
      </w:r>
      <w:proofErr w:type="spellStart"/>
      <w:r w:rsidR="003A77A4" w:rsidRPr="00FF5951">
        <w:rPr>
          <w:color w:val="000000"/>
          <w:sz w:val="20"/>
          <w:szCs w:val="20"/>
        </w:rPr>
        <w:t>Intaraprasert</w:t>
      </w:r>
      <w:proofErr w:type="spellEnd"/>
      <w:r w:rsidR="003A77A4" w:rsidRPr="00FF5951">
        <w:rPr>
          <w:color w:val="000000"/>
          <w:sz w:val="20"/>
          <w:szCs w:val="20"/>
        </w:rPr>
        <w:t xml:space="preserve">, 2016). </w:t>
      </w:r>
      <w:r w:rsidR="006D2F68" w:rsidRPr="00FF5951">
        <w:rPr>
          <w:color w:val="000000"/>
          <w:sz w:val="20"/>
          <w:szCs w:val="20"/>
        </w:rPr>
        <w:t xml:space="preserve">These research investigated the language learning strategies used by the learners, variables which influences the </w:t>
      </w:r>
      <w:r w:rsidR="00AB323A" w:rsidRPr="00FF5951">
        <w:rPr>
          <w:color w:val="000000"/>
          <w:sz w:val="20"/>
          <w:szCs w:val="20"/>
        </w:rPr>
        <w:t>application of these strategies, as well as the connection between strategies used and the competences in second language.</w:t>
      </w:r>
      <w:r w:rsidR="008A5DAB" w:rsidRPr="00FF5951">
        <w:rPr>
          <w:color w:val="000000"/>
          <w:sz w:val="20"/>
          <w:szCs w:val="20"/>
        </w:rPr>
        <w:t xml:space="preserve"> </w:t>
      </w:r>
    </w:p>
    <w:p w14:paraId="629F5CC0" w14:textId="77777777" w:rsidR="00023C2F" w:rsidRPr="00FF5951" w:rsidRDefault="00023C2F" w:rsidP="0061647E">
      <w:pPr>
        <w:spacing w:line="360" w:lineRule="auto"/>
        <w:jc w:val="both"/>
        <w:rPr>
          <w:color w:val="000000"/>
          <w:sz w:val="20"/>
          <w:szCs w:val="20"/>
        </w:rPr>
      </w:pPr>
    </w:p>
    <w:p w14:paraId="54B3E5D8" w14:textId="63579686" w:rsidR="00AB02B5" w:rsidRPr="00EF10EF" w:rsidRDefault="00F35935" w:rsidP="00EF10EF">
      <w:pPr>
        <w:spacing w:line="360" w:lineRule="auto"/>
        <w:jc w:val="both"/>
        <w:rPr>
          <w:color w:val="000000"/>
          <w:sz w:val="20"/>
          <w:szCs w:val="20"/>
        </w:rPr>
      </w:pPr>
      <w:r w:rsidRPr="00FF5951">
        <w:rPr>
          <w:color w:val="000000"/>
          <w:sz w:val="20"/>
          <w:szCs w:val="20"/>
        </w:rPr>
        <w:t xml:space="preserve">Oxford (1990) </w:t>
      </w:r>
      <w:r w:rsidR="00E134A4" w:rsidRPr="00FF5951">
        <w:rPr>
          <w:color w:val="000000"/>
          <w:sz w:val="20"/>
          <w:szCs w:val="20"/>
        </w:rPr>
        <w:t xml:space="preserve">classified </w:t>
      </w:r>
      <w:r w:rsidR="00DF59C7" w:rsidRPr="00FF5951">
        <w:rPr>
          <w:color w:val="000000"/>
          <w:sz w:val="20"/>
          <w:szCs w:val="20"/>
        </w:rPr>
        <w:t xml:space="preserve">language learning strategies into two types, namely </w:t>
      </w:r>
      <w:r w:rsidR="00DF59C7" w:rsidRPr="00FF5951">
        <w:rPr>
          <w:i/>
          <w:color w:val="000000"/>
          <w:sz w:val="20"/>
          <w:szCs w:val="20"/>
        </w:rPr>
        <w:t xml:space="preserve">direct strategies </w:t>
      </w:r>
      <w:r w:rsidR="00DF59C7" w:rsidRPr="00FF5951">
        <w:rPr>
          <w:color w:val="000000"/>
          <w:sz w:val="20"/>
          <w:szCs w:val="20"/>
        </w:rPr>
        <w:t>and</w:t>
      </w:r>
      <w:r w:rsidR="00DF59C7" w:rsidRPr="00FF5951">
        <w:rPr>
          <w:i/>
          <w:color w:val="000000"/>
          <w:sz w:val="20"/>
          <w:szCs w:val="20"/>
        </w:rPr>
        <w:t xml:space="preserve"> indirect strategies.</w:t>
      </w:r>
      <w:r w:rsidR="00DF59C7" w:rsidRPr="00FF5951">
        <w:rPr>
          <w:color w:val="000000"/>
          <w:sz w:val="20"/>
          <w:szCs w:val="20"/>
        </w:rPr>
        <w:t xml:space="preserve"> </w:t>
      </w:r>
      <w:r w:rsidR="00BF2802" w:rsidRPr="00FF5951">
        <w:rPr>
          <w:color w:val="000000"/>
          <w:sz w:val="20"/>
          <w:szCs w:val="20"/>
        </w:rPr>
        <w:t xml:space="preserve">Direct strategies comprise memory, cognitive, and compensation strategies while indirect strategies </w:t>
      </w:r>
      <w:r w:rsidR="00A4784B" w:rsidRPr="00FF5951">
        <w:rPr>
          <w:color w:val="000000"/>
          <w:sz w:val="20"/>
          <w:szCs w:val="20"/>
        </w:rPr>
        <w:t xml:space="preserve">involve metacognitive, affective and social (Oxford, 1990). </w:t>
      </w:r>
      <w:r w:rsidR="006F79BD" w:rsidRPr="00FF5951">
        <w:rPr>
          <w:color w:val="000000"/>
          <w:sz w:val="20"/>
          <w:szCs w:val="20"/>
        </w:rPr>
        <w:t>Direct strategies are then categorized again into memory strategies, cognitive strategies,</w:t>
      </w:r>
      <w:r w:rsidR="00D83597" w:rsidRPr="00FF5951">
        <w:rPr>
          <w:color w:val="000000"/>
          <w:sz w:val="20"/>
          <w:szCs w:val="20"/>
        </w:rPr>
        <w:t xml:space="preserve"> </w:t>
      </w:r>
      <w:r w:rsidR="000816A2" w:rsidRPr="00FF5951">
        <w:rPr>
          <w:color w:val="000000"/>
          <w:sz w:val="20"/>
          <w:szCs w:val="20"/>
        </w:rPr>
        <w:t>and compensation strategies while indirect strategies are classified into metacognitive strategies,</w:t>
      </w:r>
      <w:r w:rsidR="00D83597" w:rsidRPr="00FF5951">
        <w:rPr>
          <w:color w:val="000000"/>
          <w:sz w:val="20"/>
          <w:szCs w:val="20"/>
        </w:rPr>
        <w:t xml:space="preserve"> affective strategies, and social strategies</w:t>
      </w:r>
      <w:r w:rsidR="00D76289">
        <w:rPr>
          <w:color w:val="000000"/>
          <w:sz w:val="20"/>
          <w:szCs w:val="20"/>
        </w:rPr>
        <w:t xml:space="preserve"> (Oxford, 1990)</w:t>
      </w:r>
      <w:r w:rsidR="00D83597" w:rsidRPr="00FF5951">
        <w:rPr>
          <w:color w:val="000000"/>
          <w:sz w:val="20"/>
          <w:szCs w:val="20"/>
        </w:rPr>
        <w:t xml:space="preserve">. </w:t>
      </w:r>
      <w:r w:rsidR="00AE4DAD" w:rsidRPr="00FF5951">
        <w:rPr>
          <w:color w:val="000000"/>
          <w:sz w:val="20"/>
          <w:szCs w:val="20"/>
        </w:rPr>
        <w:t xml:space="preserve">The examples of memory strategies are </w:t>
      </w:r>
      <w:r w:rsidR="00346F1D" w:rsidRPr="00FF5951">
        <w:rPr>
          <w:color w:val="000000"/>
          <w:sz w:val="20"/>
          <w:szCs w:val="20"/>
        </w:rPr>
        <w:t>for example: creating mental linkages, applying images and sounds, reviewing well, and employing actions</w:t>
      </w:r>
      <w:r w:rsidR="00ED3771">
        <w:rPr>
          <w:color w:val="000000"/>
          <w:sz w:val="20"/>
          <w:szCs w:val="20"/>
        </w:rPr>
        <w:t xml:space="preserve"> (Oxford, 1990)</w:t>
      </w:r>
      <w:r w:rsidR="00346F1D" w:rsidRPr="00FF5951">
        <w:rPr>
          <w:color w:val="000000"/>
          <w:sz w:val="20"/>
          <w:szCs w:val="20"/>
        </w:rPr>
        <w:t>.</w:t>
      </w:r>
      <w:r w:rsidR="000816A2" w:rsidRPr="00FF5951">
        <w:rPr>
          <w:color w:val="000000"/>
          <w:sz w:val="20"/>
          <w:szCs w:val="20"/>
        </w:rPr>
        <w:t xml:space="preserve"> </w:t>
      </w:r>
      <w:r w:rsidR="00017A74" w:rsidRPr="00FF5951">
        <w:rPr>
          <w:color w:val="000000"/>
          <w:sz w:val="20"/>
          <w:szCs w:val="20"/>
        </w:rPr>
        <w:t xml:space="preserve">Cognitive strategies may involve strategies such as: </w:t>
      </w:r>
      <w:r w:rsidR="00E20E3E" w:rsidRPr="00FF5951">
        <w:rPr>
          <w:color w:val="000000"/>
          <w:sz w:val="20"/>
          <w:szCs w:val="20"/>
        </w:rPr>
        <w:t xml:space="preserve">practicing, </w:t>
      </w:r>
      <w:r w:rsidR="006468A9" w:rsidRPr="00FF5951">
        <w:rPr>
          <w:color w:val="000000"/>
          <w:sz w:val="20"/>
          <w:szCs w:val="20"/>
        </w:rPr>
        <w:t>receiving and sending messages, analysing and reasoning, and creating structure for input and output</w:t>
      </w:r>
      <w:r w:rsidR="00ED3771">
        <w:rPr>
          <w:color w:val="000000"/>
          <w:sz w:val="20"/>
          <w:szCs w:val="20"/>
        </w:rPr>
        <w:t xml:space="preserve"> (Oxford, 1990)</w:t>
      </w:r>
      <w:r w:rsidR="006468A9" w:rsidRPr="00FF5951">
        <w:rPr>
          <w:color w:val="000000"/>
          <w:sz w:val="20"/>
          <w:szCs w:val="20"/>
        </w:rPr>
        <w:t xml:space="preserve">. </w:t>
      </w:r>
      <w:r w:rsidR="00A7715B" w:rsidRPr="00FF5951">
        <w:rPr>
          <w:color w:val="000000"/>
          <w:sz w:val="20"/>
          <w:szCs w:val="20"/>
        </w:rPr>
        <w:t xml:space="preserve">Compensation strategies consist of </w:t>
      </w:r>
      <w:r w:rsidR="00B04780" w:rsidRPr="00FF5951">
        <w:rPr>
          <w:color w:val="000000"/>
          <w:sz w:val="20"/>
          <w:szCs w:val="20"/>
        </w:rPr>
        <w:t>actions</w:t>
      </w:r>
      <w:r w:rsidR="00A7715B" w:rsidRPr="00FF5951">
        <w:rPr>
          <w:color w:val="000000"/>
          <w:sz w:val="20"/>
          <w:szCs w:val="20"/>
        </w:rPr>
        <w:t xml:space="preserve"> related to guess</w:t>
      </w:r>
      <w:r w:rsidR="00B04780" w:rsidRPr="00FF5951">
        <w:rPr>
          <w:color w:val="000000"/>
          <w:sz w:val="20"/>
          <w:szCs w:val="20"/>
        </w:rPr>
        <w:t>ing intelligently, and overcoming limitations and writing</w:t>
      </w:r>
      <w:r w:rsidR="00ED3771">
        <w:rPr>
          <w:color w:val="000000"/>
          <w:sz w:val="20"/>
          <w:szCs w:val="20"/>
        </w:rPr>
        <w:t xml:space="preserve"> (Oxford, 1990)</w:t>
      </w:r>
      <w:r w:rsidR="00B04780" w:rsidRPr="00FF5951">
        <w:rPr>
          <w:color w:val="000000"/>
          <w:sz w:val="20"/>
          <w:szCs w:val="20"/>
        </w:rPr>
        <w:t>.</w:t>
      </w:r>
      <w:r w:rsidR="006468A9" w:rsidRPr="00FF5951">
        <w:rPr>
          <w:color w:val="000000"/>
          <w:sz w:val="20"/>
          <w:szCs w:val="20"/>
        </w:rPr>
        <w:t xml:space="preserve"> </w:t>
      </w:r>
      <w:r w:rsidR="006F79BD" w:rsidRPr="00FF5951">
        <w:rPr>
          <w:color w:val="000000"/>
          <w:sz w:val="20"/>
          <w:szCs w:val="20"/>
        </w:rPr>
        <w:t xml:space="preserve">  </w:t>
      </w:r>
      <w:r w:rsidR="00DC012C" w:rsidRPr="00FF5951">
        <w:rPr>
          <w:color w:val="000000"/>
          <w:sz w:val="20"/>
          <w:szCs w:val="20"/>
        </w:rPr>
        <w:t xml:space="preserve">Meanwhile </w:t>
      </w:r>
      <w:r w:rsidR="00441077" w:rsidRPr="00FF5951">
        <w:rPr>
          <w:color w:val="000000"/>
          <w:sz w:val="20"/>
          <w:szCs w:val="20"/>
        </w:rPr>
        <w:t xml:space="preserve">metacognitive strategies comprise actions such as: </w:t>
      </w:r>
      <w:proofErr w:type="spellStart"/>
      <w:r w:rsidR="00225590" w:rsidRPr="00FF5951">
        <w:rPr>
          <w:color w:val="000000"/>
          <w:sz w:val="20"/>
          <w:szCs w:val="20"/>
        </w:rPr>
        <w:t>cente</w:t>
      </w:r>
      <w:r w:rsidR="00BE310A" w:rsidRPr="00FF5951">
        <w:rPr>
          <w:color w:val="000000"/>
          <w:sz w:val="20"/>
          <w:szCs w:val="20"/>
        </w:rPr>
        <w:t>ring</w:t>
      </w:r>
      <w:proofErr w:type="spellEnd"/>
      <w:r w:rsidR="00BE310A" w:rsidRPr="00FF5951">
        <w:rPr>
          <w:color w:val="000000"/>
          <w:sz w:val="20"/>
          <w:szCs w:val="20"/>
        </w:rPr>
        <w:t xml:space="preserve"> one’s </w:t>
      </w:r>
      <w:r w:rsidR="00891089" w:rsidRPr="00FF5951">
        <w:rPr>
          <w:color w:val="000000"/>
          <w:sz w:val="20"/>
          <w:szCs w:val="20"/>
        </w:rPr>
        <w:t>learning,</w:t>
      </w:r>
      <w:r w:rsidR="00BE310A" w:rsidRPr="00FF5951">
        <w:rPr>
          <w:color w:val="000000"/>
          <w:sz w:val="20"/>
          <w:szCs w:val="20"/>
        </w:rPr>
        <w:t xml:space="preserve"> arranging and planning one’s </w:t>
      </w:r>
      <w:r w:rsidR="00225590" w:rsidRPr="00FF5951">
        <w:rPr>
          <w:color w:val="000000"/>
          <w:sz w:val="20"/>
          <w:szCs w:val="20"/>
        </w:rPr>
        <w:t xml:space="preserve">learning, </w:t>
      </w:r>
      <w:r w:rsidR="00BE310A" w:rsidRPr="00FF5951">
        <w:rPr>
          <w:color w:val="000000"/>
          <w:sz w:val="20"/>
          <w:szCs w:val="20"/>
        </w:rPr>
        <w:t>and evaluating one’s learning</w:t>
      </w:r>
      <w:r w:rsidR="00ED3771">
        <w:rPr>
          <w:color w:val="000000"/>
          <w:sz w:val="20"/>
          <w:szCs w:val="20"/>
        </w:rPr>
        <w:t xml:space="preserve"> (Oxford, 1990)</w:t>
      </w:r>
      <w:r w:rsidR="00B33A28" w:rsidRPr="00FF5951">
        <w:rPr>
          <w:color w:val="000000"/>
          <w:sz w:val="20"/>
          <w:szCs w:val="20"/>
        </w:rPr>
        <w:t>. Affective strategies encompass lowering one’s anxiety, encouraging oneself, and taking one’s emotional temperature</w:t>
      </w:r>
      <w:r w:rsidR="00ED3771">
        <w:rPr>
          <w:color w:val="000000"/>
          <w:sz w:val="20"/>
          <w:szCs w:val="20"/>
        </w:rPr>
        <w:t xml:space="preserve"> (Oxford, 1990)</w:t>
      </w:r>
      <w:r w:rsidR="00B33A28" w:rsidRPr="00FF5951">
        <w:rPr>
          <w:color w:val="000000"/>
          <w:sz w:val="20"/>
          <w:szCs w:val="20"/>
        </w:rPr>
        <w:t xml:space="preserve">. </w:t>
      </w:r>
      <w:r w:rsidR="008A1E6A" w:rsidRPr="00FF5951">
        <w:rPr>
          <w:color w:val="000000"/>
          <w:sz w:val="20"/>
          <w:szCs w:val="20"/>
        </w:rPr>
        <w:t xml:space="preserve">The last strategies which is </w:t>
      </w:r>
      <w:r w:rsidR="00FA2EBE" w:rsidRPr="00FF5951">
        <w:rPr>
          <w:color w:val="000000"/>
          <w:sz w:val="20"/>
          <w:szCs w:val="20"/>
        </w:rPr>
        <w:t xml:space="preserve">social strategies might consist of actions for instance: asking questions, cooperating </w:t>
      </w:r>
      <w:r w:rsidR="001C39B7" w:rsidRPr="00FF5951">
        <w:rPr>
          <w:color w:val="000000"/>
          <w:sz w:val="20"/>
          <w:szCs w:val="20"/>
        </w:rPr>
        <w:t xml:space="preserve">with others, and </w:t>
      </w:r>
      <w:r w:rsidR="0061647E" w:rsidRPr="00FF5951">
        <w:rPr>
          <w:color w:val="000000"/>
          <w:sz w:val="20"/>
          <w:szCs w:val="20"/>
        </w:rPr>
        <w:t>empathising</w:t>
      </w:r>
      <w:r w:rsidR="001C39B7" w:rsidRPr="00FF5951">
        <w:rPr>
          <w:color w:val="000000"/>
          <w:sz w:val="20"/>
          <w:szCs w:val="20"/>
        </w:rPr>
        <w:t xml:space="preserve"> with others</w:t>
      </w:r>
      <w:r w:rsidR="00ED3771">
        <w:rPr>
          <w:color w:val="000000"/>
          <w:sz w:val="20"/>
          <w:szCs w:val="20"/>
        </w:rPr>
        <w:t xml:space="preserve"> (Oxford, 1990)</w:t>
      </w:r>
      <w:r w:rsidR="001C39B7" w:rsidRPr="00FF5951">
        <w:rPr>
          <w:color w:val="000000"/>
          <w:sz w:val="20"/>
          <w:szCs w:val="20"/>
        </w:rPr>
        <w:t xml:space="preserve">. </w:t>
      </w:r>
    </w:p>
    <w:p w14:paraId="370C90A9" w14:textId="78168639" w:rsidR="00AB02B5" w:rsidRPr="00755856" w:rsidRDefault="00AB02B5" w:rsidP="003A77A4">
      <w:pPr>
        <w:pStyle w:val="ListParagraph"/>
        <w:spacing w:line="360" w:lineRule="auto"/>
        <w:ind w:left="0"/>
        <w:jc w:val="both"/>
        <w:rPr>
          <w:rFonts w:ascii="Times New Roman" w:hAnsi="Times New Roman" w:cs="Times New Roman"/>
          <w:b/>
          <w:noProof/>
        </w:rPr>
      </w:pPr>
      <w:r w:rsidRPr="00755856">
        <w:rPr>
          <w:rFonts w:ascii="Times New Roman" w:hAnsi="Times New Roman" w:cs="Times New Roman"/>
          <w:b/>
          <w:noProof/>
        </w:rPr>
        <w:t>Methods</w:t>
      </w:r>
    </w:p>
    <w:p w14:paraId="11D2259C" w14:textId="4873D7AD" w:rsidR="00C65F19" w:rsidRPr="00FF5951" w:rsidRDefault="00497B94" w:rsidP="000703B3">
      <w:pPr>
        <w:pStyle w:val="ListParagraph"/>
        <w:spacing w:line="360" w:lineRule="auto"/>
        <w:ind w:left="0"/>
        <w:jc w:val="both"/>
        <w:rPr>
          <w:rFonts w:ascii="Times New Roman" w:hAnsi="Times New Roman" w:cs="Times New Roman"/>
          <w:noProof/>
          <w:sz w:val="20"/>
          <w:szCs w:val="20"/>
        </w:rPr>
      </w:pPr>
      <w:r w:rsidRPr="00FF5951">
        <w:rPr>
          <w:rFonts w:ascii="Times New Roman" w:hAnsi="Times New Roman" w:cs="Times New Roman"/>
          <w:noProof/>
          <w:sz w:val="20"/>
          <w:szCs w:val="20"/>
        </w:rPr>
        <w:t xml:space="preserve">Data </w:t>
      </w:r>
      <w:r w:rsidR="00353265" w:rsidRPr="00FF5951">
        <w:rPr>
          <w:rFonts w:ascii="Times New Roman" w:hAnsi="Times New Roman" w:cs="Times New Roman"/>
          <w:noProof/>
          <w:sz w:val="20"/>
          <w:szCs w:val="20"/>
        </w:rPr>
        <w:t>were</w:t>
      </w:r>
      <w:r w:rsidRPr="00FF5951">
        <w:rPr>
          <w:rFonts w:ascii="Times New Roman" w:hAnsi="Times New Roman" w:cs="Times New Roman"/>
          <w:noProof/>
          <w:sz w:val="20"/>
          <w:szCs w:val="20"/>
        </w:rPr>
        <w:t xml:space="preserve"> collected by administering the Strategy </w:t>
      </w:r>
      <w:r w:rsidR="00AB02B5" w:rsidRPr="00FF5951">
        <w:rPr>
          <w:rFonts w:ascii="Times New Roman" w:hAnsi="Times New Roman" w:cs="Times New Roman"/>
          <w:i/>
          <w:noProof/>
          <w:sz w:val="20"/>
          <w:szCs w:val="20"/>
        </w:rPr>
        <w:t xml:space="preserve">the Strategy Inventory for Language Learning </w:t>
      </w:r>
      <w:r w:rsidR="00AB02B5" w:rsidRPr="00FF5951">
        <w:rPr>
          <w:rFonts w:ascii="Times New Roman" w:hAnsi="Times New Roman" w:cs="Times New Roman"/>
          <w:noProof/>
          <w:sz w:val="20"/>
          <w:szCs w:val="20"/>
        </w:rPr>
        <w:t xml:space="preserve">(SILL) </w:t>
      </w:r>
      <w:r w:rsidR="00A91DD4">
        <w:rPr>
          <w:rFonts w:ascii="Times New Roman" w:hAnsi="Times New Roman" w:cs="Times New Roman"/>
          <w:noProof/>
          <w:sz w:val="20"/>
          <w:szCs w:val="20"/>
        </w:rPr>
        <w:t>questionaire</w:t>
      </w:r>
      <w:r w:rsidRPr="00FF5951">
        <w:rPr>
          <w:rFonts w:ascii="Times New Roman" w:hAnsi="Times New Roman" w:cs="Times New Roman"/>
          <w:noProof/>
          <w:sz w:val="20"/>
          <w:szCs w:val="20"/>
        </w:rPr>
        <w:t xml:space="preserve"> to the participants. </w:t>
      </w:r>
      <w:r w:rsidR="00B760D2">
        <w:rPr>
          <w:rFonts w:ascii="Times New Roman" w:hAnsi="Times New Roman" w:cs="Times New Roman"/>
          <w:noProof/>
          <w:sz w:val="20"/>
          <w:szCs w:val="20"/>
        </w:rPr>
        <w:t xml:space="preserve">The </w:t>
      </w:r>
      <w:r w:rsidR="00D633E7" w:rsidRPr="00FF5951">
        <w:rPr>
          <w:rFonts w:ascii="Times New Roman" w:hAnsi="Times New Roman" w:cs="Times New Roman"/>
          <w:noProof/>
          <w:sz w:val="20"/>
          <w:szCs w:val="20"/>
        </w:rPr>
        <w:t xml:space="preserve">participants were </w:t>
      </w:r>
      <w:r w:rsidR="009C2F82" w:rsidRPr="00FF5951">
        <w:rPr>
          <w:rFonts w:ascii="Times New Roman" w:hAnsi="Times New Roman" w:cs="Times New Roman"/>
          <w:noProof/>
          <w:sz w:val="20"/>
          <w:szCs w:val="20"/>
        </w:rPr>
        <w:t xml:space="preserve">85 students </w:t>
      </w:r>
      <w:r w:rsidR="00D218B3" w:rsidRPr="00FF5951">
        <w:rPr>
          <w:rFonts w:ascii="Times New Roman" w:hAnsi="Times New Roman" w:cs="Times New Roman"/>
          <w:noProof/>
          <w:sz w:val="20"/>
          <w:szCs w:val="20"/>
        </w:rPr>
        <w:t>of English department</w:t>
      </w:r>
      <w:r w:rsidR="00C2247A">
        <w:rPr>
          <w:rFonts w:ascii="Times New Roman" w:hAnsi="Times New Roman" w:cs="Times New Roman"/>
          <w:noProof/>
          <w:sz w:val="20"/>
          <w:szCs w:val="20"/>
        </w:rPr>
        <w:t xml:space="preserve"> class 2015</w:t>
      </w:r>
      <w:r w:rsidR="001A25E8">
        <w:rPr>
          <w:rFonts w:ascii="Times New Roman" w:hAnsi="Times New Roman" w:cs="Times New Roman"/>
          <w:noProof/>
          <w:sz w:val="20"/>
          <w:szCs w:val="20"/>
        </w:rPr>
        <w:t xml:space="preserve"> of FKIP</w:t>
      </w:r>
      <w:r w:rsidR="00B760D2">
        <w:rPr>
          <w:rFonts w:ascii="Times New Roman" w:hAnsi="Times New Roman" w:cs="Times New Roman"/>
          <w:noProof/>
          <w:sz w:val="20"/>
          <w:szCs w:val="20"/>
        </w:rPr>
        <w:t xml:space="preserve"> in Jambi University</w:t>
      </w:r>
      <w:r w:rsidR="00D218B3" w:rsidRPr="00FF5951">
        <w:rPr>
          <w:rFonts w:ascii="Times New Roman" w:hAnsi="Times New Roman" w:cs="Times New Roman"/>
          <w:noProof/>
          <w:sz w:val="20"/>
          <w:szCs w:val="20"/>
        </w:rPr>
        <w:t xml:space="preserve"> who were at their fifth semester when this study took place. </w:t>
      </w:r>
      <w:r w:rsidR="002B10BC" w:rsidRPr="00FF5951">
        <w:rPr>
          <w:rFonts w:ascii="Times New Roman" w:hAnsi="Times New Roman" w:cs="Times New Roman"/>
          <w:noProof/>
          <w:sz w:val="20"/>
          <w:szCs w:val="20"/>
        </w:rPr>
        <w:t xml:space="preserve">The students were asked to </w:t>
      </w:r>
      <w:r w:rsidR="0086108C" w:rsidRPr="00FF5951">
        <w:rPr>
          <w:rFonts w:ascii="Times New Roman" w:hAnsi="Times New Roman" w:cs="Times New Roman"/>
          <w:noProof/>
          <w:sz w:val="20"/>
          <w:szCs w:val="20"/>
        </w:rPr>
        <w:t xml:space="preserve">respond to likert-scale questionnaires consists of </w:t>
      </w:r>
      <w:r w:rsidR="00804DD2" w:rsidRPr="00FF5951">
        <w:rPr>
          <w:rFonts w:ascii="Times New Roman" w:hAnsi="Times New Roman" w:cs="Times New Roman"/>
          <w:noProof/>
          <w:sz w:val="20"/>
          <w:szCs w:val="20"/>
        </w:rPr>
        <w:t>statements related to  m</w:t>
      </w:r>
      <w:r w:rsidR="00AB02B5" w:rsidRPr="00FF5951">
        <w:rPr>
          <w:rFonts w:ascii="Times New Roman" w:hAnsi="Times New Roman" w:cs="Times New Roman"/>
          <w:noProof/>
          <w:sz w:val="20"/>
          <w:szCs w:val="20"/>
        </w:rPr>
        <w:t>emory</w:t>
      </w:r>
      <w:r w:rsidR="0049047F">
        <w:rPr>
          <w:rFonts w:ascii="Times New Roman" w:hAnsi="Times New Roman" w:cs="Times New Roman"/>
          <w:noProof/>
          <w:sz w:val="20"/>
          <w:szCs w:val="20"/>
        </w:rPr>
        <w:t>,</w:t>
      </w:r>
      <w:r w:rsidR="00AB02B5" w:rsidRPr="00FF5951">
        <w:rPr>
          <w:rFonts w:ascii="Times New Roman" w:hAnsi="Times New Roman" w:cs="Times New Roman"/>
          <w:noProof/>
          <w:sz w:val="20"/>
          <w:szCs w:val="20"/>
        </w:rPr>
        <w:t xml:space="preserve"> </w:t>
      </w:r>
      <w:r w:rsidR="003F021D" w:rsidRPr="00FF5951">
        <w:rPr>
          <w:rFonts w:ascii="Times New Roman" w:hAnsi="Times New Roman" w:cs="Times New Roman"/>
          <w:noProof/>
          <w:sz w:val="20"/>
          <w:szCs w:val="20"/>
        </w:rPr>
        <w:t>c</w:t>
      </w:r>
      <w:r w:rsidR="0049047F">
        <w:rPr>
          <w:rFonts w:ascii="Times New Roman" w:hAnsi="Times New Roman" w:cs="Times New Roman"/>
          <w:noProof/>
          <w:sz w:val="20"/>
          <w:szCs w:val="20"/>
        </w:rPr>
        <w:t xml:space="preserve">ognitive, </w:t>
      </w:r>
      <w:r w:rsidR="000E253F" w:rsidRPr="00FF5951">
        <w:rPr>
          <w:rFonts w:ascii="Times New Roman" w:hAnsi="Times New Roman" w:cs="Times New Roman"/>
          <w:noProof/>
          <w:sz w:val="20"/>
          <w:szCs w:val="20"/>
        </w:rPr>
        <w:t>c</w:t>
      </w:r>
      <w:r w:rsidR="0049047F">
        <w:rPr>
          <w:rFonts w:ascii="Times New Roman" w:hAnsi="Times New Roman" w:cs="Times New Roman"/>
          <w:noProof/>
          <w:sz w:val="20"/>
          <w:szCs w:val="20"/>
        </w:rPr>
        <w:t xml:space="preserve">ompensation, </w:t>
      </w:r>
      <w:r w:rsidR="00C5232B" w:rsidRPr="00FF5951">
        <w:rPr>
          <w:rFonts w:ascii="Times New Roman" w:hAnsi="Times New Roman" w:cs="Times New Roman"/>
          <w:noProof/>
          <w:sz w:val="20"/>
          <w:szCs w:val="20"/>
        </w:rPr>
        <w:t>m</w:t>
      </w:r>
      <w:r w:rsidR="0049047F">
        <w:rPr>
          <w:rFonts w:ascii="Times New Roman" w:hAnsi="Times New Roman" w:cs="Times New Roman"/>
          <w:noProof/>
          <w:sz w:val="20"/>
          <w:szCs w:val="20"/>
        </w:rPr>
        <w:t xml:space="preserve">etacognitive strategies, </w:t>
      </w:r>
      <w:r w:rsidR="00C5232B" w:rsidRPr="00FF5951">
        <w:rPr>
          <w:rFonts w:ascii="Times New Roman" w:hAnsi="Times New Roman" w:cs="Times New Roman"/>
          <w:noProof/>
          <w:sz w:val="20"/>
          <w:szCs w:val="20"/>
        </w:rPr>
        <w:t>a</w:t>
      </w:r>
      <w:r w:rsidR="0049047F">
        <w:rPr>
          <w:rFonts w:ascii="Times New Roman" w:hAnsi="Times New Roman" w:cs="Times New Roman"/>
          <w:noProof/>
          <w:sz w:val="20"/>
          <w:szCs w:val="20"/>
        </w:rPr>
        <w:t xml:space="preserve">ffective, </w:t>
      </w:r>
      <w:r w:rsidR="000A4BBD" w:rsidRPr="00FF5951">
        <w:rPr>
          <w:rFonts w:ascii="Times New Roman" w:hAnsi="Times New Roman" w:cs="Times New Roman"/>
          <w:noProof/>
          <w:sz w:val="20"/>
          <w:szCs w:val="20"/>
        </w:rPr>
        <w:t xml:space="preserve">and </w:t>
      </w:r>
      <w:r w:rsidR="00AA5BCD" w:rsidRPr="00FF5951">
        <w:rPr>
          <w:rFonts w:ascii="Times New Roman" w:hAnsi="Times New Roman" w:cs="Times New Roman"/>
          <w:noProof/>
          <w:sz w:val="20"/>
          <w:szCs w:val="20"/>
        </w:rPr>
        <w:t>s</w:t>
      </w:r>
      <w:r w:rsidR="0049047F">
        <w:rPr>
          <w:rFonts w:ascii="Times New Roman" w:hAnsi="Times New Roman" w:cs="Times New Roman"/>
          <w:noProof/>
          <w:sz w:val="20"/>
          <w:szCs w:val="20"/>
        </w:rPr>
        <w:t xml:space="preserve">ocial strategies. </w:t>
      </w:r>
      <w:r w:rsidR="003D70A9" w:rsidRPr="00FF5951">
        <w:rPr>
          <w:rFonts w:ascii="Times New Roman" w:hAnsi="Times New Roman" w:cs="Times New Roman"/>
          <w:noProof/>
          <w:sz w:val="20"/>
          <w:szCs w:val="20"/>
        </w:rPr>
        <w:t xml:space="preserve">Data </w:t>
      </w:r>
      <w:r w:rsidR="007559F5" w:rsidRPr="00FF5951">
        <w:rPr>
          <w:rFonts w:ascii="Times New Roman" w:hAnsi="Times New Roman" w:cs="Times New Roman"/>
          <w:noProof/>
          <w:sz w:val="20"/>
          <w:szCs w:val="20"/>
        </w:rPr>
        <w:t>gathered</w:t>
      </w:r>
      <w:r w:rsidR="0003121C" w:rsidRPr="00FF5951">
        <w:rPr>
          <w:rFonts w:ascii="Times New Roman" w:hAnsi="Times New Roman" w:cs="Times New Roman"/>
          <w:noProof/>
          <w:sz w:val="20"/>
          <w:szCs w:val="20"/>
        </w:rPr>
        <w:t xml:space="preserve"> were then analysed by using </w:t>
      </w:r>
      <w:r w:rsidR="007F0EC7" w:rsidRPr="00FF5951">
        <w:rPr>
          <w:rFonts w:ascii="Times New Roman" w:hAnsi="Times New Roman" w:cs="Times New Roman"/>
          <w:noProof/>
          <w:sz w:val="20"/>
          <w:szCs w:val="20"/>
        </w:rPr>
        <w:t xml:space="preserve">the Statistical </w:t>
      </w:r>
      <w:r w:rsidR="004D41A8" w:rsidRPr="00FF5951">
        <w:rPr>
          <w:rFonts w:ascii="Times New Roman" w:hAnsi="Times New Roman" w:cs="Times New Roman"/>
          <w:noProof/>
          <w:sz w:val="20"/>
          <w:szCs w:val="20"/>
        </w:rPr>
        <w:t>Package for the Social Scien</w:t>
      </w:r>
      <w:r w:rsidR="00E607C6" w:rsidRPr="00FF5951">
        <w:rPr>
          <w:rFonts w:ascii="Times New Roman" w:hAnsi="Times New Roman" w:cs="Times New Roman"/>
          <w:noProof/>
          <w:sz w:val="20"/>
          <w:szCs w:val="20"/>
        </w:rPr>
        <w:t>ce (S</w:t>
      </w:r>
      <w:r w:rsidR="00C65F19" w:rsidRPr="00FF5951">
        <w:rPr>
          <w:rFonts w:ascii="Times New Roman" w:hAnsi="Times New Roman" w:cs="Times New Roman"/>
          <w:noProof/>
          <w:sz w:val="20"/>
          <w:szCs w:val="20"/>
        </w:rPr>
        <w:t xml:space="preserve">PSS) to show the frequency of self-evaluation of students’ </w:t>
      </w:r>
      <w:r w:rsidR="00213D83" w:rsidRPr="00FF5951">
        <w:rPr>
          <w:rFonts w:ascii="Times New Roman" w:hAnsi="Times New Roman" w:cs="Times New Roman"/>
          <w:noProof/>
          <w:sz w:val="20"/>
          <w:szCs w:val="20"/>
        </w:rPr>
        <w:t xml:space="preserve">of their self-reported strategy use. </w:t>
      </w:r>
      <w:r w:rsidR="007852D0" w:rsidRPr="00FF5951">
        <w:rPr>
          <w:rFonts w:ascii="Times New Roman" w:hAnsi="Times New Roman" w:cs="Times New Roman"/>
          <w:noProof/>
          <w:sz w:val="20"/>
          <w:szCs w:val="20"/>
        </w:rPr>
        <w:t>The frequen</w:t>
      </w:r>
      <w:r w:rsidR="00A534B0" w:rsidRPr="00FF5951">
        <w:rPr>
          <w:rFonts w:ascii="Times New Roman" w:hAnsi="Times New Roman" w:cs="Times New Roman"/>
          <w:noProof/>
          <w:sz w:val="20"/>
          <w:szCs w:val="20"/>
        </w:rPr>
        <w:t>cies were then</w:t>
      </w:r>
      <w:r w:rsidR="0071192E" w:rsidRPr="00FF5951">
        <w:rPr>
          <w:rFonts w:ascii="Times New Roman" w:hAnsi="Times New Roman" w:cs="Times New Roman"/>
          <w:noProof/>
          <w:sz w:val="20"/>
          <w:szCs w:val="20"/>
        </w:rPr>
        <w:t xml:space="preserve"> depicted to explain the </w:t>
      </w:r>
      <w:r w:rsidR="008C779A" w:rsidRPr="00FF5951">
        <w:rPr>
          <w:rFonts w:ascii="Times New Roman" w:hAnsi="Times New Roman" w:cs="Times New Roman"/>
          <w:noProof/>
          <w:sz w:val="20"/>
          <w:szCs w:val="20"/>
        </w:rPr>
        <w:t>strategies most c</w:t>
      </w:r>
      <w:r w:rsidR="00A534B0" w:rsidRPr="00FF5951">
        <w:rPr>
          <w:rFonts w:ascii="Times New Roman" w:hAnsi="Times New Roman" w:cs="Times New Roman"/>
          <w:noProof/>
          <w:sz w:val="20"/>
          <w:szCs w:val="20"/>
        </w:rPr>
        <w:t>hosen as well as what it implied</w:t>
      </w:r>
      <w:r w:rsidR="008C779A" w:rsidRPr="00FF5951">
        <w:rPr>
          <w:rFonts w:ascii="Times New Roman" w:hAnsi="Times New Roman" w:cs="Times New Roman"/>
          <w:noProof/>
          <w:sz w:val="20"/>
          <w:szCs w:val="20"/>
        </w:rPr>
        <w:t xml:space="preserve"> for the learners and the teachers.   </w:t>
      </w:r>
    </w:p>
    <w:p w14:paraId="45F98D61" w14:textId="77777777" w:rsidR="00C65F19" w:rsidRPr="00FF5951" w:rsidRDefault="00C65F19" w:rsidP="00AB02B5">
      <w:pPr>
        <w:spacing w:line="360" w:lineRule="auto"/>
        <w:jc w:val="both"/>
        <w:rPr>
          <w:noProof/>
          <w:sz w:val="20"/>
          <w:szCs w:val="20"/>
        </w:rPr>
      </w:pPr>
    </w:p>
    <w:p w14:paraId="5C405A56" w14:textId="75AF103F" w:rsidR="00AB02B5" w:rsidRPr="00755856" w:rsidRDefault="00CF3280" w:rsidP="001A0F31">
      <w:pPr>
        <w:rPr>
          <w:b/>
        </w:rPr>
      </w:pPr>
      <w:r w:rsidRPr="00755856">
        <w:rPr>
          <w:b/>
        </w:rPr>
        <w:t>Findings and Discussion</w:t>
      </w:r>
    </w:p>
    <w:p w14:paraId="136D2372" w14:textId="77777777" w:rsidR="00453022" w:rsidRPr="00FF5951" w:rsidRDefault="00453022" w:rsidP="001A0F31">
      <w:pPr>
        <w:rPr>
          <w:b/>
          <w:sz w:val="20"/>
          <w:szCs w:val="20"/>
        </w:rPr>
      </w:pPr>
    </w:p>
    <w:p w14:paraId="322B7556" w14:textId="432EE70E" w:rsidR="00B926B3" w:rsidRPr="00FF5951" w:rsidRDefault="00B926B3" w:rsidP="00626C87">
      <w:pPr>
        <w:spacing w:line="360" w:lineRule="auto"/>
        <w:jc w:val="both"/>
        <w:rPr>
          <w:noProof/>
          <w:sz w:val="20"/>
          <w:szCs w:val="20"/>
        </w:rPr>
      </w:pPr>
      <w:r w:rsidRPr="00FF5951">
        <w:rPr>
          <w:sz w:val="20"/>
          <w:szCs w:val="20"/>
        </w:rPr>
        <w:t xml:space="preserve">The statistical analysis of the data </w:t>
      </w:r>
      <w:r w:rsidR="00B565A7" w:rsidRPr="00FF5951">
        <w:rPr>
          <w:sz w:val="20"/>
          <w:szCs w:val="20"/>
        </w:rPr>
        <w:t>revealed</w:t>
      </w:r>
      <w:r w:rsidRPr="00FF5951">
        <w:rPr>
          <w:sz w:val="20"/>
          <w:szCs w:val="20"/>
        </w:rPr>
        <w:t xml:space="preserve"> that students opted for </w:t>
      </w:r>
      <w:r w:rsidR="00BF0FE7" w:rsidRPr="00FF5951">
        <w:rPr>
          <w:i/>
          <w:noProof/>
          <w:sz w:val="20"/>
          <w:szCs w:val="20"/>
        </w:rPr>
        <w:t>metacognitive</w:t>
      </w:r>
      <w:r w:rsidR="001C1F11" w:rsidRPr="00FF5951">
        <w:rPr>
          <w:i/>
          <w:noProof/>
          <w:sz w:val="20"/>
          <w:szCs w:val="20"/>
        </w:rPr>
        <w:t xml:space="preserve"> (Part D)</w:t>
      </w:r>
      <w:r w:rsidR="00BF0FE7" w:rsidRPr="00FF5951">
        <w:rPr>
          <w:noProof/>
          <w:sz w:val="20"/>
          <w:szCs w:val="20"/>
        </w:rPr>
        <w:t xml:space="preserve">, </w:t>
      </w:r>
      <w:r w:rsidR="00BF0FE7" w:rsidRPr="00FF5951">
        <w:rPr>
          <w:i/>
          <w:noProof/>
          <w:sz w:val="20"/>
          <w:szCs w:val="20"/>
        </w:rPr>
        <w:t>cognitive</w:t>
      </w:r>
      <w:r w:rsidR="00920AAA" w:rsidRPr="00FF5951">
        <w:rPr>
          <w:i/>
          <w:noProof/>
          <w:sz w:val="20"/>
          <w:szCs w:val="20"/>
        </w:rPr>
        <w:t xml:space="preserve"> (Part B)</w:t>
      </w:r>
      <w:r w:rsidR="00BF0FE7" w:rsidRPr="00FF5951">
        <w:rPr>
          <w:noProof/>
          <w:sz w:val="20"/>
          <w:szCs w:val="20"/>
        </w:rPr>
        <w:t xml:space="preserve">, </w:t>
      </w:r>
      <w:r w:rsidR="00BF0FE7" w:rsidRPr="00FF5951">
        <w:rPr>
          <w:i/>
          <w:noProof/>
          <w:sz w:val="20"/>
          <w:szCs w:val="20"/>
        </w:rPr>
        <w:t>social</w:t>
      </w:r>
      <w:r w:rsidR="00C36EC8" w:rsidRPr="00FF5951">
        <w:rPr>
          <w:i/>
          <w:noProof/>
          <w:sz w:val="20"/>
          <w:szCs w:val="20"/>
        </w:rPr>
        <w:t xml:space="preserve"> (part F)</w:t>
      </w:r>
      <w:r w:rsidR="00BF0FE7" w:rsidRPr="00FF5951">
        <w:rPr>
          <w:noProof/>
          <w:sz w:val="20"/>
          <w:szCs w:val="20"/>
        </w:rPr>
        <w:t xml:space="preserve">, </w:t>
      </w:r>
      <w:r w:rsidR="00BF0FE7" w:rsidRPr="00FF5951">
        <w:rPr>
          <w:i/>
          <w:noProof/>
          <w:sz w:val="20"/>
          <w:szCs w:val="20"/>
        </w:rPr>
        <w:t>compensation</w:t>
      </w:r>
      <w:r w:rsidR="00351127" w:rsidRPr="00FF5951">
        <w:rPr>
          <w:i/>
          <w:noProof/>
          <w:sz w:val="20"/>
          <w:szCs w:val="20"/>
        </w:rPr>
        <w:t xml:space="preserve"> (Part C)</w:t>
      </w:r>
      <w:r w:rsidR="00BF0FE7" w:rsidRPr="00FF5951">
        <w:rPr>
          <w:noProof/>
          <w:sz w:val="20"/>
          <w:szCs w:val="20"/>
        </w:rPr>
        <w:t xml:space="preserve">, </w:t>
      </w:r>
      <w:r w:rsidR="00BF0FE7" w:rsidRPr="00FF5951">
        <w:rPr>
          <w:i/>
          <w:noProof/>
          <w:sz w:val="20"/>
          <w:szCs w:val="20"/>
        </w:rPr>
        <w:t>memory</w:t>
      </w:r>
      <w:r w:rsidR="001A1B53" w:rsidRPr="00FF5951">
        <w:rPr>
          <w:i/>
          <w:noProof/>
          <w:sz w:val="20"/>
          <w:szCs w:val="20"/>
        </w:rPr>
        <w:t xml:space="preserve"> (part A)</w:t>
      </w:r>
      <w:r w:rsidR="00BF0FE7" w:rsidRPr="00FF5951">
        <w:rPr>
          <w:i/>
          <w:noProof/>
          <w:sz w:val="20"/>
          <w:szCs w:val="20"/>
        </w:rPr>
        <w:t xml:space="preserve"> </w:t>
      </w:r>
      <w:r w:rsidR="00BF0FE7" w:rsidRPr="00FF5951">
        <w:rPr>
          <w:noProof/>
          <w:sz w:val="20"/>
          <w:szCs w:val="20"/>
        </w:rPr>
        <w:t xml:space="preserve">and </w:t>
      </w:r>
      <w:r w:rsidR="00BF0FE7" w:rsidRPr="00FF5951">
        <w:rPr>
          <w:i/>
          <w:noProof/>
          <w:sz w:val="20"/>
          <w:szCs w:val="20"/>
        </w:rPr>
        <w:t>affective</w:t>
      </w:r>
      <w:r w:rsidR="006C48BB" w:rsidRPr="00FF5951">
        <w:rPr>
          <w:i/>
          <w:noProof/>
          <w:sz w:val="20"/>
          <w:szCs w:val="20"/>
        </w:rPr>
        <w:t xml:space="preserve"> (Part E)</w:t>
      </w:r>
      <w:r w:rsidR="00BF0FE7" w:rsidRPr="00FF5951">
        <w:rPr>
          <w:noProof/>
          <w:sz w:val="20"/>
          <w:szCs w:val="20"/>
        </w:rPr>
        <w:t xml:space="preserve"> strategies r</w:t>
      </w:r>
      <w:r w:rsidRPr="00FF5951">
        <w:rPr>
          <w:noProof/>
          <w:sz w:val="20"/>
          <w:szCs w:val="20"/>
        </w:rPr>
        <w:t>espectively as the most strategies they have used in their lan</w:t>
      </w:r>
      <w:r w:rsidR="00CF6B3E" w:rsidRPr="00FF5951">
        <w:rPr>
          <w:noProof/>
          <w:sz w:val="20"/>
          <w:szCs w:val="20"/>
        </w:rPr>
        <w:t>guage learning proce</w:t>
      </w:r>
      <w:r w:rsidR="006138FE" w:rsidRPr="00FF5951">
        <w:rPr>
          <w:noProof/>
          <w:sz w:val="20"/>
          <w:szCs w:val="20"/>
        </w:rPr>
        <w:t xml:space="preserve">ss, which is shown in the following table. </w:t>
      </w:r>
    </w:p>
    <w:p w14:paraId="1D89A366" w14:textId="77777777" w:rsidR="006B404D" w:rsidRPr="00FF5951" w:rsidRDefault="006B404D" w:rsidP="00626C87">
      <w:pPr>
        <w:spacing w:line="360" w:lineRule="auto"/>
        <w:jc w:val="both"/>
        <w:rPr>
          <w:noProof/>
          <w:sz w:val="20"/>
          <w:szCs w:val="20"/>
        </w:rPr>
      </w:pPr>
    </w:p>
    <w:tbl>
      <w:tblPr>
        <w:tblW w:w="8837" w:type="dxa"/>
        <w:tblInd w:w="88" w:type="dxa"/>
        <w:tblLook w:val="04A0" w:firstRow="1" w:lastRow="0" w:firstColumn="1" w:lastColumn="0" w:noHBand="0" w:noVBand="1"/>
      </w:tblPr>
      <w:tblGrid>
        <w:gridCol w:w="1465"/>
        <w:gridCol w:w="1489"/>
        <w:gridCol w:w="1489"/>
        <w:gridCol w:w="1489"/>
        <w:gridCol w:w="1489"/>
        <w:gridCol w:w="1416"/>
      </w:tblGrid>
      <w:tr w:rsidR="005D768F" w:rsidRPr="00FF5951" w14:paraId="3E3F1861" w14:textId="77777777" w:rsidTr="005D768F">
        <w:trPr>
          <w:trHeight w:val="293"/>
        </w:trPr>
        <w:tc>
          <w:tcPr>
            <w:tcW w:w="1465" w:type="dxa"/>
            <w:vMerge w:val="restart"/>
            <w:tcBorders>
              <w:top w:val="single" w:sz="4" w:space="0" w:color="auto"/>
              <w:left w:val="single" w:sz="4" w:space="0" w:color="auto"/>
              <w:bottom w:val="single" w:sz="4" w:space="0" w:color="000000"/>
              <w:right w:val="single" w:sz="4" w:space="0" w:color="auto"/>
            </w:tcBorders>
            <w:shd w:val="clear" w:color="000000" w:fill="B2A1C7"/>
            <w:noWrap/>
            <w:vAlign w:val="center"/>
            <w:hideMark/>
          </w:tcPr>
          <w:p w14:paraId="099F9D1D"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Statement</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17375D"/>
            <w:vAlign w:val="center"/>
            <w:hideMark/>
          </w:tcPr>
          <w:p w14:paraId="4B5B122A" w14:textId="77777777" w:rsidR="006B404D" w:rsidRPr="00FF5951" w:rsidRDefault="006B404D" w:rsidP="00FD19C3">
            <w:pPr>
              <w:jc w:val="center"/>
              <w:rPr>
                <w:rFonts w:eastAsia="Times New Roman"/>
                <w:b/>
                <w:bCs/>
                <w:color w:val="FFFFFF"/>
                <w:sz w:val="20"/>
                <w:szCs w:val="20"/>
              </w:rPr>
            </w:pPr>
            <w:r w:rsidRPr="00FF5951">
              <w:rPr>
                <w:rFonts w:eastAsia="Times New Roman"/>
                <w:b/>
                <w:bCs/>
                <w:color w:val="FFFFFF"/>
                <w:sz w:val="20"/>
                <w:szCs w:val="20"/>
              </w:rPr>
              <w:t>Never or almost never true of me</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953735"/>
            <w:vAlign w:val="center"/>
            <w:hideMark/>
          </w:tcPr>
          <w:p w14:paraId="7FD4AAAC" w14:textId="77777777" w:rsidR="006B404D" w:rsidRPr="00FF5951" w:rsidRDefault="006B404D" w:rsidP="00FD19C3">
            <w:pPr>
              <w:jc w:val="center"/>
              <w:rPr>
                <w:rFonts w:eastAsia="Times New Roman"/>
                <w:color w:val="FFFFFF"/>
                <w:sz w:val="20"/>
                <w:szCs w:val="20"/>
              </w:rPr>
            </w:pPr>
            <w:r w:rsidRPr="00FF5951">
              <w:rPr>
                <w:rFonts w:eastAsia="Times New Roman"/>
                <w:color w:val="FFFFFF"/>
                <w:sz w:val="20"/>
                <w:szCs w:val="20"/>
              </w:rPr>
              <w:t>Usually not true of me</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00B050"/>
            <w:vAlign w:val="center"/>
            <w:hideMark/>
          </w:tcPr>
          <w:p w14:paraId="1CA48B63" w14:textId="77777777" w:rsidR="006B404D" w:rsidRPr="00FF5951" w:rsidRDefault="006B404D" w:rsidP="00FD19C3">
            <w:pPr>
              <w:jc w:val="center"/>
              <w:rPr>
                <w:rFonts w:eastAsia="Times New Roman"/>
                <w:b/>
                <w:bCs/>
                <w:color w:val="FFFFFF"/>
                <w:sz w:val="20"/>
                <w:szCs w:val="20"/>
              </w:rPr>
            </w:pPr>
            <w:r w:rsidRPr="00FF5951">
              <w:rPr>
                <w:rFonts w:eastAsia="Times New Roman"/>
                <w:b/>
                <w:bCs/>
                <w:color w:val="FFFFFF"/>
                <w:sz w:val="20"/>
                <w:szCs w:val="20"/>
              </w:rPr>
              <w:t>Somewhat true of me</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6F841507" w14:textId="77777777" w:rsidR="006B404D" w:rsidRPr="00FF5951" w:rsidRDefault="006B404D" w:rsidP="00FD19C3">
            <w:pPr>
              <w:jc w:val="center"/>
              <w:rPr>
                <w:rFonts w:eastAsia="Times New Roman"/>
                <w:b/>
                <w:bCs/>
                <w:color w:val="FFFFFF"/>
                <w:sz w:val="20"/>
                <w:szCs w:val="20"/>
              </w:rPr>
            </w:pPr>
            <w:r w:rsidRPr="00FF5951">
              <w:rPr>
                <w:rFonts w:eastAsia="Times New Roman"/>
                <w:b/>
                <w:bCs/>
                <w:color w:val="FFFFFF"/>
                <w:sz w:val="20"/>
                <w:szCs w:val="20"/>
              </w:rPr>
              <w:t>Usually true of me</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CCCC00"/>
            <w:vAlign w:val="center"/>
            <w:hideMark/>
          </w:tcPr>
          <w:p w14:paraId="392792FF" w14:textId="77777777" w:rsidR="006B404D" w:rsidRPr="00FF5951" w:rsidRDefault="006B404D" w:rsidP="00FD19C3">
            <w:pPr>
              <w:jc w:val="center"/>
              <w:rPr>
                <w:rFonts w:eastAsia="Times New Roman"/>
                <w:b/>
                <w:bCs/>
                <w:color w:val="FFFFFF"/>
                <w:sz w:val="20"/>
                <w:szCs w:val="20"/>
              </w:rPr>
            </w:pPr>
            <w:r w:rsidRPr="00FF5951">
              <w:rPr>
                <w:rFonts w:eastAsia="Times New Roman"/>
                <w:b/>
                <w:bCs/>
                <w:color w:val="FFFFFF"/>
                <w:sz w:val="20"/>
                <w:szCs w:val="20"/>
              </w:rPr>
              <w:t>Always or almost always true of me</w:t>
            </w:r>
          </w:p>
        </w:tc>
      </w:tr>
      <w:tr w:rsidR="005D768F" w:rsidRPr="00FF5951" w14:paraId="7F921590" w14:textId="77777777" w:rsidTr="005D768F">
        <w:trPr>
          <w:trHeight w:val="293"/>
        </w:trPr>
        <w:tc>
          <w:tcPr>
            <w:tcW w:w="1465" w:type="dxa"/>
            <w:vMerge/>
            <w:tcBorders>
              <w:top w:val="single" w:sz="4" w:space="0" w:color="auto"/>
              <w:left w:val="single" w:sz="4" w:space="0" w:color="auto"/>
              <w:bottom w:val="single" w:sz="4" w:space="0" w:color="000000"/>
              <w:right w:val="single" w:sz="4" w:space="0" w:color="auto"/>
            </w:tcBorders>
            <w:vAlign w:val="center"/>
            <w:hideMark/>
          </w:tcPr>
          <w:p w14:paraId="15970F9E" w14:textId="77777777" w:rsidR="006B404D" w:rsidRPr="00FF5951" w:rsidRDefault="006B404D" w:rsidP="00FD19C3">
            <w:pPr>
              <w:rPr>
                <w:rFonts w:eastAsia="Times New Roman"/>
                <w:color w:val="000000"/>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F3ED3B9" w14:textId="77777777" w:rsidR="006B404D" w:rsidRPr="00FF5951" w:rsidRDefault="006B404D" w:rsidP="00FD19C3">
            <w:pPr>
              <w:rPr>
                <w:rFonts w:eastAsia="Times New Roman"/>
                <w:b/>
                <w:bCs/>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084D4A4F" w14:textId="77777777" w:rsidR="006B404D" w:rsidRPr="00FF5951" w:rsidRDefault="006B404D" w:rsidP="00FD19C3">
            <w:pPr>
              <w:rPr>
                <w:rFonts w:eastAsia="Times New Roman"/>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182873F8" w14:textId="77777777" w:rsidR="006B404D" w:rsidRPr="00FF5951" w:rsidRDefault="006B404D" w:rsidP="00FD19C3">
            <w:pPr>
              <w:rPr>
                <w:rFonts w:eastAsia="Times New Roman"/>
                <w:b/>
                <w:bCs/>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2F5BE91" w14:textId="77777777" w:rsidR="006B404D" w:rsidRPr="00FF5951" w:rsidRDefault="006B404D" w:rsidP="00FD19C3">
            <w:pPr>
              <w:rPr>
                <w:rFonts w:eastAsia="Times New Roman"/>
                <w:b/>
                <w:bCs/>
                <w:color w:val="FFFFFF"/>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89CB9D7" w14:textId="77777777" w:rsidR="006B404D" w:rsidRPr="00FF5951" w:rsidRDefault="006B404D" w:rsidP="00FD19C3">
            <w:pPr>
              <w:rPr>
                <w:rFonts w:eastAsia="Times New Roman"/>
                <w:b/>
                <w:bCs/>
                <w:color w:val="FFFFFF"/>
                <w:sz w:val="20"/>
                <w:szCs w:val="20"/>
              </w:rPr>
            </w:pPr>
          </w:p>
        </w:tc>
      </w:tr>
      <w:tr w:rsidR="005D768F" w:rsidRPr="00FF5951" w14:paraId="2D2735BB" w14:textId="77777777" w:rsidTr="005D768F">
        <w:trPr>
          <w:trHeight w:val="293"/>
        </w:trPr>
        <w:tc>
          <w:tcPr>
            <w:tcW w:w="1465" w:type="dxa"/>
            <w:vMerge/>
            <w:tcBorders>
              <w:top w:val="single" w:sz="4" w:space="0" w:color="auto"/>
              <w:left w:val="single" w:sz="4" w:space="0" w:color="auto"/>
              <w:bottom w:val="single" w:sz="4" w:space="0" w:color="000000"/>
              <w:right w:val="single" w:sz="4" w:space="0" w:color="auto"/>
            </w:tcBorders>
            <w:vAlign w:val="center"/>
            <w:hideMark/>
          </w:tcPr>
          <w:p w14:paraId="225238D0" w14:textId="77777777" w:rsidR="006B404D" w:rsidRPr="00FF5951" w:rsidRDefault="006B404D" w:rsidP="00FD19C3">
            <w:pPr>
              <w:rPr>
                <w:rFonts w:eastAsia="Times New Roman"/>
                <w:color w:val="000000"/>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475A5502" w14:textId="77777777" w:rsidR="006B404D" w:rsidRPr="00FF5951" w:rsidRDefault="006B404D" w:rsidP="00FD19C3">
            <w:pPr>
              <w:rPr>
                <w:rFonts w:eastAsia="Times New Roman"/>
                <w:b/>
                <w:bCs/>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F7C1892" w14:textId="77777777" w:rsidR="006B404D" w:rsidRPr="00FF5951" w:rsidRDefault="006B404D" w:rsidP="00FD19C3">
            <w:pPr>
              <w:rPr>
                <w:rFonts w:eastAsia="Times New Roman"/>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06C799FF" w14:textId="77777777" w:rsidR="006B404D" w:rsidRPr="00FF5951" w:rsidRDefault="006B404D" w:rsidP="00FD19C3">
            <w:pPr>
              <w:rPr>
                <w:rFonts w:eastAsia="Times New Roman"/>
                <w:b/>
                <w:bCs/>
                <w:color w:val="FFFFFF"/>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326B6FFA" w14:textId="77777777" w:rsidR="006B404D" w:rsidRPr="00FF5951" w:rsidRDefault="006B404D" w:rsidP="00FD19C3">
            <w:pPr>
              <w:rPr>
                <w:rFonts w:eastAsia="Times New Roman"/>
                <w:b/>
                <w:bCs/>
                <w:color w:val="FFFFFF"/>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5EB3A754" w14:textId="77777777" w:rsidR="006B404D" w:rsidRPr="00FF5951" w:rsidRDefault="006B404D" w:rsidP="00FD19C3">
            <w:pPr>
              <w:rPr>
                <w:rFonts w:eastAsia="Times New Roman"/>
                <w:b/>
                <w:bCs/>
                <w:color w:val="FFFFFF"/>
                <w:sz w:val="20"/>
                <w:szCs w:val="20"/>
              </w:rPr>
            </w:pPr>
          </w:p>
        </w:tc>
      </w:tr>
      <w:tr w:rsidR="005D768F" w:rsidRPr="00FF5951" w14:paraId="15AA058C" w14:textId="77777777" w:rsidTr="005D768F">
        <w:trPr>
          <w:trHeight w:val="247"/>
        </w:trPr>
        <w:tc>
          <w:tcPr>
            <w:tcW w:w="1465" w:type="dxa"/>
            <w:vMerge/>
            <w:tcBorders>
              <w:top w:val="single" w:sz="4" w:space="0" w:color="auto"/>
              <w:left w:val="single" w:sz="4" w:space="0" w:color="auto"/>
              <w:bottom w:val="single" w:sz="4" w:space="0" w:color="000000"/>
              <w:right w:val="single" w:sz="4" w:space="0" w:color="auto"/>
            </w:tcBorders>
            <w:vAlign w:val="center"/>
            <w:hideMark/>
          </w:tcPr>
          <w:p w14:paraId="54451635" w14:textId="77777777" w:rsidR="006B404D" w:rsidRPr="00FF5951" w:rsidRDefault="006B404D" w:rsidP="00FD19C3">
            <w:pPr>
              <w:rPr>
                <w:rFonts w:eastAsia="Times New Roman"/>
                <w:color w:val="000000"/>
                <w:sz w:val="20"/>
                <w:szCs w:val="20"/>
              </w:rPr>
            </w:pPr>
          </w:p>
        </w:tc>
        <w:tc>
          <w:tcPr>
            <w:tcW w:w="1489" w:type="dxa"/>
            <w:tcBorders>
              <w:top w:val="single" w:sz="4" w:space="0" w:color="auto"/>
              <w:left w:val="nil"/>
              <w:bottom w:val="single" w:sz="4" w:space="0" w:color="auto"/>
              <w:right w:val="single" w:sz="4" w:space="0" w:color="000000"/>
            </w:tcBorders>
            <w:shd w:val="clear" w:color="000000" w:fill="538ED5"/>
            <w:vAlign w:val="center"/>
            <w:hideMark/>
          </w:tcPr>
          <w:p w14:paraId="7971CFD5"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w:t>
            </w:r>
          </w:p>
        </w:tc>
        <w:tc>
          <w:tcPr>
            <w:tcW w:w="1489" w:type="dxa"/>
            <w:tcBorders>
              <w:top w:val="single" w:sz="4" w:space="0" w:color="auto"/>
              <w:left w:val="nil"/>
              <w:bottom w:val="single" w:sz="4" w:space="0" w:color="auto"/>
              <w:right w:val="single" w:sz="4" w:space="0" w:color="000000"/>
            </w:tcBorders>
            <w:shd w:val="clear" w:color="000000" w:fill="D99795"/>
            <w:noWrap/>
            <w:vAlign w:val="center"/>
            <w:hideMark/>
          </w:tcPr>
          <w:p w14:paraId="1E3F23C1"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w:t>
            </w:r>
          </w:p>
        </w:tc>
        <w:tc>
          <w:tcPr>
            <w:tcW w:w="1489" w:type="dxa"/>
            <w:tcBorders>
              <w:top w:val="single" w:sz="4" w:space="0" w:color="auto"/>
              <w:left w:val="nil"/>
              <w:bottom w:val="single" w:sz="4" w:space="0" w:color="auto"/>
              <w:right w:val="single" w:sz="4" w:space="0" w:color="000000"/>
            </w:tcBorders>
            <w:shd w:val="clear" w:color="000000" w:fill="66FF66"/>
            <w:noWrap/>
            <w:vAlign w:val="center"/>
            <w:hideMark/>
          </w:tcPr>
          <w:p w14:paraId="774B62E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w:t>
            </w:r>
          </w:p>
        </w:tc>
        <w:tc>
          <w:tcPr>
            <w:tcW w:w="1489" w:type="dxa"/>
            <w:tcBorders>
              <w:top w:val="single" w:sz="4" w:space="0" w:color="auto"/>
              <w:left w:val="nil"/>
              <w:bottom w:val="single" w:sz="4" w:space="0" w:color="auto"/>
              <w:right w:val="single" w:sz="4" w:space="0" w:color="000000"/>
            </w:tcBorders>
            <w:shd w:val="clear" w:color="000000" w:fill="A5A5A5"/>
            <w:noWrap/>
            <w:vAlign w:val="center"/>
            <w:hideMark/>
          </w:tcPr>
          <w:p w14:paraId="221D1B52"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w:t>
            </w:r>
          </w:p>
        </w:tc>
        <w:tc>
          <w:tcPr>
            <w:tcW w:w="1416" w:type="dxa"/>
            <w:tcBorders>
              <w:top w:val="single" w:sz="4" w:space="0" w:color="auto"/>
              <w:left w:val="nil"/>
              <w:bottom w:val="single" w:sz="4" w:space="0" w:color="auto"/>
              <w:right w:val="single" w:sz="4" w:space="0" w:color="000000"/>
            </w:tcBorders>
            <w:shd w:val="clear" w:color="000000" w:fill="FFFF00"/>
            <w:noWrap/>
            <w:vAlign w:val="center"/>
            <w:hideMark/>
          </w:tcPr>
          <w:p w14:paraId="51ADDAA6"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w:t>
            </w:r>
          </w:p>
        </w:tc>
      </w:tr>
      <w:tr w:rsidR="005D768F" w:rsidRPr="00FF5951" w14:paraId="7601F45F" w14:textId="77777777" w:rsidTr="005D768F">
        <w:trPr>
          <w:trHeight w:val="288"/>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36A38D46"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A</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3B6F7FDC"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4.19</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3F88F51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16.2</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042E2E0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37.4</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7AA7588A"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32.7</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00FC9C39"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9.5</w:t>
            </w:r>
          </w:p>
        </w:tc>
      </w:tr>
      <w:tr w:rsidR="005D768F" w:rsidRPr="00FF5951" w14:paraId="2BB50166"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4408CD29"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B</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20B36B73"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1.6</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1E2DCE2E"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9.8</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5E4B856A"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33.3</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124A1105"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36.3</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3E7BBAAB"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19</w:t>
            </w:r>
          </w:p>
        </w:tc>
      </w:tr>
      <w:tr w:rsidR="005D768F" w:rsidRPr="00FF5951" w14:paraId="57D8D46D"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5A036046"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C</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4E913C7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34C87AD1"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14.3</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0A1C6D82"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33.7</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7FA1D5EF"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30</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7E993D7D"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20</w:t>
            </w:r>
          </w:p>
        </w:tc>
      </w:tr>
      <w:tr w:rsidR="005D768F" w:rsidRPr="00FF5951" w14:paraId="16A23A0D"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345A48B8"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D</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06A47CA2"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1.6</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6F4E18C2"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5.5</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2218B66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22.7</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291949EF"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39.6</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4A360D1F"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25.4</w:t>
            </w:r>
          </w:p>
        </w:tc>
      </w:tr>
      <w:tr w:rsidR="005D768F" w:rsidRPr="00FF5951" w14:paraId="21BEFDF2"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6899CBC1"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E</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6F2A8C71"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10</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4E5AC961"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17.1</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0BEC71AC"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32.7</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08D18863"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27.6</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6969FA94"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12.8</w:t>
            </w:r>
          </w:p>
        </w:tc>
      </w:tr>
      <w:tr w:rsidR="005D768F" w:rsidRPr="00FF5951" w14:paraId="58F177D3"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E5E0EC"/>
            <w:noWrap/>
            <w:vAlign w:val="center"/>
            <w:hideMark/>
          </w:tcPr>
          <w:p w14:paraId="37210242"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Part F</w:t>
            </w:r>
          </w:p>
        </w:tc>
        <w:tc>
          <w:tcPr>
            <w:tcW w:w="1489" w:type="dxa"/>
            <w:tcBorders>
              <w:top w:val="single" w:sz="4" w:space="0" w:color="auto"/>
              <w:left w:val="nil"/>
              <w:bottom w:val="single" w:sz="4" w:space="0" w:color="auto"/>
              <w:right w:val="single" w:sz="4" w:space="0" w:color="000000"/>
            </w:tcBorders>
            <w:shd w:val="clear" w:color="000000" w:fill="C5D9F1"/>
            <w:noWrap/>
            <w:vAlign w:val="center"/>
            <w:hideMark/>
          </w:tcPr>
          <w:p w14:paraId="0860738C"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2.6</w:t>
            </w:r>
          </w:p>
        </w:tc>
        <w:tc>
          <w:tcPr>
            <w:tcW w:w="1489" w:type="dxa"/>
            <w:tcBorders>
              <w:top w:val="single" w:sz="4" w:space="0" w:color="auto"/>
              <w:left w:val="nil"/>
              <w:bottom w:val="single" w:sz="4" w:space="0" w:color="auto"/>
              <w:right w:val="single" w:sz="4" w:space="0" w:color="000000"/>
            </w:tcBorders>
            <w:shd w:val="clear" w:color="000000" w:fill="E6B9B8"/>
            <w:noWrap/>
            <w:vAlign w:val="center"/>
            <w:hideMark/>
          </w:tcPr>
          <w:p w14:paraId="773D85F7"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8.8</w:t>
            </w:r>
          </w:p>
        </w:tc>
        <w:tc>
          <w:tcPr>
            <w:tcW w:w="1489" w:type="dxa"/>
            <w:tcBorders>
              <w:top w:val="single" w:sz="4" w:space="0" w:color="auto"/>
              <w:left w:val="nil"/>
              <w:bottom w:val="single" w:sz="4" w:space="0" w:color="auto"/>
              <w:right w:val="single" w:sz="4" w:space="0" w:color="000000"/>
            </w:tcBorders>
            <w:shd w:val="clear" w:color="000000" w:fill="C2D69A"/>
            <w:noWrap/>
            <w:vAlign w:val="center"/>
            <w:hideMark/>
          </w:tcPr>
          <w:p w14:paraId="0E495935"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30.8</w:t>
            </w:r>
          </w:p>
        </w:tc>
        <w:tc>
          <w:tcPr>
            <w:tcW w:w="1489" w:type="dxa"/>
            <w:tcBorders>
              <w:top w:val="single" w:sz="4" w:space="0" w:color="auto"/>
              <w:left w:val="nil"/>
              <w:bottom w:val="single" w:sz="4" w:space="0" w:color="auto"/>
              <w:right w:val="single" w:sz="4" w:space="0" w:color="000000"/>
            </w:tcBorders>
            <w:shd w:val="clear" w:color="000000" w:fill="D8D8D8"/>
            <w:noWrap/>
            <w:vAlign w:val="center"/>
            <w:hideMark/>
          </w:tcPr>
          <w:p w14:paraId="2EEFFF20"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35.1</w:t>
            </w:r>
          </w:p>
        </w:tc>
        <w:tc>
          <w:tcPr>
            <w:tcW w:w="1416" w:type="dxa"/>
            <w:tcBorders>
              <w:top w:val="single" w:sz="4" w:space="0" w:color="auto"/>
              <w:left w:val="nil"/>
              <w:bottom w:val="single" w:sz="4" w:space="0" w:color="auto"/>
              <w:right w:val="single" w:sz="4" w:space="0" w:color="000000"/>
            </w:tcBorders>
            <w:shd w:val="clear" w:color="000000" w:fill="FFFF99"/>
            <w:noWrap/>
            <w:vAlign w:val="center"/>
            <w:hideMark/>
          </w:tcPr>
          <w:p w14:paraId="481B434B"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22.5</w:t>
            </w:r>
          </w:p>
        </w:tc>
      </w:tr>
      <w:tr w:rsidR="005D768F" w:rsidRPr="00FF5951" w14:paraId="5C456F9E" w14:textId="77777777" w:rsidTr="005D768F">
        <w:trPr>
          <w:trHeight w:val="247"/>
        </w:trPr>
        <w:tc>
          <w:tcPr>
            <w:tcW w:w="1465" w:type="dxa"/>
            <w:tcBorders>
              <w:top w:val="nil"/>
              <w:left w:val="single" w:sz="4" w:space="0" w:color="auto"/>
              <w:bottom w:val="single" w:sz="4" w:space="0" w:color="auto"/>
              <w:right w:val="single" w:sz="4" w:space="0" w:color="auto"/>
            </w:tcBorders>
            <w:shd w:val="clear" w:color="000000" w:fill="CCC0DA"/>
            <w:noWrap/>
            <w:vAlign w:val="center"/>
            <w:hideMark/>
          </w:tcPr>
          <w:p w14:paraId="428EC2DA" w14:textId="77777777" w:rsidR="006B404D" w:rsidRPr="00FF5951" w:rsidRDefault="006B404D" w:rsidP="00FD19C3">
            <w:pPr>
              <w:jc w:val="center"/>
              <w:rPr>
                <w:rFonts w:eastAsia="Times New Roman"/>
                <w:color w:val="000000"/>
                <w:sz w:val="20"/>
                <w:szCs w:val="20"/>
              </w:rPr>
            </w:pPr>
            <w:r w:rsidRPr="00FF5951">
              <w:rPr>
                <w:rFonts w:eastAsia="Times New Roman"/>
                <w:color w:val="000000"/>
                <w:sz w:val="20"/>
                <w:szCs w:val="20"/>
              </w:rPr>
              <w:t>Average</w:t>
            </w:r>
          </w:p>
        </w:tc>
        <w:tc>
          <w:tcPr>
            <w:tcW w:w="1489" w:type="dxa"/>
            <w:tcBorders>
              <w:top w:val="single" w:sz="4" w:space="0" w:color="auto"/>
              <w:left w:val="nil"/>
              <w:bottom w:val="single" w:sz="4" w:space="0" w:color="auto"/>
              <w:right w:val="single" w:sz="4" w:space="0" w:color="000000"/>
            </w:tcBorders>
            <w:shd w:val="clear" w:color="000000" w:fill="538ED5"/>
            <w:noWrap/>
            <w:vAlign w:val="center"/>
            <w:hideMark/>
          </w:tcPr>
          <w:p w14:paraId="79D5FFEE" w14:textId="77777777" w:rsidR="006B404D" w:rsidRPr="00FF5951" w:rsidRDefault="006B404D" w:rsidP="00FD19C3">
            <w:pPr>
              <w:jc w:val="center"/>
              <w:rPr>
                <w:rFonts w:eastAsia="Times New Roman"/>
                <w:b/>
                <w:color w:val="000000"/>
                <w:sz w:val="20"/>
                <w:szCs w:val="20"/>
              </w:rPr>
            </w:pPr>
            <w:r w:rsidRPr="00FF5951">
              <w:rPr>
                <w:rFonts w:eastAsia="Times New Roman"/>
                <w:b/>
                <w:color w:val="000000"/>
                <w:sz w:val="20"/>
                <w:szCs w:val="20"/>
              </w:rPr>
              <w:t>3.67</w:t>
            </w:r>
          </w:p>
        </w:tc>
        <w:tc>
          <w:tcPr>
            <w:tcW w:w="1489" w:type="dxa"/>
            <w:tcBorders>
              <w:top w:val="single" w:sz="4" w:space="0" w:color="auto"/>
              <w:left w:val="nil"/>
              <w:bottom w:val="single" w:sz="4" w:space="0" w:color="auto"/>
              <w:right w:val="single" w:sz="4" w:space="0" w:color="000000"/>
            </w:tcBorders>
            <w:shd w:val="clear" w:color="000000" w:fill="D99795"/>
            <w:noWrap/>
            <w:vAlign w:val="center"/>
            <w:hideMark/>
          </w:tcPr>
          <w:p w14:paraId="21C84C64" w14:textId="77777777" w:rsidR="006B404D" w:rsidRPr="00FF5951" w:rsidRDefault="006B404D" w:rsidP="00FD19C3">
            <w:pPr>
              <w:jc w:val="center"/>
              <w:rPr>
                <w:rFonts w:eastAsia="Times New Roman"/>
                <w:b/>
                <w:color w:val="000000"/>
                <w:sz w:val="20"/>
                <w:szCs w:val="20"/>
              </w:rPr>
            </w:pPr>
            <w:r w:rsidRPr="00FF5951">
              <w:rPr>
                <w:rFonts w:eastAsia="Times New Roman"/>
                <w:b/>
                <w:color w:val="000000"/>
                <w:sz w:val="20"/>
                <w:szCs w:val="20"/>
              </w:rPr>
              <w:t>12.0</w:t>
            </w:r>
          </w:p>
        </w:tc>
        <w:tc>
          <w:tcPr>
            <w:tcW w:w="1489" w:type="dxa"/>
            <w:tcBorders>
              <w:top w:val="single" w:sz="4" w:space="0" w:color="auto"/>
              <w:left w:val="nil"/>
              <w:bottom w:val="single" w:sz="4" w:space="0" w:color="auto"/>
              <w:right w:val="single" w:sz="4" w:space="0" w:color="000000"/>
            </w:tcBorders>
            <w:shd w:val="clear" w:color="000000" w:fill="66FF66"/>
            <w:noWrap/>
            <w:vAlign w:val="center"/>
            <w:hideMark/>
          </w:tcPr>
          <w:p w14:paraId="1C2766C8" w14:textId="77777777" w:rsidR="006B404D" w:rsidRPr="00FF5951" w:rsidRDefault="006B404D" w:rsidP="00FD19C3">
            <w:pPr>
              <w:jc w:val="center"/>
              <w:rPr>
                <w:rFonts w:eastAsia="Times New Roman"/>
                <w:b/>
                <w:color w:val="000000"/>
                <w:sz w:val="20"/>
                <w:szCs w:val="20"/>
              </w:rPr>
            </w:pPr>
            <w:r w:rsidRPr="00FF5951">
              <w:rPr>
                <w:rFonts w:eastAsia="Times New Roman"/>
                <w:b/>
                <w:color w:val="000000"/>
                <w:sz w:val="20"/>
                <w:szCs w:val="20"/>
              </w:rPr>
              <w:t>31.8</w:t>
            </w:r>
          </w:p>
        </w:tc>
        <w:tc>
          <w:tcPr>
            <w:tcW w:w="1489" w:type="dxa"/>
            <w:tcBorders>
              <w:top w:val="single" w:sz="4" w:space="0" w:color="auto"/>
              <w:left w:val="nil"/>
              <w:bottom w:val="single" w:sz="4" w:space="0" w:color="auto"/>
              <w:right w:val="single" w:sz="4" w:space="0" w:color="000000"/>
            </w:tcBorders>
            <w:shd w:val="clear" w:color="000000" w:fill="A5A5A5"/>
            <w:noWrap/>
            <w:vAlign w:val="center"/>
            <w:hideMark/>
          </w:tcPr>
          <w:p w14:paraId="2E9EC0F4" w14:textId="77777777" w:rsidR="006B404D" w:rsidRPr="00FF5951" w:rsidRDefault="006B404D" w:rsidP="00FD19C3">
            <w:pPr>
              <w:jc w:val="center"/>
              <w:rPr>
                <w:rFonts w:eastAsia="Times New Roman"/>
                <w:b/>
                <w:color w:val="000000"/>
                <w:sz w:val="20"/>
                <w:szCs w:val="20"/>
              </w:rPr>
            </w:pPr>
            <w:r w:rsidRPr="00FF5951">
              <w:rPr>
                <w:rFonts w:eastAsia="Times New Roman"/>
                <w:b/>
                <w:color w:val="000000"/>
                <w:sz w:val="20"/>
                <w:szCs w:val="20"/>
              </w:rPr>
              <w:t>33.6</w:t>
            </w:r>
          </w:p>
        </w:tc>
        <w:tc>
          <w:tcPr>
            <w:tcW w:w="1416" w:type="dxa"/>
            <w:tcBorders>
              <w:top w:val="single" w:sz="4" w:space="0" w:color="auto"/>
              <w:left w:val="nil"/>
              <w:bottom w:val="single" w:sz="4" w:space="0" w:color="auto"/>
              <w:right w:val="single" w:sz="4" w:space="0" w:color="000000"/>
            </w:tcBorders>
            <w:shd w:val="clear" w:color="000000" w:fill="FFFF00"/>
            <w:noWrap/>
            <w:vAlign w:val="center"/>
            <w:hideMark/>
          </w:tcPr>
          <w:p w14:paraId="1B5D1042" w14:textId="77777777" w:rsidR="006B404D" w:rsidRPr="00FF5951" w:rsidRDefault="006B404D" w:rsidP="00FD19C3">
            <w:pPr>
              <w:jc w:val="center"/>
              <w:rPr>
                <w:rFonts w:eastAsia="Times New Roman"/>
                <w:b/>
                <w:color w:val="000000"/>
                <w:sz w:val="20"/>
                <w:szCs w:val="20"/>
              </w:rPr>
            </w:pPr>
            <w:r w:rsidRPr="00FF5951">
              <w:rPr>
                <w:rFonts w:eastAsia="Times New Roman"/>
                <w:b/>
                <w:color w:val="000000"/>
                <w:sz w:val="20"/>
                <w:szCs w:val="20"/>
              </w:rPr>
              <w:t>18.2</w:t>
            </w:r>
          </w:p>
        </w:tc>
      </w:tr>
    </w:tbl>
    <w:p w14:paraId="444E4450" w14:textId="77777777" w:rsidR="006B404D" w:rsidRPr="00FF5951" w:rsidRDefault="006B404D" w:rsidP="00626C87">
      <w:pPr>
        <w:spacing w:line="360" w:lineRule="auto"/>
        <w:jc w:val="both"/>
        <w:rPr>
          <w:sz w:val="20"/>
          <w:szCs w:val="20"/>
        </w:rPr>
      </w:pPr>
    </w:p>
    <w:p w14:paraId="2BECA7E8" w14:textId="057F4532" w:rsidR="00250855" w:rsidRPr="00FF5951" w:rsidRDefault="004637F5" w:rsidP="00560EBE">
      <w:pPr>
        <w:spacing w:line="360" w:lineRule="auto"/>
        <w:jc w:val="both"/>
        <w:rPr>
          <w:sz w:val="20"/>
          <w:szCs w:val="20"/>
        </w:rPr>
      </w:pPr>
      <w:r>
        <w:rPr>
          <w:sz w:val="20"/>
          <w:szCs w:val="20"/>
        </w:rPr>
        <w:t xml:space="preserve">These findings implied that the fifth semester students of English department </w:t>
      </w:r>
      <w:r w:rsidR="0069269B">
        <w:rPr>
          <w:sz w:val="20"/>
          <w:szCs w:val="20"/>
        </w:rPr>
        <w:t>are aware of</w:t>
      </w:r>
      <w:r w:rsidR="00465E31">
        <w:rPr>
          <w:sz w:val="20"/>
          <w:szCs w:val="20"/>
        </w:rPr>
        <w:t xml:space="preserve"> their own metacognitive skills which are</w:t>
      </w:r>
      <w:r w:rsidR="00584EFD" w:rsidRPr="00FF5951">
        <w:rPr>
          <w:sz w:val="20"/>
          <w:szCs w:val="20"/>
        </w:rPr>
        <w:t xml:space="preserve"> often claimed to be rare exists among students</w:t>
      </w:r>
      <w:r w:rsidR="00854191" w:rsidRPr="00FF5951">
        <w:rPr>
          <w:sz w:val="20"/>
          <w:szCs w:val="20"/>
        </w:rPr>
        <w:t xml:space="preserve"> (</w:t>
      </w:r>
      <w:proofErr w:type="spellStart"/>
      <w:r w:rsidR="00D72542" w:rsidRPr="00FF5951">
        <w:rPr>
          <w:sz w:val="20"/>
          <w:szCs w:val="20"/>
        </w:rPr>
        <w:t>Rahimi</w:t>
      </w:r>
      <w:proofErr w:type="spellEnd"/>
      <w:r w:rsidR="00D72542" w:rsidRPr="00FF5951">
        <w:rPr>
          <w:sz w:val="20"/>
          <w:szCs w:val="20"/>
        </w:rPr>
        <w:t xml:space="preserve"> &amp; </w:t>
      </w:r>
      <w:proofErr w:type="spellStart"/>
      <w:r w:rsidR="00D72542" w:rsidRPr="00FF5951">
        <w:rPr>
          <w:sz w:val="20"/>
          <w:szCs w:val="20"/>
        </w:rPr>
        <w:t>Katal</w:t>
      </w:r>
      <w:proofErr w:type="spellEnd"/>
      <w:r w:rsidR="00D72542" w:rsidRPr="00FF5951">
        <w:rPr>
          <w:sz w:val="20"/>
          <w:szCs w:val="20"/>
        </w:rPr>
        <w:t>, 2012</w:t>
      </w:r>
      <w:r w:rsidR="00854191" w:rsidRPr="00FF5951">
        <w:rPr>
          <w:sz w:val="20"/>
          <w:szCs w:val="20"/>
        </w:rPr>
        <w:t>)</w:t>
      </w:r>
      <w:r w:rsidR="000B7B93">
        <w:rPr>
          <w:sz w:val="20"/>
          <w:szCs w:val="20"/>
        </w:rPr>
        <w:t xml:space="preserve"> as well as </w:t>
      </w:r>
      <w:r w:rsidR="00866F5F">
        <w:rPr>
          <w:sz w:val="20"/>
          <w:szCs w:val="20"/>
        </w:rPr>
        <w:t>the roles of others in their learning process</w:t>
      </w:r>
      <w:r w:rsidR="00C679BA">
        <w:rPr>
          <w:sz w:val="20"/>
          <w:szCs w:val="20"/>
        </w:rPr>
        <w:t xml:space="preserve">. </w:t>
      </w:r>
      <w:r w:rsidR="000D35F5">
        <w:rPr>
          <w:sz w:val="20"/>
          <w:szCs w:val="20"/>
        </w:rPr>
        <w:t>Several research shown t</w:t>
      </w:r>
      <w:r w:rsidR="00106753">
        <w:rPr>
          <w:sz w:val="20"/>
          <w:szCs w:val="20"/>
        </w:rPr>
        <w:t>hat learners with metacognitive strategies</w:t>
      </w:r>
      <w:r w:rsidR="00CE4083">
        <w:rPr>
          <w:sz w:val="20"/>
          <w:szCs w:val="20"/>
        </w:rPr>
        <w:t xml:space="preserve"> are likely successful learners (</w:t>
      </w:r>
      <w:r w:rsidR="00FB2F70">
        <w:rPr>
          <w:sz w:val="20"/>
          <w:szCs w:val="20"/>
        </w:rPr>
        <w:t>Anderson, 2003</w:t>
      </w:r>
      <w:r w:rsidR="00CE4083">
        <w:rPr>
          <w:sz w:val="20"/>
          <w:szCs w:val="20"/>
        </w:rPr>
        <w:t>).</w:t>
      </w:r>
      <w:r w:rsidR="00FB2F70">
        <w:rPr>
          <w:sz w:val="20"/>
          <w:szCs w:val="20"/>
        </w:rPr>
        <w:t xml:space="preserve"> </w:t>
      </w:r>
      <w:r w:rsidR="00054167">
        <w:rPr>
          <w:sz w:val="20"/>
          <w:szCs w:val="20"/>
        </w:rPr>
        <w:t xml:space="preserve">Developing metacognitive strategies encourages learners to understand </w:t>
      </w:r>
      <w:r w:rsidR="000760E7">
        <w:rPr>
          <w:sz w:val="20"/>
          <w:szCs w:val="20"/>
        </w:rPr>
        <w:t xml:space="preserve">their learning process and what strategies </w:t>
      </w:r>
      <w:r w:rsidR="009F32EF">
        <w:rPr>
          <w:sz w:val="20"/>
          <w:szCs w:val="20"/>
        </w:rPr>
        <w:t>that make them succe</w:t>
      </w:r>
      <w:r w:rsidR="0056737D">
        <w:rPr>
          <w:sz w:val="20"/>
          <w:szCs w:val="20"/>
        </w:rPr>
        <w:t xml:space="preserve">ed. </w:t>
      </w:r>
      <w:r w:rsidR="002866F4">
        <w:rPr>
          <w:sz w:val="20"/>
          <w:szCs w:val="20"/>
        </w:rPr>
        <w:t xml:space="preserve">Subsequently, learners </w:t>
      </w:r>
      <w:r w:rsidR="00D566DE">
        <w:rPr>
          <w:sz w:val="20"/>
          <w:szCs w:val="20"/>
        </w:rPr>
        <w:t>with these strategies are more keen</w:t>
      </w:r>
      <w:r w:rsidR="0040552A">
        <w:rPr>
          <w:sz w:val="20"/>
          <w:szCs w:val="20"/>
        </w:rPr>
        <w:t xml:space="preserve"> to take control of variety of choices and applications </w:t>
      </w:r>
      <w:r w:rsidR="00BC78FB">
        <w:rPr>
          <w:sz w:val="20"/>
          <w:szCs w:val="20"/>
        </w:rPr>
        <w:t>of learning strategies, as well as how they go with the strategies</w:t>
      </w:r>
      <w:r w:rsidR="00357E28">
        <w:rPr>
          <w:sz w:val="20"/>
          <w:szCs w:val="20"/>
        </w:rPr>
        <w:t xml:space="preserve"> (Zhang &amp; Goh, 2006)</w:t>
      </w:r>
      <w:r w:rsidR="00BC78FB">
        <w:rPr>
          <w:sz w:val="20"/>
          <w:szCs w:val="20"/>
        </w:rPr>
        <w:t>.</w:t>
      </w:r>
      <w:r w:rsidR="00357E28">
        <w:rPr>
          <w:sz w:val="20"/>
          <w:szCs w:val="20"/>
        </w:rPr>
        <w:t xml:space="preserve"> </w:t>
      </w:r>
      <w:r w:rsidR="00552309">
        <w:rPr>
          <w:sz w:val="20"/>
          <w:szCs w:val="20"/>
        </w:rPr>
        <w:t xml:space="preserve">Rubin (1987) argued that metacognitive knowledge is very important for learners to assist them </w:t>
      </w:r>
      <w:r w:rsidR="008D52CF">
        <w:rPr>
          <w:sz w:val="20"/>
          <w:szCs w:val="20"/>
        </w:rPr>
        <w:t xml:space="preserve">to </w:t>
      </w:r>
      <w:r w:rsidR="00552309">
        <w:rPr>
          <w:sz w:val="20"/>
          <w:szCs w:val="20"/>
        </w:rPr>
        <w:t xml:space="preserve">choose and activate their learning strategies. </w:t>
      </w:r>
      <w:r w:rsidR="004207A7">
        <w:rPr>
          <w:sz w:val="20"/>
          <w:szCs w:val="20"/>
        </w:rPr>
        <w:t>Although the percentage</w:t>
      </w:r>
      <w:r w:rsidR="006A33B8">
        <w:rPr>
          <w:sz w:val="20"/>
          <w:szCs w:val="20"/>
        </w:rPr>
        <w:t xml:space="preserve"> of the metacognitive</w:t>
      </w:r>
      <w:r w:rsidR="004207A7">
        <w:rPr>
          <w:sz w:val="20"/>
          <w:szCs w:val="20"/>
        </w:rPr>
        <w:t xml:space="preserve"> strategies is</w:t>
      </w:r>
      <w:r w:rsidR="006A33B8">
        <w:rPr>
          <w:sz w:val="20"/>
          <w:szCs w:val="20"/>
        </w:rPr>
        <w:t xml:space="preserve"> not </w:t>
      </w:r>
      <w:r w:rsidR="004207A7">
        <w:rPr>
          <w:sz w:val="20"/>
          <w:szCs w:val="20"/>
        </w:rPr>
        <w:t>far beyond other preferences, w</w:t>
      </w:r>
      <w:r w:rsidR="00552309">
        <w:rPr>
          <w:sz w:val="20"/>
          <w:szCs w:val="20"/>
        </w:rPr>
        <w:t>ith the fact that</w:t>
      </w:r>
      <w:r w:rsidR="00BC78FB">
        <w:rPr>
          <w:sz w:val="20"/>
          <w:szCs w:val="20"/>
        </w:rPr>
        <w:t xml:space="preserve"> </w:t>
      </w:r>
      <w:r w:rsidR="00872F75">
        <w:rPr>
          <w:sz w:val="20"/>
          <w:szCs w:val="20"/>
        </w:rPr>
        <w:t xml:space="preserve">students have </w:t>
      </w:r>
      <w:r w:rsidR="004207A7">
        <w:rPr>
          <w:sz w:val="20"/>
          <w:szCs w:val="20"/>
        </w:rPr>
        <w:t>preferred to use</w:t>
      </w:r>
      <w:r w:rsidR="00872F75">
        <w:rPr>
          <w:sz w:val="20"/>
          <w:szCs w:val="20"/>
        </w:rPr>
        <w:t xml:space="preserve"> metacognitive skills</w:t>
      </w:r>
      <w:r w:rsidR="004207A7">
        <w:rPr>
          <w:sz w:val="20"/>
          <w:szCs w:val="20"/>
        </w:rPr>
        <w:t xml:space="preserve"> more</w:t>
      </w:r>
      <w:r w:rsidR="00872F75">
        <w:rPr>
          <w:sz w:val="20"/>
          <w:szCs w:val="20"/>
        </w:rPr>
        <w:t xml:space="preserve"> to help them </w:t>
      </w:r>
      <w:r w:rsidR="00EE26AF">
        <w:rPr>
          <w:sz w:val="20"/>
          <w:szCs w:val="20"/>
        </w:rPr>
        <w:t xml:space="preserve">acquire English, </w:t>
      </w:r>
      <w:r w:rsidR="00C36465">
        <w:rPr>
          <w:sz w:val="20"/>
          <w:szCs w:val="20"/>
        </w:rPr>
        <w:t>teachers, in particular, lecturers at English department of FKIP in Jambi University should</w:t>
      </w:r>
      <w:r w:rsidR="00D466E4">
        <w:rPr>
          <w:sz w:val="20"/>
          <w:szCs w:val="20"/>
        </w:rPr>
        <w:t xml:space="preserve"> attempt to </w:t>
      </w:r>
      <w:r w:rsidR="00B1213B">
        <w:rPr>
          <w:sz w:val="20"/>
          <w:szCs w:val="20"/>
        </w:rPr>
        <w:t xml:space="preserve">help students to cultivate </w:t>
      </w:r>
      <w:r w:rsidR="009B1F8A">
        <w:rPr>
          <w:sz w:val="20"/>
          <w:szCs w:val="20"/>
        </w:rPr>
        <w:t>these strategies</w:t>
      </w:r>
      <w:r w:rsidR="003005A8">
        <w:rPr>
          <w:sz w:val="20"/>
          <w:szCs w:val="20"/>
        </w:rPr>
        <w:t xml:space="preserve"> which does not necessarily mean </w:t>
      </w:r>
      <w:r w:rsidR="004A3970">
        <w:rPr>
          <w:sz w:val="20"/>
          <w:szCs w:val="20"/>
        </w:rPr>
        <w:t>to</w:t>
      </w:r>
      <w:r w:rsidR="003005A8">
        <w:rPr>
          <w:sz w:val="20"/>
          <w:szCs w:val="20"/>
        </w:rPr>
        <w:t xml:space="preserve"> leave out others language learning strategies</w:t>
      </w:r>
      <w:r w:rsidR="00B1213B">
        <w:rPr>
          <w:sz w:val="20"/>
          <w:szCs w:val="20"/>
        </w:rPr>
        <w:t>.</w:t>
      </w:r>
      <w:r w:rsidR="003005A8">
        <w:rPr>
          <w:sz w:val="20"/>
          <w:szCs w:val="20"/>
        </w:rPr>
        <w:t xml:space="preserve"> </w:t>
      </w:r>
      <w:r w:rsidR="008050FB">
        <w:rPr>
          <w:sz w:val="20"/>
          <w:szCs w:val="20"/>
        </w:rPr>
        <w:t xml:space="preserve">Instead, teachers or lecturers should combine </w:t>
      </w:r>
      <w:r w:rsidR="00FC63F4">
        <w:rPr>
          <w:sz w:val="20"/>
          <w:szCs w:val="20"/>
        </w:rPr>
        <w:t>these strategies into activities such as proposed by (</w:t>
      </w:r>
      <w:proofErr w:type="spellStart"/>
      <w:r w:rsidR="00FC63F4">
        <w:rPr>
          <w:sz w:val="20"/>
          <w:szCs w:val="20"/>
        </w:rPr>
        <w:t>Banisaeid</w:t>
      </w:r>
      <w:proofErr w:type="spellEnd"/>
      <w:r w:rsidR="00FC63F4">
        <w:rPr>
          <w:sz w:val="20"/>
          <w:szCs w:val="20"/>
        </w:rPr>
        <w:t xml:space="preserve">, 2015): encourage learners to be motivated in their own learning process, </w:t>
      </w:r>
      <w:r w:rsidR="00F94799">
        <w:rPr>
          <w:sz w:val="20"/>
          <w:szCs w:val="20"/>
        </w:rPr>
        <w:t xml:space="preserve">realize the importance of giving </w:t>
      </w:r>
      <w:r w:rsidR="0047459D">
        <w:rPr>
          <w:sz w:val="20"/>
          <w:szCs w:val="20"/>
        </w:rPr>
        <w:t xml:space="preserve">positive </w:t>
      </w:r>
      <w:r w:rsidR="00F94799">
        <w:rPr>
          <w:sz w:val="20"/>
          <w:szCs w:val="20"/>
        </w:rPr>
        <w:t xml:space="preserve">feedback to learners, </w:t>
      </w:r>
      <w:r w:rsidR="00C3555E">
        <w:rPr>
          <w:sz w:val="20"/>
          <w:szCs w:val="20"/>
        </w:rPr>
        <w:t xml:space="preserve">understand their students’ believes and attitudes toward their language skill learning, </w:t>
      </w:r>
      <w:r w:rsidR="00F651D4">
        <w:rPr>
          <w:sz w:val="20"/>
          <w:szCs w:val="20"/>
        </w:rPr>
        <w:t>support students to design, assess and observe their learning process,</w:t>
      </w:r>
      <w:r w:rsidR="00A3505F">
        <w:rPr>
          <w:sz w:val="20"/>
          <w:szCs w:val="20"/>
        </w:rPr>
        <w:t xml:space="preserve"> </w:t>
      </w:r>
      <w:r w:rsidR="00A82A46">
        <w:rPr>
          <w:sz w:val="20"/>
          <w:szCs w:val="20"/>
        </w:rPr>
        <w:t xml:space="preserve">assist students </w:t>
      </w:r>
      <w:r w:rsidR="00302D15">
        <w:rPr>
          <w:sz w:val="20"/>
          <w:szCs w:val="20"/>
        </w:rPr>
        <w:t xml:space="preserve">to </w:t>
      </w:r>
      <w:r w:rsidR="001A4BCD">
        <w:rPr>
          <w:sz w:val="20"/>
          <w:szCs w:val="20"/>
        </w:rPr>
        <w:t>arrange</w:t>
      </w:r>
      <w:r w:rsidR="00302D15">
        <w:rPr>
          <w:sz w:val="20"/>
          <w:szCs w:val="20"/>
        </w:rPr>
        <w:t xml:space="preserve"> and </w:t>
      </w:r>
      <w:r w:rsidR="001A4BCD">
        <w:rPr>
          <w:sz w:val="20"/>
          <w:szCs w:val="20"/>
        </w:rPr>
        <w:t>adjust</w:t>
      </w:r>
      <w:r w:rsidR="00302D15">
        <w:rPr>
          <w:sz w:val="20"/>
          <w:szCs w:val="20"/>
        </w:rPr>
        <w:t xml:space="preserve"> their learning materials,</w:t>
      </w:r>
      <w:r w:rsidR="00E2350B">
        <w:rPr>
          <w:sz w:val="20"/>
          <w:szCs w:val="20"/>
        </w:rPr>
        <w:t xml:space="preserve"> encourage learners to understand their targets and their interests, </w:t>
      </w:r>
      <w:r w:rsidR="00D33776">
        <w:rPr>
          <w:sz w:val="20"/>
          <w:szCs w:val="20"/>
        </w:rPr>
        <w:t>and guide students</w:t>
      </w:r>
      <w:r w:rsidR="00E2350B">
        <w:rPr>
          <w:sz w:val="20"/>
          <w:szCs w:val="20"/>
        </w:rPr>
        <w:t xml:space="preserve"> to improve their out of class activities such as </w:t>
      </w:r>
      <w:r w:rsidR="00D33776">
        <w:rPr>
          <w:sz w:val="20"/>
          <w:szCs w:val="20"/>
        </w:rPr>
        <w:t xml:space="preserve">seeking study partners and teacher assistances, and evaluating their notes and </w:t>
      </w:r>
      <w:r w:rsidR="00CA397C">
        <w:rPr>
          <w:sz w:val="20"/>
          <w:szCs w:val="20"/>
        </w:rPr>
        <w:t>assignments</w:t>
      </w:r>
      <w:r w:rsidR="00D33776">
        <w:rPr>
          <w:sz w:val="20"/>
          <w:szCs w:val="20"/>
        </w:rPr>
        <w:t xml:space="preserve">. </w:t>
      </w:r>
      <w:r w:rsidR="00302D15">
        <w:rPr>
          <w:sz w:val="20"/>
          <w:szCs w:val="20"/>
        </w:rPr>
        <w:t xml:space="preserve"> </w:t>
      </w:r>
      <w:r w:rsidR="00F651D4">
        <w:rPr>
          <w:sz w:val="20"/>
          <w:szCs w:val="20"/>
        </w:rPr>
        <w:t xml:space="preserve">  </w:t>
      </w:r>
      <w:r w:rsidR="00FC63F4">
        <w:rPr>
          <w:sz w:val="20"/>
          <w:szCs w:val="20"/>
        </w:rPr>
        <w:t xml:space="preserve"> </w:t>
      </w:r>
      <w:r w:rsidR="009B1F8A">
        <w:rPr>
          <w:sz w:val="20"/>
          <w:szCs w:val="20"/>
        </w:rPr>
        <w:t xml:space="preserve"> </w:t>
      </w:r>
      <w:r w:rsidR="00B1213B">
        <w:rPr>
          <w:sz w:val="20"/>
          <w:szCs w:val="20"/>
        </w:rPr>
        <w:t xml:space="preserve"> </w:t>
      </w:r>
    </w:p>
    <w:p w14:paraId="697111FC" w14:textId="77777777" w:rsidR="00F540E4" w:rsidRPr="00FF5951" w:rsidRDefault="00F540E4" w:rsidP="00560EBE">
      <w:pPr>
        <w:spacing w:line="360" w:lineRule="auto"/>
        <w:jc w:val="both"/>
        <w:rPr>
          <w:b/>
          <w:sz w:val="20"/>
          <w:szCs w:val="20"/>
        </w:rPr>
      </w:pPr>
    </w:p>
    <w:p w14:paraId="5C92CD61" w14:textId="06DDDCC1" w:rsidR="00CF3280" w:rsidRPr="00755856" w:rsidRDefault="00CF3280" w:rsidP="001A0F31">
      <w:pPr>
        <w:rPr>
          <w:b/>
        </w:rPr>
      </w:pPr>
      <w:r w:rsidRPr="00755856">
        <w:rPr>
          <w:b/>
        </w:rPr>
        <w:t xml:space="preserve">Conclusion </w:t>
      </w:r>
    </w:p>
    <w:p w14:paraId="066CBDC6" w14:textId="77777777" w:rsidR="00CA397C" w:rsidRDefault="00CA397C" w:rsidP="001A0F31">
      <w:pPr>
        <w:rPr>
          <w:b/>
          <w:sz w:val="20"/>
          <w:szCs w:val="20"/>
        </w:rPr>
      </w:pPr>
    </w:p>
    <w:p w14:paraId="14B9093C" w14:textId="0E6FD59B" w:rsidR="00CA397C" w:rsidRPr="001E5A72" w:rsidRDefault="001E5A72" w:rsidP="00A84EFE">
      <w:pPr>
        <w:spacing w:line="360" w:lineRule="auto"/>
        <w:jc w:val="both"/>
        <w:rPr>
          <w:sz w:val="20"/>
          <w:szCs w:val="20"/>
        </w:rPr>
      </w:pPr>
      <w:r>
        <w:rPr>
          <w:sz w:val="20"/>
          <w:szCs w:val="20"/>
        </w:rPr>
        <w:t xml:space="preserve">This </w:t>
      </w:r>
      <w:r w:rsidR="00050795">
        <w:rPr>
          <w:sz w:val="20"/>
          <w:szCs w:val="20"/>
        </w:rPr>
        <w:t>resea</w:t>
      </w:r>
      <w:r w:rsidR="00082673">
        <w:rPr>
          <w:sz w:val="20"/>
          <w:szCs w:val="20"/>
        </w:rPr>
        <w:t>r</w:t>
      </w:r>
      <w:r w:rsidR="00050795">
        <w:rPr>
          <w:sz w:val="20"/>
          <w:szCs w:val="20"/>
        </w:rPr>
        <w:t>ch has investigated</w:t>
      </w:r>
      <w:r w:rsidR="00082673">
        <w:rPr>
          <w:sz w:val="20"/>
          <w:szCs w:val="20"/>
        </w:rPr>
        <w:t xml:space="preserve"> </w:t>
      </w:r>
      <w:r w:rsidR="0093158F">
        <w:rPr>
          <w:sz w:val="20"/>
          <w:szCs w:val="20"/>
        </w:rPr>
        <w:t xml:space="preserve">language learning strategies of </w:t>
      </w:r>
      <w:r w:rsidR="007357A8">
        <w:rPr>
          <w:sz w:val="20"/>
          <w:szCs w:val="20"/>
        </w:rPr>
        <w:t xml:space="preserve">the fifth semester students of </w:t>
      </w:r>
      <w:r w:rsidR="000D4AEF">
        <w:rPr>
          <w:sz w:val="20"/>
          <w:szCs w:val="20"/>
        </w:rPr>
        <w:t>English department class 2015</w:t>
      </w:r>
      <w:r w:rsidR="00A426B9">
        <w:rPr>
          <w:sz w:val="20"/>
          <w:szCs w:val="20"/>
        </w:rPr>
        <w:t xml:space="preserve"> of FKIP in Jambi University</w:t>
      </w:r>
      <w:r w:rsidR="007357A8">
        <w:rPr>
          <w:sz w:val="20"/>
          <w:szCs w:val="20"/>
        </w:rPr>
        <w:t xml:space="preserve"> </w:t>
      </w:r>
      <w:r w:rsidR="00A426B9">
        <w:rPr>
          <w:sz w:val="20"/>
          <w:szCs w:val="20"/>
        </w:rPr>
        <w:t xml:space="preserve">by utilizing </w:t>
      </w:r>
      <w:r w:rsidR="00861F9F">
        <w:rPr>
          <w:sz w:val="20"/>
          <w:szCs w:val="20"/>
        </w:rPr>
        <w:t>the Strategy Inventory of Language Learning (SILL)</w:t>
      </w:r>
      <w:r w:rsidR="004F27F9">
        <w:rPr>
          <w:sz w:val="20"/>
          <w:szCs w:val="20"/>
        </w:rPr>
        <w:t>. Although self-report</w:t>
      </w:r>
      <w:r w:rsidR="00B03ED1">
        <w:rPr>
          <w:sz w:val="20"/>
          <w:szCs w:val="20"/>
        </w:rPr>
        <w:t xml:space="preserve"> may </w:t>
      </w:r>
      <w:r w:rsidR="007F1890" w:rsidRPr="00FF5951">
        <w:rPr>
          <w:sz w:val="20"/>
          <w:szCs w:val="20"/>
        </w:rPr>
        <w:t>raise disputation related to its accuracy in a case that the learners does not report honestly, it is simply the only method to investigate learners’ mental processing (</w:t>
      </w:r>
      <w:proofErr w:type="spellStart"/>
      <w:r w:rsidR="007F1890" w:rsidRPr="00FF5951">
        <w:rPr>
          <w:sz w:val="20"/>
          <w:szCs w:val="20"/>
        </w:rPr>
        <w:t>Chamot</w:t>
      </w:r>
      <w:proofErr w:type="spellEnd"/>
      <w:r w:rsidR="007F1890" w:rsidRPr="00FF5951">
        <w:rPr>
          <w:sz w:val="20"/>
          <w:szCs w:val="20"/>
        </w:rPr>
        <w:t>, 2004).</w:t>
      </w:r>
      <w:r w:rsidR="007F1890">
        <w:rPr>
          <w:sz w:val="20"/>
          <w:szCs w:val="20"/>
        </w:rPr>
        <w:t xml:space="preserve"> </w:t>
      </w:r>
      <w:r w:rsidR="000539BA">
        <w:rPr>
          <w:sz w:val="20"/>
          <w:szCs w:val="20"/>
        </w:rPr>
        <w:t xml:space="preserve">Therefore, </w:t>
      </w:r>
      <w:r w:rsidR="00450F7B">
        <w:rPr>
          <w:sz w:val="20"/>
          <w:szCs w:val="20"/>
        </w:rPr>
        <w:t xml:space="preserve">utilizing this kind of </w:t>
      </w:r>
      <w:r w:rsidR="00EE50D3">
        <w:rPr>
          <w:sz w:val="20"/>
          <w:szCs w:val="20"/>
        </w:rPr>
        <w:t>instrument</w:t>
      </w:r>
      <w:r w:rsidR="001C1B97">
        <w:rPr>
          <w:sz w:val="20"/>
          <w:szCs w:val="20"/>
        </w:rPr>
        <w:t>, teacher or lecturers can actually access their</w:t>
      </w:r>
      <w:r w:rsidR="003F0C9B">
        <w:rPr>
          <w:sz w:val="20"/>
          <w:szCs w:val="20"/>
        </w:rPr>
        <w:t xml:space="preserve"> students’</w:t>
      </w:r>
      <w:r w:rsidR="003D664E">
        <w:rPr>
          <w:sz w:val="20"/>
          <w:szCs w:val="20"/>
        </w:rPr>
        <w:t xml:space="preserve"> learning strategies. As this research revealed, students</w:t>
      </w:r>
      <w:r w:rsidR="00D00944">
        <w:rPr>
          <w:sz w:val="20"/>
          <w:szCs w:val="20"/>
        </w:rPr>
        <w:t xml:space="preserve"> have preferred </w:t>
      </w:r>
      <w:r w:rsidR="002D18D9">
        <w:rPr>
          <w:sz w:val="20"/>
          <w:szCs w:val="20"/>
        </w:rPr>
        <w:t xml:space="preserve">metacognitive strategies </w:t>
      </w:r>
      <w:r w:rsidR="00E07C2E">
        <w:rPr>
          <w:sz w:val="20"/>
          <w:szCs w:val="20"/>
        </w:rPr>
        <w:t xml:space="preserve">to be the most preferable for them </w:t>
      </w:r>
      <w:r w:rsidR="00013FA8">
        <w:rPr>
          <w:sz w:val="20"/>
          <w:szCs w:val="20"/>
        </w:rPr>
        <w:t xml:space="preserve">in learning English although </w:t>
      </w:r>
      <w:r w:rsidR="00BB476F">
        <w:rPr>
          <w:sz w:val="20"/>
          <w:szCs w:val="20"/>
        </w:rPr>
        <w:t xml:space="preserve">percentage is </w:t>
      </w:r>
      <w:r w:rsidR="001A4F47">
        <w:rPr>
          <w:sz w:val="20"/>
          <w:szCs w:val="20"/>
        </w:rPr>
        <w:t xml:space="preserve">not </w:t>
      </w:r>
      <w:r w:rsidR="00BB476F">
        <w:rPr>
          <w:sz w:val="20"/>
          <w:szCs w:val="20"/>
        </w:rPr>
        <w:t xml:space="preserve">dramatic compared </w:t>
      </w:r>
      <w:r w:rsidR="00E2639D">
        <w:rPr>
          <w:sz w:val="20"/>
          <w:szCs w:val="20"/>
        </w:rPr>
        <w:t xml:space="preserve">to other preferences but </w:t>
      </w:r>
      <w:r w:rsidR="00CE616F">
        <w:rPr>
          <w:sz w:val="20"/>
          <w:szCs w:val="20"/>
        </w:rPr>
        <w:t>lecturers in English</w:t>
      </w:r>
      <w:r w:rsidR="0013188C">
        <w:rPr>
          <w:sz w:val="20"/>
          <w:szCs w:val="20"/>
        </w:rPr>
        <w:t xml:space="preserve"> </w:t>
      </w:r>
      <w:r w:rsidR="008A63F3">
        <w:rPr>
          <w:sz w:val="20"/>
          <w:szCs w:val="20"/>
        </w:rPr>
        <w:t>department</w:t>
      </w:r>
      <w:r w:rsidR="007C1716">
        <w:rPr>
          <w:sz w:val="20"/>
          <w:szCs w:val="20"/>
        </w:rPr>
        <w:t xml:space="preserve"> of FKIP </w:t>
      </w:r>
      <w:proofErr w:type="spellStart"/>
      <w:r w:rsidR="007C1716">
        <w:rPr>
          <w:sz w:val="20"/>
          <w:szCs w:val="20"/>
        </w:rPr>
        <w:t>Universitas</w:t>
      </w:r>
      <w:proofErr w:type="spellEnd"/>
      <w:r w:rsidR="007C1716">
        <w:rPr>
          <w:sz w:val="20"/>
          <w:szCs w:val="20"/>
        </w:rPr>
        <w:t xml:space="preserve"> Jambi should pay more attention to help students to </w:t>
      </w:r>
      <w:r w:rsidR="00AC3994">
        <w:rPr>
          <w:sz w:val="20"/>
          <w:szCs w:val="20"/>
        </w:rPr>
        <w:t xml:space="preserve">use their metacognitive skills. </w:t>
      </w:r>
      <w:r w:rsidR="00E2639D">
        <w:rPr>
          <w:sz w:val="20"/>
          <w:szCs w:val="20"/>
        </w:rPr>
        <w:t xml:space="preserve"> </w:t>
      </w:r>
      <w:r w:rsidR="001C1B97">
        <w:rPr>
          <w:sz w:val="20"/>
          <w:szCs w:val="20"/>
        </w:rPr>
        <w:t xml:space="preserve"> </w:t>
      </w:r>
    </w:p>
    <w:p w14:paraId="19A3EE08" w14:textId="77777777" w:rsidR="00CA397C" w:rsidRDefault="00CA397C" w:rsidP="001A0F31">
      <w:pPr>
        <w:rPr>
          <w:b/>
          <w:sz w:val="20"/>
          <w:szCs w:val="20"/>
        </w:rPr>
      </w:pPr>
    </w:p>
    <w:p w14:paraId="40EF7B54" w14:textId="77777777" w:rsidR="00CA397C" w:rsidRPr="00FF5951" w:rsidRDefault="00CA397C" w:rsidP="001A0F31">
      <w:pPr>
        <w:rPr>
          <w:b/>
          <w:sz w:val="20"/>
          <w:szCs w:val="20"/>
        </w:rPr>
      </w:pPr>
    </w:p>
    <w:p w14:paraId="0C410259" w14:textId="77777777" w:rsidR="000C3F7B" w:rsidRDefault="000C3F7B" w:rsidP="00DB6508">
      <w:pPr>
        <w:jc w:val="center"/>
        <w:rPr>
          <w:b/>
          <w:sz w:val="20"/>
          <w:szCs w:val="20"/>
        </w:rPr>
      </w:pPr>
    </w:p>
    <w:p w14:paraId="15404F7E" w14:textId="325F1D6D" w:rsidR="00CD4673" w:rsidRPr="00755856" w:rsidRDefault="00545E8E" w:rsidP="00DB6508">
      <w:pPr>
        <w:jc w:val="center"/>
        <w:rPr>
          <w:b/>
        </w:rPr>
      </w:pPr>
      <w:r w:rsidRPr="00755856">
        <w:rPr>
          <w:b/>
        </w:rPr>
        <w:t>References</w:t>
      </w:r>
    </w:p>
    <w:p w14:paraId="3503C7B4" w14:textId="77777777" w:rsidR="000C3F7B" w:rsidRDefault="000C3F7B" w:rsidP="00272409">
      <w:pPr>
        <w:jc w:val="both"/>
        <w:rPr>
          <w:color w:val="000000"/>
          <w:sz w:val="20"/>
          <w:szCs w:val="20"/>
        </w:rPr>
      </w:pPr>
    </w:p>
    <w:p w14:paraId="0BFA9811" w14:textId="6DE7C005" w:rsidR="00844325" w:rsidRDefault="00844325" w:rsidP="00844325">
      <w:pPr>
        <w:ind w:left="425" w:hanging="425"/>
        <w:jc w:val="both"/>
        <w:rPr>
          <w:noProof/>
          <w:sz w:val="20"/>
          <w:szCs w:val="20"/>
        </w:rPr>
      </w:pPr>
      <w:r w:rsidRPr="00844325">
        <w:rPr>
          <w:noProof/>
          <w:sz w:val="20"/>
          <w:szCs w:val="20"/>
        </w:rPr>
        <w:t xml:space="preserve">Afshar, H. S., Tofighi, S., &amp; Hamazavi, R. (2016). Iranian EFL learner’s emotional intelligence, learning styles, strategy use, and their L2 achievement. </w:t>
      </w:r>
      <w:r w:rsidRPr="00844325">
        <w:rPr>
          <w:i/>
          <w:noProof/>
          <w:sz w:val="20"/>
          <w:szCs w:val="20"/>
        </w:rPr>
        <w:t>Issues in Educational Research, 26</w:t>
      </w:r>
      <w:r w:rsidRPr="00844325">
        <w:rPr>
          <w:noProof/>
          <w:sz w:val="20"/>
          <w:szCs w:val="20"/>
        </w:rPr>
        <w:t>(4), 635-652</w:t>
      </w:r>
    </w:p>
    <w:p w14:paraId="588C2CC4" w14:textId="77777777" w:rsidR="00C36292" w:rsidRDefault="00C36292" w:rsidP="00844325">
      <w:pPr>
        <w:ind w:left="425" w:hanging="425"/>
        <w:jc w:val="both"/>
        <w:rPr>
          <w:noProof/>
          <w:sz w:val="20"/>
          <w:szCs w:val="20"/>
        </w:rPr>
      </w:pPr>
    </w:p>
    <w:p w14:paraId="4FEC5B8B" w14:textId="0981241E" w:rsidR="00844325" w:rsidRPr="00C36292" w:rsidRDefault="00C36292" w:rsidP="00703615">
      <w:pPr>
        <w:widowControl w:val="0"/>
        <w:autoSpaceDE w:val="0"/>
        <w:autoSpaceDN w:val="0"/>
        <w:adjustRightInd w:val="0"/>
        <w:spacing w:after="240" w:line="240" w:lineRule="atLeast"/>
        <w:ind w:left="426" w:hanging="426"/>
        <w:jc w:val="both"/>
        <w:rPr>
          <w:color w:val="000000"/>
          <w:sz w:val="20"/>
          <w:szCs w:val="20"/>
        </w:rPr>
      </w:pPr>
      <w:r w:rsidRPr="00C36292">
        <w:rPr>
          <w:color w:val="000000"/>
          <w:sz w:val="20"/>
          <w:szCs w:val="20"/>
        </w:rPr>
        <w:t xml:space="preserve">Anderson, N. J. (2003). Metacognitive reading strategies increase L2 performance. </w:t>
      </w:r>
      <w:r w:rsidRPr="00C36292">
        <w:rPr>
          <w:i/>
          <w:iCs/>
          <w:color w:val="000000"/>
          <w:sz w:val="20"/>
          <w:szCs w:val="20"/>
        </w:rPr>
        <w:t>The Language Teacher, 27</w:t>
      </w:r>
      <w:r w:rsidRPr="00C36292">
        <w:rPr>
          <w:color w:val="000000"/>
          <w:sz w:val="20"/>
          <w:szCs w:val="20"/>
        </w:rPr>
        <w:t>, 20-22.</w:t>
      </w:r>
      <w:r w:rsidRPr="00C36292">
        <w:rPr>
          <w:rFonts w:ascii="MS Mincho" w:eastAsia="MS Mincho" w:hAnsi="MS Mincho" w:cs="MS Mincho"/>
          <w:color w:val="000000"/>
          <w:sz w:val="20"/>
          <w:szCs w:val="20"/>
        </w:rPr>
        <w:t> </w:t>
      </w:r>
    </w:p>
    <w:p w14:paraId="2CB433C7" w14:textId="61C4B6BA" w:rsidR="0021327F" w:rsidRDefault="006D0298" w:rsidP="00844325">
      <w:pPr>
        <w:ind w:left="426" w:hanging="426"/>
        <w:jc w:val="both"/>
        <w:rPr>
          <w:i/>
          <w:sz w:val="20"/>
          <w:szCs w:val="20"/>
        </w:rPr>
      </w:pPr>
      <w:proofErr w:type="spellStart"/>
      <w:r>
        <w:rPr>
          <w:sz w:val="20"/>
          <w:szCs w:val="20"/>
        </w:rPr>
        <w:t>Banisaeid</w:t>
      </w:r>
      <w:proofErr w:type="spellEnd"/>
      <w:r>
        <w:rPr>
          <w:sz w:val="20"/>
          <w:szCs w:val="20"/>
        </w:rPr>
        <w:t>, M. (</w:t>
      </w:r>
      <w:r w:rsidR="0021327F">
        <w:rPr>
          <w:sz w:val="20"/>
          <w:szCs w:val="20"/>
        </w:rPr>
        <w:t>2015)</w:t>
      </w:r>
      <w:r>
        <w:rPr>
          <w:sz w:val="20"/>
          <w:szCs w:val="20"/>
        </w:rPr>
        <w:t xml:space="preserve">. </w:t>
      </w:r>
      <w:r w:rsidR="00EB6431">
        <w:rPr>
          <w:sz w:val="20"/>
          <w:szCs w:val="20"/>
        </w:rPr>
        <w:t xml:space="preserve">The role of motivation </w:t>
      </w:r>
      <w:r w:rsidR="004C061D">
        <w:rPr>
          <w:sz w:val="20"/>
          <w:szCs w:val="20"/>
        </w:rPr>
        <w:t xml:space="preserve">in self-regulated learning </w:t>
      </w:r>
      <w:r w:rsidR="00CB5246">
        <w:rPr>
          <w:sz w:val="20"/>
          <w:szCs w:val="20"/>
        </w:rPr>
        <w:t xml:space="preserve">and language learning strategy: In the case of </w:t>
      </w:r>
      <w:r w:rsidR="0036553E">
        <w:rPr>
          <w:sz w:val="20"/>
          <w:szCs w:val="20"/>
        </w:rPr>
        <w:t xml:space="preserve">Chines EFL learners. </w:t>
      </w:r>
      <w:r w:rsidR="0036553E" w:rsidRPr="0036553E">
        <w:rPr>
          <w:i/>
          <w:sz w:val="20"/>
          <w:szCs w:val="20"/>
        </w:rPr>
        <w:t xml:space="preserve">International Journal of Applied Linguistics &amp; English Literature, </w:t>
      </w:r>
      <w:r w:rsidR="0036553E" w:rsidRPr="0036553E">
        <w:rPr>
          <w:sz w:val="20"/>
          <w:szCs w:val="20"/>
        </w:rPr>
        <w:t>4</w:t>
      </w:r>
      <w:r w:rsidR="0036553E" w:rsidRPr="0036553E">
        <w:rPr>
          <w:i/>
          <w:sz w:val="20"/>
          <w:szCs w:val="20"/>
        </w:rPr>
        <w:t xml:space="preserve">(5), </w:t>
      </w:r>
      <w:r w:rsidR="0036553E" w:rsidRPr="0036553E">
        <w:rPr>
          <w:sz w:val="20"/>
          <w:szCs w:val="20"/>
        </w:rPr>
        <w:t>36-43</w:t>
      </w:r>
      <w:r w:rsidR="0036553E" w:rsidRPr="0036553E">
        <w:rPr>
          <w:i/>
          <w:sz w:val="20"/>
          <w:szCs w:val="20"/>
        </w:rPr>
        <w:t xml:space="preserve">. </w:t>
      </w:r>
    </w:p>
    <w:p w14:paraId="2C62CB49" w14:textId="77777777" w:rsidR="00703615" w:rsidRDefault="00703615" w:rsidP="00844325">
      <w:pPr>
        <w:ind w:left="426" w:hanging="426"/>
        <w:jc w:val="both"/>
        <w:rPr>
          <w:i/>
          <w:sz w:val="20"/>
          <w:szCs w:val="20"/>
        </w:rPr>
      </w:pPr>
    </w:p>
    <w:p w14:paraId="23B31569" w14:textId="30BE3FCC" w:rsidR="00703615" w:rsidRDefault="00703615" w:rsidP="00703615">
      <w:pPr>
        <w:ind w:left="709" w:hanging="709"/>
        <w:jc w:val="both"/>
        <w:rPr>
          <w:noProof/>
          <w:sz w:val="20"/>
          <w:szCs w:val="20"/>
        </w:rPr>
      </w:pPr>
      <w:r w:rsidRPr="00703615">
        <w:rPr>
          <w:noProof/>
          <w:sz w:val="20"/>
          <w:szCs w:val="20"/>
        </w:rPr>
        <w:t xml:space="preserve">Bromley, P. (2013). Active learning strategies for diverse leanig styles: Simulations are only one method. </w:t>
      </w:r>
      <w:r w:rsidRPr="00703615">
        <w:rPr>
          <w:i/>
          <w:noProof/>
          <w:sz w:val="20"/>
          <w:szCs w:val="20"/>
        </w:rPr>
        <w:t>PS: Political Science &amp; Politics, 46</w:t>
      </w:r>
      <w:r w:rsidRPr="00703615">
        <w:rPr>
          <w:noProof/>
          <w:sz w:val="20"/>
          <w:szCs w:val="20"/>
        </w:rPr>
        <w:t>(4), 818-822</w:t>
      </w:r>
      <w:r>
        <w:rPr>
          <w:noProof/>
          <w:sz w:val="20"/>
          <w:szCs w:val="20"/>
        </w:rPr>
        <w:t>.</w:t>
      </w:r>
    </w:p>
    <w:p w14:paraId="6D670043" w14:textId="77777777" w:rsidR="00703615" w:rsidRDefault="00703615" w:rsidP="00703615">
      <w:pPr>
        <w:ind w:left="709" w:hanging="709"/>
        <w:jc w:val="both"/>
        <w:rPr>
          <w:noProof/>
          <w:sz w:val="20"/>
          <w:szCs w:val="20"/>
        </w:rPr>
      </w:pPr>
    </w:p>
    <w:p w14:paraId="4BD60B1B" w14:textId="6D74EE29" w:rsidR="00703615" w:rsidRDefault="00703615" w:rsidP="00703615">
      <w:pPr>
        <w:widowControl w:val="0"/>
        <w:autoSpaceDE w:val="0"/>
        <w:autoSpaceDN w:val="0"/>
        <w:adjustRightInd w:val="0"/>
        <w:ind w:left="567" w:hanging="567"/>
        <w:jc w:val="both"/>
        <w:rPr>
          <w:color w:val="000000"/>
          <w:sz w:val="20"/>
          <w:szCs w:val="20"/>
        </w:rPr>
      </w:pPr>
      <w:proofErr w:type="spellStart"/>
      <w:r w:rsidRPr="00703615">
        <w:rPr>
          <w:color w:val="000000"/>
          <w:sz w:val="20"/>
          <w:szCs w:val="20"/>
        </w:rPr>
        <w:t>Chamot</w:t>
      </w:r>
      <w:proofErr w:type="spellEnd"/>
      <w:r w:rsidRPr="00703615">
        <w:rPr>
          <w:color w:val="000000"/>
          <w:sz w:val="20"/>
          <w:szCs w:val="20"/>
        </w:rPr>
        <w:t xml:space="preserve">, A. U. (2005). Language learning strategy instruction: current issues and research. </w:t>
      </w:r>
      <w:r w:rsidRPr="00703615">
        <w:rPr>
          <w:i/>
          <w:iCs/>
          <w:color w:val="000000"/>
          <w:sz w:val="20"/>
          <w:szCs w:val="20"/>
        </w:rPr>
        <w:t>Annual Review of Applied Linguistics, 25</w:t>
      </w:r>
      <w:r w:rsidRPr="00703615">
        <w:rPr>
          <w:color w:val="000000"/>
          <w:sz w:val="20"/>
          <w:szCs w:val="20"/>
        </w:rPr>
        <w:t xml:space="preserve">, 112-130. </w:t>
      </w:r>
    </w:p>
    <w:p w14:paraId="5455093A" w14:textId="77777777" w:rsidR="00576780" w:rsidRDefault="00576780" w:rsidP="00703615">
      <w:pPr>
        <w:widowControl w:val="0"/>
        <w:autoSpaceDE w:val="0"/>
        <w:autoSpaceDN w:val="0"/>
        <w:adjustRightInd w:val="0"/>
        <w:ind w:left="567" w:hanging="567"/>
        <w:jc w:val="both"/>
        <w:rPr>
          <w:color w:val="000000"/>
          <w:sz w:val="20"/>
          <w:szCs w:val="20"/>
        </w:rPr>
      </w:pPr>
    </w:p>
    <w:p w14:paraId="592FF798" w14:textId="7921462C" w:rsidR="00576780" w:rsidRPr="00576780" w:rsidRDefault="00576780" w:rsidP="00576780">
      <w:pPr>
        <w:widowControl w:val="0"/>
        <w:autoSpaceDE w:val="0"/>
        <w:autoSpaceDN w:val="0"/>
        <w:adjustRightInd w:val="0"/>
        <w:ind w:left="567" w:hanging="567"/>
        <w:jc w:val="both"/>
        <w:rPr>
          <w:color w:val="000000"/>
          <w:sz w:val="20"/>
          <w:szCs w:val="20"/>
        </w:rPr>
      </w:pPr>
      <w:r w:rsidRPr="00576780">
        <w:rPr>
          <w:color w:val="000000"/>
          <w:sz w:val="20"/>
          <w:szCs w:val="20"/>
        </w:rPr>
        <w:t>Cohen,</w:t>
      </w:r>
      <w:r>
        <w:rPr>
          <w:color w:val="000000"/>
          <w:sz w:val="20"/>
          <w:szCs w:val="20"/>
        </w:rPr>
        <w:t xml:space="preserve"> A. D., Weaver, S. J., &amp; Li, T.</w:t>
      </w:r>
      <w:r w:rsidRPr="00576780">
        <w:rPr>
          <w:color w:val="000000"/>
          <w:sz w:val="20"/>
          <w:szCs w:val="20"/>
        </w:rPr>
        <w:t xml:space="preserve">Y. (1996). </w:t>
      </w:r>
      <w:r w:rsidRPr="00576780">
        <w:rPr>
          <w:i/>
          <w:iCs/>
          <w:color w:val="000000"/>
          <w:sz w:val="20"/>
          <w:szCs w:val="20"/>
        </w:rPr>
        <w:t xml:space="preserve">The impact of strategies-based instruction on speaking a foreign language </w:t>
      </w:r>
      <w:r w:rsidRPr="00576780">
        <w:rPr>
          <w:color w:val="000000"/>
          <w:sz w:val="20"/>
          <w:szCs w:val="20"/>
        </w:rPr>
        <w:t xml:space="preserve">(CARLA Working Paper #4). Minneapolis, MN: University of Minnesota, </w:t>
      </w:r>
      <w:proofErr w:type="spellStart"/>
      <w:r w:rsidRPr="00576780">
        <w:rPr>
          <w:color w:val="000000"/>
          <w:sz w:val="20"/>
          <w:szCs w:val="20"/>
        </w:rPr>
        <w:t>Center</w:t>
      </w:r>
      <w:proofErr w:type="spellEnd"/>
      <w:r w:rsidRPr="00576780">
        <w:rPr>
          <w:color w:val="000000"/>
          <w:sz w:val="20"/>
          <w:szCs w:val="20"/>
        </w:rPr>
        <w:t xml:space="preserve"> for Advanced Research on Language Acquisition. </w:t>
      </w:r>
    </w:p>
    <w:p w14:paraId="5D4FCB1D" w14:textId="77777777" w:rsidR="00576780" w:rsidRPr="00703615" w:rsidRDefault="00576780" w:rsidP="00576780">
      <w:pPr>
        <w:widowControl w:val="0"/>
        <w:autoSpaceDE w:val="0"/>
        <w:autoSpaceDN w:val="0"/>
        <w:adjustRightInd w:val="0"/>
        <w:ind w:left="567" w:hanging="567"/>
        <w:jc w:val="both"/>
        <w:rPr>
          <w:color w:val="000000"/>
          <w:sz w:val="20"/>
          <w:szCs w:val="20"/>
        </w:rPr>
      </w:pPr>
    </w:p>
    <w:p w14:paraId="55A05BB6" w14:textId="77777777" w:rsidR="00703615" w:rsidRPr="00703615" w:rsidRDefault="00703615" w:rsidP="00703615">
      <w:pPr>
        <w:jc w:val="both"/>
        <w:rPr>
          <w:noProof/>
          <w:sz w:val="20"/>
          <w:szCs w:val="20"/>
        </w:rPr>
      </w:pPr>
    </w:p>
    <w:p w14:paraId="72FFBB0E" w14:textId="2346FEBD" w:rsidR="004238B0" w:rsidRPr="00703615" w:rsidRDefault="00703615" w:rsidP="00703615">
      <w:pPr>
        <w:ind w:left="426" w:hanging="426"/>
        <w:jc w:val="both"/>
        <w:rPr>
          <w:rFonts w:ascii="MS Mincho" w:eastAsia="MS Mincho" w:hAnsi="MS Mincho" w:cs="MS Mincho"/>
          <w:color w:val="000000"/>
          <w:sz w:val="20"/>
          <w:szCs w:val="20"/>
        </w:rPr>
      </w:pPr>
      <w:r w:rsidRPr="00703615">
        <w:rPr>
          <w:noProof/>
          <w:sz w:val="20"/>
          <w:szCs w:val="20"/>
        </w:rPr>
        <w:t>Dörnyei</w:t>
      </w:r>
      <w:r w:rsidRPr="00703615">
        <w:rPr>
          <w:color w:val="000000"/>
          <w:sz w:val="20"/>
          <w:szCs w:val="20"/>
        </w:rPr>
        <w:t xml:space="preserve">, Z. (2005). </w:t>
      </w:r>
      <w:r>
        <w:rPr>
          <w:i/>
          <w:iCs/>
          <w:color w:val="000000"/>
          <w:sz w:val="20"/>
          <w:szCs w:val="20"/>
        </w:rPr>
        <w:t>The Psychology of the language learner: Individual differences in second language a</w:t>
      </w:r>
      <w:r w:rsidRPr="00703615">
        <w:rPr>
          <w:i/>
          <w:iCs/>
          <w:color w:val="000000"/>
          <w:sz w:val="20"/>
          <w:szCs w:val="20"/>
        </w:rPr>
        <w:t>cquisition</w:t>
      </w:r>
      <w:r w:rsidRPr="00703615">
        <w:rPr>
          <w:color w:val="000000"/>
          <w:sz w:val="20"/>
          <w:szCs w:val="20"/>
        </w:rPr>
        <w:t>. Mahwah, NJ: Lawrence Erlbaum Associates.</w:t>
      </w:r>
      <w:r w:rsidRPr="00703615">
        <w:rPr>
          <w:rFonts w:ascii="MS Mincho" w:eastAsia="MS Mincho" w:hAnsi="MS Mincho" w:cs="MS Mincho"/>
          <w:color w:val="000000"/>
          <w:sz w:val="20"/>
          <w:szCs w:val="20"/>
        </w:rPr>
        <w:t> </w:t>
      </w:r>
    </w:p>
    <w:p w14:paraId="084D9754" w14:textId="77777777" w:rsidR="00703615" w:rsidRDefault="00703615" w:rsidP="00272409">
      <w:pPr>
        <w:jc w:val="both"/>
        <w:rPr>
          <w:sz w:val="20"/>
          <w:szCs w:val="20"/>
        </w:rPr>
      </w:pPr>
    </w:p>
    <w:p w14:paraId="6B9EE971" w14:textId="6EE86039" w:rsidR="00703615" w:rsidRPr="00576780" w:rsidRDefault="00703615" w:rsidP="00576780">
      <w:pPr>
        <w:widowControl w:val="0"/>
        <w:autoSpaceDE w:val="0"/>
        <w:autoSpaceDN w:val="0"/>
        <w:adjustRightInd w:val="0"/>
        <w:spacing w:line="360" w:lineRule="auto"/>
        <w:ind w:left="567" w:hanging="567"/>
        <w:jc w:val="both"/>
        <w:rPr>
          <w:color w:val="000000"/>
          <w:sz w:val="20"/>
          <w:szCs w:val="20"/>
        </w:rPr>
      </w:pPr>
      <w:proofErr w:type="spellStart"/>
      <w:r w:rsidRPr="00703615">
        <w:rPr>
          <w:color w:val="000000"/>
          <w:sz w:val="20"/>
          <w:szCs w:val="20"/>
        </w:rPr>
        <w:t>Ehrman</w:t>
      </w:r>
      <w:proofErr w:type="spellEnd"/>
      <w:r w:rsidRPr="00703615">
        <w:rPr>
          <w:color w:val="000000"/>
          <w:sz w:val="20"/>
          <w:szCs w:val="20"/>
        </w:rPr>
        <w:t>, M.</w:t>
      </w:r>
      <w:r>
        <w:rPr>
          <w:color w:val="000000"/>
          <w:sz w:val="20"/>
          <w:szCs w:val="20"/>
        </w:rPr>
        <w:t>,</w:t>
      </w:r>
      <w:r w:rsidRPr="00703615">
        <w:rPr>
          <w:color w:val="000000"/>
          <w:sz w:val="20"/>
          <w:szCs w:val="20"/>
        </w:rPr>
        <w:t xml:space="preserve"> &amp; Oxford, R. (1990). Adult language learning styles and strategies in an intensive training setting. </w:t>
      </w:r>
      <w:r w:rsidRPr="00703615">
        <w:rPr>
          <w:i/>
          <w:iCs/>
          <w:color w:val="000000"/>
          <w:sz w:val="20"/>
          <w:szCs w:val="20"/>
        </w:rPr>
        <w:t>The Modern Language Journal, 74</w:t>
      </w:r>
      <w:r w:rsidRPr="00703615">
        <w:rPr>
          <w:color w:val="000000"/>
          <w:sz w:val="20"/>
          <w:szCs w:val="20"/>
        </w:rPr>
        <w:t xml:space="preserve">(iii), 311-327. </w:t>
      </w:r>
    </w:p>
    <w:p w14:paraId="5BBEA237" w14:textId="04A646FF" w:rsidR="00703615" w:rsidRDefault="00703615" w:rsidP="00B27619">
      <w:pPr>
        <w:ind w:left="567" w:hanging="567"/>
        <w:jc w:val="both"/>
        <w:rPr>
          <w:noProof/>
          <w:sz w:val="20"/>
          <w:szCs w:val="20"/>
        </w:rPr>
      </w:pPr>
      <w:r w:rsidRPr="002649ED">
        <w:rPr>
          <w:noProof/>
          <w:sz w:val="20"/>
          <w:szCs w:val="20"/>
        </w:rPr>
        <w:t xml:space="preserve">Kunasaraphan, K. (2015). English learning strategy and proficiency level of the first year students. </w:t>
      </w:r>
      <w:r w:rsidRPr="002649ED">
        <w:rPr>
          <w:i/>
          <w:noProof/>
          <w:sz w:val="20"/>
          <w:szCs w:val="20"/>
        </w:rPr>
        <w:t>Procedia-Social and Behavioral Sciences, 197</w:t>
      </w:r>
      <w:r w:rsidRPr="002649ED">
        <w:rPr>
          <w:noProof/>
          <w:sz w:val="20"/>
          <w:szCs w:val="20"/>
        </w:rPr>
        <w:t>, 1853-1858</w:t>
      </w:r>
    </w:p>
    <w:p w14:paraId="4841771A" w14:textId="77777777" w:rsidR="00C946CD" w:rsidRDefault="00C946CD" w:rsidP="00B27619">
      <w:pPr>
        <w:ind w:left="567" w:hanging="567"/>
        <w:jc w:val="both"/>
        <w:rPr>
          <w:noProof/>
          <w:sz w:val="20"/>
          <w:szCs w:val="20"/>
        </w:rPr>
      </w:pPr>
    </w:p>
    <w:p w14:paraId="45FF31BC" w14:textId="77777777" w:rsidR="00C946CD" w:rsidRPr="00C946CD" w:rsidRDefault="00C946CD" w:rsidP="00C946CD">
      <w:pPr>
        <w:widowControl w:val="0"/>
        <w:autoSpaceDE w:val="0"/>
        <w:autoSpaceDN w:val="0"/>
        <w:adjustRightInd w:val="0"/>
        <w:ind w:left="567" w:hanging="567"/>
        <w:jc w:val="both"/>
        <w:rPr>
          <w:color w:val="000000"/>
          <w:sz w:val="20"/>
          <w:szCs w:val="20"/>
        </w:rPr>
      </w:pPr>
      <w:r w:rsidRPr="00C946CD">
        <w:rPr>
          <w:color w:val="000000"/>
          <w:sz w:val="20"/>
          <w:szCs w:val="20"/>
        </w:rPr>
        <w:t xml:space="preserve">Oxford, R. L. (1990). </w:t>
      </w:r>
      <w:r w:rsidRPr="00C946CD">
        <w:rPr>
          <w:i/>
          <w:iCs/>
          <w:color w:val="000000"/>
          <w:sz w:val="20"/>
          <w:szCs w:val="20"/>
        </w:rPr>
        <w:t>Language learning strategies: what every teacher should know</w:t>
      </w:r>
      <w:r w:rsidRPr="00C946CD">
        <w:rPr>
          <w:color w:val="000000"/>
          <w:sz w:val="20"/>
          <w:szCs w:val="20"/>
        </w:rPr>
        <w:t xml:space="preserve">. Boston: </w:t>
      </w:r>
      <w:proofErr w:type="spellStart"/>
      <w:r w:rsidRPr="00C946CD">
        <w:rPr>
          <w:color w:val="000000"/>
          <w:sz w:val="20"/>
          <w:szCs w:val="20"/>
        </w:rPr>
        <w:t>Heinle</w:t>
      </w:r>
      <w:proofErr w:type="spellEnd"/>
      <w:r w:rsidRPr="00C946CD">
        <w:rPr>
          <w:color w:val="000000"/>
          <w:sz w:val="20"/>
          <w:szCs w:val="20"/>
        </w:rPr>
        <w:t xml:space="preserve"> &amp; </w:t>
      </w:r>
      <w:proofErr w:type="spellStart"/>
      <w:r w:rsidRPr="00C946CD">
        <w:rPr>
          <w:color w:val="000000"/>
          <w:sz w:val="20"/>
          <w:szCs w:val="20"/>
        </w:rPr>
        <w:t>Heinle</w:t>
      </w:r>
      <w:proofErr w:type="spellEnd"/>
      <w:r w:rsidRPr="00C946CD">
        <w:rPr>
          <w:color w:val="000000"/>
          <w:sz w:val="20"/>
          <w:szCs w:val="20"/>
        </w:rPr>
        <w:t xml:space="preserve"> Publishers. </w:t>
      </w:r>
    </w:p>
    <w:p w14:paraId="79FE5B1B" w14:textId="77777777" w:rsidR="00B27619" w:rsidRDefault="00B27619" w:rsidP="00C946CD">
      <w:pPr>
        <w:jc w:val="both"/>
        <w:rPr>
          <w:noProof/>
          <w:sz w:val="20"/>
          <w:szCs w:val="20"/>
        </w:rPr>
      </w:pPr>
    </w:p>
    <w:p w14:paraId="34EC3A63" w14:textId="51DF2193" w:rsidR="00703615" w:rsidRPr="00703615" w:rsidRDefault="00703615" w:rsidP="00703615">
      <w:pPr>
        <w:spacing w:line="360" w:lineRule="auto"/>
        <w:jc w:val="both"/>
        <w:rPr>
          <w:color w:val="000000" w:themeColor="text1"/>
          <w:sz w:val="20"/>
          <w:szCs w:val="20"/>
        </w:rPr>
      </w:pPr>
      <w:r>
        <w:rPr>
          <w:color w:val="000000" w:themeColor="text1"/>
          <w:sz w:val="20"/>
          <w:szCs w:val="20"/>
        </w:rPr>
        <w:t>Oxford, R. (1993). Research update on L2 l</w:t>
      </w:r>
      <w:r w:rsidRPr="002649ED">
        <w:rPr>
          <w:color w:val="000000" w:themeColor="text1"/>
          <w:sz w:val="20"/>
          <w:szCs w:val="20"/>
        </w:rPr>
        <w:t xml:space="preserve">istening. </w:t>
      </w:r>
      <w:r w:rsidRPr="002649ED">
        <w:rPr>
          <w:i/>
          <w:iCs/>
          <w:color w:val="000000" w:themeColor="text1"/>
          <w:sz w:val="20"/>
          <w:szCs w:val="20"/>
        </w:rPr>
        <w:t>System,</w:t>
      </w:r>
      <w:r w:rsidRPr="002649ED">
        <w:rPr>
          <w:i/>
          <w:color w:val="000000" w:themeColor="text1"/>
          <w:sz w:val="20"/>
          <w:szCs w:val="20"/>
        </w:rPr>
        <w:t xml:space="preserve"> 21</w:t>
      </w:r>
      <w:r w:rsidRPr="002649ED">
        <w:rPr>
          <w:color w:val="000000" w:themeColor="text1"/>
          <w:sz w:val="20"/>
          <w:szCs w:val="20"/>
        </w:rPr>
        <w:t>, 205-11.</w:t>
      </w:r>
    </w:p>
    <w:p w14:paraId="29A28CD2" w14:textId="43E5B40B" w:rsidR="00C36292" w:rsidRDefault="00C36292" w:rsidP="00703615">
      <w:pPr>
        <w:ind w:left="426" w:hanging="426"/>
        <w:jc w:val="both"/>
        <w:rPr>
          <w:sz w:val="20"/>
          <w:szCs w:val="20"/>
        </w:rPr>
      </w:pPr>
      <w:proofErr w:type="spellStart"/>
      <w:r>
        <w:rPr>
          <w:sz w:val="20"/>
          <w:szCs w:val="20"/>
        </w:rPr>
        <w:t>Rahimi</w:t>
      </w:r>
      <w:proofErr w:type="spellEnd"/>
      <w:r>
        <w:rPr>
          <w:sz w:val="20"/>
          <w:szCs w:val="20"/>
        </w:rPr>
        <w:t xml:space="preserve">, M., &amp; </w:t>
      </w:r>
      <w:proofErr w:type="spellStart"/>
      <w:r>
        <w:rPr>
          <w:sz w:val="20"/>
          <w:szCs w:val="20"/>
        </w:rPr>
        <w:t>Katal</w:t>
      </w:r>
      <w:proofErr w:type="spellEnd"/>
      <w:r>
        <w:rPr>
          <w:sz w:val="20"/>
          <w:szCs w:val="20"/>
        </w:rPr>
        <w:t xml:space="preserve">, M. (2012). </w:t>
      </w:r>
      <w:r w:rsidR="00405824">
        <w:rPr>
          <w:sz w:val="20"/>
          <w:szCs w:val="20"/>
        </w:rPr>
        <w:t>Metacognitive strategies awareness and success in learning English as a foreign language</w:t>
      </w:r>
      <w:r w:rsidR="00F267B0">
        <w:rPr>
          <w:sz w:val="20"/>
          <w:szCs w:val="20"/>
        </w:rPr>
        <w:t xml:space="preserve">: An overview. </w:t>
      </w:r>
      <w:r w:rsidR="004E0BB1">
        <w:rPr>
          <w:i/>
          <w:sz w:val="20"/>
          <w:szCs w:val="20"/>
        </w:rPr>
        <w:t xml:space="preserve">Procedia- </w:t>
      </w:r>
      <w:r w:rsidR="00184FB3">
        <w:rPr>
          <w:i/>
          <w:sz w:val="20"/>
          <w:szCs w:val="20"/>
        </w:rPr>
        <w:t xml:space="preserve">Social </w:t>
      </w:r>
      <w:r w:rsidR="00C82364">
        <w:rPr>
          <w:i/>
          <w:sz w:val="20"/>
          <w:szCs w:val="20"/>
        </w:rPr>
        <w:t xml:space="preserve">and </w:t>
      </w:r>
      <w:proofErr w:type="spellStart"/>
      <w:r w:rsidR="00C82364">
        <w:rPr>
          <w:i/>
          <w:sz w:val="20"/>
          <w:szCs w:val="20"/>
        </w:rPr>
        <w:t>Behavioral</w:t>
      </w:r>
      <w:proofErr w:type="spellEnd"/>
      <w:r w:rsidR="00C82364">
        <w:rPr>
          <w:i/>
          <w:sz w:val="20"/>
          <w:szCs w:val="20"/>
        </w:rPr>
        <w:t xml:space="preserve"> Sciences, 31, </w:t>
      </w:r>
      <w:r w:rsidR="00C82364">
        <w:rPr>
          <w:sz w:val="20"/>
          <w:szCs w:val="20"/>
        </w:rPr>
        <w:t>73-81.</w:t>
      </w:r>
      <w:r w:rsidR="00B13E80">
        <w:rPr>
          <w:sz w:val="20"/>
          <w:szCs w:val="20"/>
        </w:rPr>
        <w:t xml:space="preserve"> </w:t>
      </w:r>
    </w:p>
    <w:p w14:paraId="35E2293D" w14:textId="77777777" w:rsidR="005D2672" w:rsidRDefault="005D2672" w:rsidP="005D2672">
      <w:pPr>
        <w:ind w:left="426" w:hanging="426"/>
        <w:rPr>
          <w:sz w:val="20"/>
          <w:szCs w:val="20"/>
        </w:rPr>
      </w:pPr>
    </w:p>
    <w:p w14:paraId="75576038" w14:textId="6910B18F" w:rsidR="00B27619" w:rsidRPr="005D2672" w:rsidRDefault="005D2672" w:rsidP="005D2672">
      <w:pPr>
        <w:widowControl w:val="0"/>
        <w:autoSpaceDE w:val="0"/>
        <w:autoSpaceDN w:val="0"/>
        <w:adjustRightInd w:val="0"/>
        <w:spacing w:line="360" w:lineRule="auto"/>
        <w:rPr>
          <w:color w:val="000000"/>
          <w:sz w:val="20"/>
          <w:szCs w:val="20"/>
        </w:rPr>
      </w:pPr>
      <w:r w:rsidRPr="005D2672">
        <w:rPr>
          <w:color w:val="000000"/>
          <w:sz w:val="20"/>
          <w:szCs w:val="20"/>
        </w:rPr>
        <w:t xml:space="preserve">Rubin, J. (1975). What the “good language learner” can teach us. </w:t>
      </w:r>
      <w:r w:rsidRPr="005D2672">
        <w:rPr>
          <w:i/>
          <w:color w:val="000000"/>
          <w:sz w:val="20"/>
          <w:szCs w:val="20"/>
        </w:rPr>
        <w:t>TESOL Quarterly</w:t>
      </w:r>
      <w:r w:rsidRPr="005D2672">
        <w:rPr>
          <w:color w:val="000000"/>
          <w:sz w:val="20"/>
          <w:szCs w:val="20"/>
        </w:rPr>
        <w:t xml:space="preserve">, </w:t>
      </w:r>
      <w:r w:rsidRPr="005D2672">
        <w:rPr>
          <w:i/>
          <w:color w:val="000000"/>
          <w:sz w:val="20"/>
          <w:szCs w:val="20"/>
        </w:rPr>
        <w:t>9</w:t>
      </w:r>
      <w:r w:rsidRPr="005D2672">
        <w:rPr>
          <w:color w:val="000000"/>
          <w:sz w:val="20"/>
          <w:szCs w:val="20"/>
        </w:rPr>
        <w:t>, 41-51.</w:t>
      </w:r>
      <w:r w:rsidRPr="005D2672">
        <w:rPr>
          <w:rFonts w:ascii="MS Mincho" w:eastAsia="MS Mincho" w:hAnsi="MS Mincho" w:cs="MS Mincho"/>
          <w:color w:val="000000"/>
          <w:sz w:val="20"/>
          <w:szCs w:val="20"/>
        </w:rPr>
        <w:t> </w:t>
      </w:r>
    </w:p>
    <w:p w14:paraId="5C012BE1" w14:textId="70F653C6" w:rsidR="00C36292" w:rsidRPr="00B27619" w:rsidRDefault="00B27619" w:rsidP="00B27619">
      <w:pPr>
        <w:widowControl w:val="0"/>
        <w:autoSpaceDE w:val="0"/>
        <w:autoSpaceDN w:val="0"/>
        <w:adjustRightInd w:val="0"/>
        <w:spacing w:line="360" w:lineRule="auto"/>
        <w:ind w:left="567" w:hanging="567"/>
        <w:jc w:val="both"/>
        <w:rPr>
          <w:color w:val="000000"/>
          <w:sz w:val="20"/>
          <w:szCs w:val="20"/>
        </w:rPr>
      </w:pPr>
      <w:r w:rsidRPr="00B27619">
        <w:rPr>
          <w:sz w:val="20"/>
          <w:szCs w:val="20"/>
        </w:rPr>
        <w:t>Rubin. J. (1981). Study of Cognitive Processes in Second Language Learning.</w:t>
      </w:r>
      <w:r w:rsidR="00C946CD">
        <w:rPr>
          <w:sz w:val="20"/>
          <w:szCs w:val="20"/>
        </w:rPr>
        <w:t xml:space="preserve"> </w:t>
      </w:r>
      <w:r w:rsidRPr="00B27619">
        <w:rPr>
          <w:i/>
          <w:iCs/>
          <w:sz w:val="20"/>
          <w:szCs w:val="20"/>
        </w:rPr>
        <w:t xml:space="preserve">Applied Linguistics </w:t>
      </w:r>
      <w:r w:rsidRPr="00B27619">
        <w:rPr>
          <w:sz w:val="20"/>
          <w:szCs w:val="20"/>
        </w:rPr>
        <w:t xml:space="preserve">(2):117-131. </w:t>
      </w:r>
    </w:p>
    <w:p w14:paraId="3FF48E10" w14:textId="45619BA5" w:rsidR="00272409" w:rsidRDefault="004238B0" w:rsidP="00703615">
      <w:pPr>
        <w:widowControl w:val="0"/>
        <w:autoSpaceDE w:val="0"/>
        <w:autoSpaceDN w:val="0"/>
        <w:adjustRightInd w:val="0"/>
        <w:spacing w:after="240" w:line="240" w:lineRule="atLeast"/>
        <w:ind w:left="426" w:hanging="426"/>
        <w:jc w:val="both"/>
        <w:rPr>
          <w:rFonts w:ascii="MS Mincho" w:eastAsia="MS Mincho" w:hAnsi="MS Mincho" w:cs="MS Mincho"/>
          <w:color w:val="000000"/>
          <w:sz w:val="20"/>
          <w:szCs w:val="20"/>
        </w:rPr>
      </w:pPr>
      <w:r w:rsidRPr="00B27619">
        <w:rPr>
          <w:color w:val="000000"/>
          <w:sz w:val="20"/>
          <w:szCs w:val="20"/>
        </w:rPr>
        <w:t>Rubin, J. (1987). Learner strategies: Theoretical assumptions, research histor</w:t>
      </w:r>
      <w:r w:rsidR="00C36292" w:rsidRPr="00B27619">
        <w:rPr>
          <w:color w:val="000000"/>
          <w:sz w:val="20"/>
          <w:szCs w:val="20"/>
        </w:rPr>
        <w:t xml:space="preserve">y and typology. In A. </w:t>
      </w:r>
      <w:proofErr w:type="spellStart"/>
      <w:r w:rsidR="00C36292" w:rsidRPr="00B27619">
        <w:rPr>
          <w:color w:val="000000"/>
          <w:sz w:val="20"/>
          <w:szCs w:val="20"/>
        </w:rPr>
        <w:t>Wenden</w:t>
      </w:r>
      <w:proofErr w:type="spellEnd"/>
      <w:r w:rsidR="00C36292" w:rsidRPr="00B27619">
        <w:rPr>
          <w:color w:val="000000"/>
          <w:sz w:val="20"/>
          <w:szCs w:val="20"/>
        </w:rPr>
        <w:t xml:space="preserve"> &amp;</w:t>
      </w:r>
      <w:r w:rsidRPr="00B27619">
        <w:rPr>
          <w:color w:val="000000"/>
          <w:sz w:val="20"/>
          <w:szCs w:val="20"/>
        </w:rPr>
        <w:t xml:space="preserve"> J. Rubin (Eds</w:t>
      </w:r>
      <w:r w:rsidR="00C36292" w:rsidRPr="00B27619">
        <w:rPr>
          <w:color w:val="000000"/>
          <w:sz w:val="20"/>
          <w:szCs w:val="20"/>
        </w:rPr>
        <w:t>.</w:t>
      </w:r>
      <w:r w:rsidRPr="00B27619">
        <w:rPr>
          <w:color w:val="000000"/>
          <w:sz w:val="20"/>
          <w:szCs w:val="20"/>
        </w:rPr>
        <w:t>)</w:t>
      </w:r>
      <w:r w:rsidR="00C36292" w:rsidRPr="00B27619">
        <w:rPr>
          <w:color w:val="000000"/>
          <w:sz w:val="20"/>
          <w:szCs w:val="20"/>
        </w:rPr>
        <w:t>,</w:t>
      </w:r>
      <w:r w:rsidRPr="00B27619">
        <w:rPr>
          <w:color w:val="000000"/>
          <w:sz w:val="20"/>
          <w:szCs w:val="20"/>
        </w:rPr>
        <w:t xml:space="preserve"> </w:t>
      </w:r>
      <w:r w:rsidR="00B27619">
        <w:rPr>
          <w:rFonts w:ascii="Times" w:hAnsi="Times" w:cs="Times"/>
          <w:i/>
          <w:iCs/>
          <w:color w:val="000000"/>
          <w:sz w:val="20"/>
          <w:szCs w:val="20"/>
        </w:rPr>
        <w:t>Learner s</w:t>
      </w:r>
      <w:r w:rsidRPr="00B27619">
        <w:rPr>
          <w:rFonts w:ascii="Times" w:hAnsi="Times" w:cs="Times"/>
          <w:i/>
          <w:iCs/>
          <w:color w:val="000000"/>
          <w:sz w:val="20"/>
          <w:szCs w:val="20"/>
        </w:rPr>
        <w:t xml:space="preserve">trategies </w:t>
      </w:r>
      <w:r w:rsidR="00B27619">
        <w:rPr>
          <w:rFonts w:ascii="Times" w:hAnsi="Times" w:cs="Times"/>
          <w:i/>
          <w:iCs/>
          <w:color w:val="000000"/>
          <w:sz w:val="20"/>
          <w:szCs w:val="20"/>
        </w:rPr>
        <w:t>in language l</w:t>
      </w:r>
      <w:r w:rsidRPr="00B27619">
        <w:rPr>
          <w:rFonts w:ascii="Times" w:hAnsi="Times" w:cs="Times"/>
          <w:i/>
          <w:iCs/>
          <w:color w:val="000000"/>
          <w:sz w:val="20"/>
          <w:szCs w:val="20"/>
        </w:rPr>
        <w:t xml:space="preserve">earning </w:t>
      </w:r>
      <w:r w:rsidRPr="00B27619">
        <w:rPr>
          <w:color w:val="000000"/>
          <w:sz w:val="20"/>
          <w:szCs w:val="20"/>
        </w:rPr>
        <w:t>(pp. 15</w:t>
      </w:r>
      <w:r w:rsidRPr="00B27619">
        <w:rPr>
          <w:rFonts w:ascii="Times" w:hAnsi="Times" w:cs="Times"/>
          <w:color w:val="000000"/>
          <w:sz w:val="20"/>
          <w:szCs w:val="20"/>
        </w:rPr>
        <w:t>–</w:t>
      </w:r>
      <w:r w:rsidRPr="00B27619">
        <w:rPr>
          <w:color w:val="000000"/>
          <w:sz w:val="20"/>
          <w:szCs w:val="20"/>
        </w:rPr>
        <w:t>30). London: Prentice Hall.</w:t>
      </w:r>
      <w:r w:rsidRPr="00B27619">
        <w:rPr>
          <w:rFonts w:ascii="MS Mincho" w:eastAsia="MS Mincho" w:hAnsi="MS Mincho" w:cs="MS Mincho"/>
          <w:color w:val="000000"/>
          <w:sz w:val="20"/>
          <w:szCs w:val="20"/>
        </w:rPr>
        <w:t> </w:t>
      </w:r>
    </w:p>
    <w:p w14:paraId="2DCBA1D7" w14:textId="0F050E72" w:rsidR="005D2672" w:rsidRDefault="005D2672" w:rsidP="005D2672">
      <w:pPr>
        <w:pStyle w:val="NormalWeb"/>
        <w:spacing w:before="0" w:beforeAutospacing="0" w:after="0" w:afterAutospacing="0"/>
        <w:ind w:left="426" w:hanging="426"/>
        <w:jc w:val="both"/>
        <w:rPr>
          <w:color w:val="000000"/>
          <w:sz w:val="20"/>
          <w:szCs w:val="20"/>
          <w:bdr w:val="none" w:sz="0" w:space="0" w:color="auto" w:frame="1"/>
        </w:rPr>
      </w:pPr>
      <w:proofErr w:type="spellStart"/>
      <w:r w:rsidRPr="005D2672">
        <w:rPr>
          <w:color w:val="000000"/>
          <w:sz w:val="20"/>
          <w:szCs w:val="20"/>
          <w:bdr w:val="none" w:sz="0" w:space="0" w:color="auto" w:frame="1"/>
        </w:rPr>
        <w:t>Scarcella</w:t>
      </w:r>
      <w:proofErr w:type="spellEnd"/>
      <w:r w:rsidRPr="005D2672">
        <w:rPr>
          <w:color w:val="000000"/>
          <w:sz w:val="20"/>
          <w:szCs w:val="20"/>
          <w:bdr w:val="none" w:sz="0" w:space="0" w:color="auto" w:frame="1"/>
        </w:rPr>
        <w:t>, R. C., &amp; Oxford, R. L. (1992).</w:t>
      </w:r>
      <w:r w:rsidRPr="005D2672">
        <w:rPr>
          <w:rStyle w:val="apple-converted-space"/>
          <w:color w:val="000000"/>
          <w:sz w:val="20"/>
          <w:szCs w:val="20"/>
          <w:bdr w:val="none" w:sz="0" w:space="0" w:color="auto" w:frame="1"/>
        </w:rPr>
        <w:t> </w:t>
      </w:r>
      <w:r w:rsidRPr="005D2672">
        <w:rPr>
          <w:i/>
          <w:iCs/>
          <w:color w:val="000000"/>
          <w:sz w:val="20"/>
          <w:szCs w:val="20"/>
          <w:bdr w:val="none" w:sz="0" w:space="0" w:color="auto" w:frame="1"/>
        </w:rPr>
        <w:t>The tapestry of language learning: The individual in the communicative classroom</w:t>
      </w:r>
      <w:r>
        <w:rPr>
          <w:rStyle w:val="apple-converted-space"/>
          <w:color w:val="000000"/>
          <w:sz w:val="20"/>
          <w:szCs w:val="20"/>
          <w:bdr w:val="none" w:sz="0" w:space="0" w:color="auto" w:frame="1"/>
        </w:rPr>
        <w:t xml:space="preserve">. </w:t>
      </w:r>
      <w:r w:rsidRPr="005D2672">
        <w:rPr>
          <w:color w:val="000000"/>
          <w:sz w:val="20"/>
          <w:szCs w:val="20"/>
          <w:bdr w:val="none" w:sz="0" w:space="0" w:color="auto" w:frame="1"/>
        </w:rPr>
        <w:t xml:space="preserve">Boston, MA: </w:t>
      </w:r>
      <w:proofErr w:type="spellStart"/>
      <w:r w:rsidRPr="005D2672">
        <w:rPr>
          <w:color w:val="000000"/>
          <w:sz w:val="20"/>
          <w:szCs w:val="20"/>
          <w:bdr w:val="none" w:sz="0" w:space="0" w:color="auto" w:frame="1"/>
        </w:rPr>
        <w:t>Heinle</w:t>
      </w:r>
      <w:proofErr w:type="spellEnd"/>
      <w:r w:rsidRPr="005D2672">
        <w:rPr>
          <w:color w:val="000000"/>
          <w:sz w:val="20"/>
          <w:szCs w:val="20"/>
          <w:bdr w:val="none" w:sz="0" w:space="0" w:color="auto" w:frame="1"/>
        </w:rPr>
        <w:t xml:space="preserve"> &amp; </w:t>
      </w:r>
      <w:proofErr w:type="spellStart"/>
      <w:r w:rsidRPr="005D2672">
        <w:rPr>
          <w:color w:val="000000"/>
          <w:sz w:val="20"/>
          <w:szCs w:val="20"/>
          <w:bdr w:val="none" w:sz="0" w:space="0" w:color="auto" w:frame="1"/>
        </w:rPr>
        <w:t>Heinle</w:t>
      </w:r>
      <w:proofErr w:type="spellEnd"/>
      <w:r w:rsidRPr="005D2672">
        <w:rPr>
          <w:color w:val="000000"/>
          <w:sz w:val="20"/>
          <w:szCs w:val="20"/>
          <w:bdr w:val="none" w:sz="0" w:space="0" w:color="auto" w:frame="1"/>
        </w:rPr>
        <w:t>.</w:t>
      </w:r>
    </w:p>
    <w:p w14:paraId="5007E0B0" w14:textId="77777777" w:rsidR="005D2672" w:rsidRPr="005D2672" w:rsidRDefault="005D2672" w:rsidP="005D2672">
      <w:pPr>
        <w:pStyle w:val="NormalWeb"/>
        <w:spacing w:before="0" w:beforeAutospacing="0" w:after="0" w:afterAutospacing="0"/>
        <w:ind w:left="426" w:hanging="426"/>
        <w:jc w:val="both"/>
        <w:rPr>
          <w:color w:val="000000"/>
          <w:sz w:val="20"/>
          <w:szCs w:val="20"/>
        </w:rPr>
      </w:pPr>
    </w:p>
    <w:p w14:paraId="26BFEF5C" w14:textId="3D62CFAC" w:rsidR="00DB6508" w:rsidRPr="001602C9" w:rsidRDefault="00703615" w:rsidP="001602C9">
      <w:pPr>
        <w:widowControl w:val="0"/>
        <w:autoSpaceDE w:val="0"/>
        <w:autoSpaceDN w:val="0"/>
        <w:adjustRightInd w:val="0"/>
        <w:ind w:left="425" w:hanging="425"/>
        <w:jc w:val="both"/>
        <w:rPr>
          <w:sz w:val="20"/>
          <w:szCs w:val="20"/>
          <w:lang w:val="en-US"/>
        </w:rPr>
      </w:pPr>
      <w:r>
        <w:rPr>
          <w:sz w:val="20"/>
          <w:szCs w:val="20"/>
        </w:rPr>
        <w:t xml:space="preserve">Wong, L.C., &amp; </w:t>
      </w:r>
      <w:proofErr w:type="spellStart"/>
      <w:r w:rsidRPr="00703615">
        <w:rPr>
          <w:sz w:val="20"/>
          <w:szCs w:val="20"/>
        </w:rPr>
        <w:t>Nunan</w:t>
      </w:r>
      <w:proofErr w:type="spellEnd"/>
      <w:r>
        <w:rPr>
          <w:sz w:val="20"/>
          <w:szCs w:val="20"/>
        </w:rPr>
        <w:t>, D.</w:t>
      </w:r>
      <w:r w:rsidRPr="00703615">
        <w:rPr>
          <w:sz w:val="20"/>
          <w:szCs w:val="20"/>
        </w:rPr>
        <w:t xml:space="preserve"> (2011). The learning styles and strategies of effective language learners. </w:t>
      </w:r>
      <w:r w:rsidRPr="00703615">
        <w:rPr>
          <w:i/>
          <w:iCs/>
          <w:sz w:val="20"/>
          <w:szCs w:val="20"/>
        </w:rPr>
        <w:t xml:space="preserve">System, </w:t>
      </w:r>
      <w:r w:rsidRPr="00703615">
        <w:rPr>
          <w:i/>
          <w:sz w:val="20"/>
          <w:szCs w:val="20"/>
        </w:rPr>
        <w:t>39</w:t>
      </w:r>
      <w:r w:rsidRPr="00703615">
        <w:rPr>
          <w:sz w:val="20"/>
          <w:szCs w:val="20"/>
        </w:rPr>
        <w:t>,</w:t>
      </w:r>
      <w:r w:rsidR="001602C9">
        <w:rPr>
          <w:sz w:val="20"/>
          <w:szCs w:val="20"/>
        </w:rPr>
        <w:t xml:space="preserve"> 144-163.</w:t>
      </w:r>
    </w:p>
    <w:p w14:paraId="27896E0B" w14:textId="77777777" w:rsidR="004B58C5" w:rsidRDefault="004B58C5" w:rsidP="001A0F31">
      <w:pPr>
        <w:rPr>
          <w:b/>
          <w:sz w:val="20"/>
          <w:szCs w:val="20"/>
        </w:rPr>
      </w:pPr>
    </w:p>
    <w:p w14:paraId="65523F15" w14:textId="48B39B0F" w:rsidR="00D6258C" w:rsidRPr="001602C9" w:rsidRDefault="001602C9" w:rsidP="001602C9">
      <w:pPr>
        <w:widowControl w:val="0"/>
        <w:autoSpaceDE w:val="0"/>
        <w:autoSpaceDN w:val="0"/>
        <w:adjustRightInd w:val="0"/>
        <w:spacing w:after="240" w:line="240" w:lineRule="atLeast"/>
        <w:ind w:left="567" w:hanging="567"/>
        <w:jc w:val="both"/>
        <w:rPr>
          <w:color w:val="000000"/>
          <w:sz w:val="20"/>
          <w:szCs w:val="20"/>
        </w:rPr>
      </w:pPr>
      <w:r>
        <w:rPr>
          <w:color w:val="000000"/>
          <w:sz w:val="20"/>
          <w:szCs w:val="20"/>
        </w:rPr>
        <w:t>Zhang, D., &amp;</w:t>
      </w:r>
      <w:r w:rsidR="00D6258C" w:rsidRPr="001602C9">
        <w:rPr>
          <w:color w:val="000000"/>
          <w:sz w:val="20"/>
          <w:szCs w:val="20"/>
        </w:rPr>
        <w:t xml:space="preserve"> Goh, C. (2006). Strategy knowledge and perceived strategy use: Singaporean students’ awareness of listening and speaking strategies. </w:t>
      </w:r>
      <w:r w:rsidR="00D6258C" w:rsidRPr="001602C9">
        <w:rPr>
          <w:i/>
          <w:iCs/>
          <w:color w:val="000000"/>
          <w:sz w:val="20"/>
          <w:szCs w:val="20"/>
        </w:rPr>
        <w:t>Language Awareness, 15</w:t>
      </w:r>
      <w:r w:rsidR="00D6258C" w:rsidRPr="001602C9">
        <w:rPr>
          <w:color w:val="000000"/>
          <w:sz w:val="20"/>
          <w:szCs w:val="20"/>
        </w:rPr>
        <w:t>,199-219.</w:t>
      </w:r>
      <w:r w:rsidR="00D6258C" w:rsidRPr="001602C9">
        <w:rPr>
          <w:rFonts w:ascii="MS Mincho" w:eastAsia="MS Mincho" w:hAnsi="MS Mincho" w:cs="MS Mincho"/>
          <w:color w:val="000000"/>
          <w:sz w:val="20"/>
          <w:szCs w:val="20"/>
        </w:rPr>
        <w:t> </w:t>
      </w:r>
    </w:p>
    <w:p w14:paraId="7740ED9F" w14:textId="2B7B4267" w:rsidR="000F23EA" w:rsidRPr="000F23EA" w:rsidRDefault="000F23EA" w:rsidP="000F23EA">
      <w:pPr>
        <w:spacing w:line="360" w:lineRule="auto"/>
        <w:ind w:left="567" w:hanging="567"/>
        <w:jc w:val="both"/>
        <w:rPr>
          <w:noProof/>
          <w:sz w:val="20"/>
          <w:szCs w:val="20"/>
        </w:rPr>
      </w:pPr>
      <w:r w:rsidRPr="000F23EA">
        <w:rPr>
          <w:noProof/>
          <w:sz w:val="20"/>
          <w:szCs w:val="20"/>
        </w:rPr>
        <w:t xml:space="preserve">Zhou, C., &amp; Intaraprasert, C. (2016). English-major pre-service teachers’ language learning strategy use in terms of enjoyment of English learning. </w:t>
      </w:r>
      <w:r w:rsidRPr="000F23EA">
        <w:rPr>
          <w:i/>
          <w:noProof/>
          <w:sz w:val="20"/>
          <w:szCs w:val="20"/>
        </w:rPr>
        <w:t>Journal of Language Teaching and Research</w:t>
      </w:r>
      <w:r w:rsidRPr="000F23EA">
        <w:rPr>
          <w:noProof/>
          <w:sz w:val="20"/>
          <w:szCs w:val="20"/>
        </w:rPr>
        <w:t xml:space="preserve">, </w:t>
      </w:r>
      <w:r w:rsidRPr="000F23EA">
        <w:rPr>
          <w:i/>
          <w:noProof/>
          <w:sz w:val="20"/>
          <w:szCs w:val="20"/>
        </w:rPr>
        <w:t>8</w:t>
      </w:r>
      <w:r w:rsidRPr="000F23EA">
        <w:rPr>
          <w:noProof/>
          <w:sz w:val="20"/>
          <w:szCs w:val="20"/>
        </w:rPr>
        <w:t xml:space="preserve">, 1103-1110. </w:t>
      </w:r>
    </w:p>
    <w:p w14:paraId="10E8DD4F" w14:textId="77777777" w:rsidR="000F23EA" w:rsidRPr="00D35D14" w:rsidRDefault="000F23EA" w:rsidP="000F23EA">
      <w:pPr>
        <w:spacing w:line="360" w:lineRule="auto"/>
        <w:jc w:val="both"/>
        <w:rPr>
          <w:noProof/>
        </w:rPr>
      </w:pPr>
    </w:p>
    <w:p w14:paraId="77AA6854" w14:textId="05325704" w:rsidR="00D6258C" w:rsidRPr="00FF5951" w:rsidRDefault="00D6258C" w:rsidP="000F23EA">
      <w:pPr>
        <w:rPr>
          <w:b/>
          <w:sz w:val="20"/>
          <w:szCs w:val="20"/>
        </w:rPr>
      </w:pPr>
    </w:p>
    <w:sectPr w:rsidR="00D6258C" w:rsidRPr="00FF5951" w:rsidSect="00C60282">
      <w:pgSz w:w="11900" w:h="16820"/>
      <w:pgMar w:top="1871" w:right="1474" w:bottom="2381" w:left="147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64FE" w14:textId="77777777" w:rsidR="00D2254C" w:rsidRDefault="00D2254C" w:rsidP="00E05885">
      <w:r>
        <w:separator/>
      </w:r>
    </w:p>
  </w:endnote>
  <w:endnote w:type="continuationSeparator" w:id="0">
    <w:p w14:paraId="2DD7AA00" w14:textId="77777777" w:rsidR="00D2254C" w:rsidRDefault="00D2254C" w:rsidP="00E0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A924D" w14:textId="77777777" w:rsidR="00D2254C" w:rsidRDefault="00D2254C" w:rsidP="00E05885">
      <w:r>
        <w:separator/>
      </w:r>
    </w:p>
  </w:footnote>
  <w:footnote w:type="continuationSeparator" w:id="0">
    <w:p w14:paraId="4F550C59" w14:textId="77777777" w:rsidR="00D2254C" w:rsidRDefault="00D2254C" w:rsidP="00E058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5860D4"/>
    <w:multiLevelType w:val="hybridMultilevel"/>
    <w:tmpl w:val="87AC4D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D90BE3"/>
    <w:multiLevelType w:val="hybridMultilevel"/>
    <w:tmpl w:val="5C686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BD47C3"/>
    <w:multiLevelType w:val="multilevel"/>
    <w:tmpl w:val="9BB4C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505AC0"/>
    <w:multiLevelType w:val="hybridMultilevel"/>
    <w:tmpl w:val="414681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517B6B"/>
    <w:multiLevelType w:val="hybridMultilevel"/>
    <w:tmpl w:val="266073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48770A"/>
    <w:multiLevelType w:val="hybridMultilevel"/>
    <w:tmpl w:val="400802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A91FFD"/>
    <w:multiLevelType w:val="multilevel"/>
    <w:tmpl w:val="D146E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366BF9"/>
    <w:multiLevelType w:val="hybridMultilevel"/>
    <w:tmpl w:val="FF2E1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604F50"/>
    <w:multiLevelType w:val="hybridMultilevel"/>
    <w:tmpl w:val="5CA82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C136F6"/>
    <w:multiLevelType w:val="multilevel"/>
    <w:tmpl w:val="4D02A83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1F12C00"/>
    <w:multiLevelType w:val="hybridMultilevel"/>
    <w:tmpl w:val="FF2E1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1A69B3"/>
    <w:multiLevelType w:val="hybridMultilevel"/>
    <w:tmpl w:val="AC8AD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4"/>
  </w:num>
  <w:num w:numId="6">
    <w:abstractNumId w:val="12"/>
  </w:num>
  <w:num w:numId="7">
    <w:abstractNumId w:val="10"/>
  </w:num>
  <w:num w:numId="8">
    <w:abstractNumId w:val="1"/>
  </w:num>
  <w:num w:numId="9">
    <w:abstractNumId w:val="5"/>
  </w:num>
  <w:num w:numId="10">
    <w:abstractNumId w:val="6"/>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37"/>
    <w:rsid w:val="00010C6E"/>
    <w:rsid w:val="00013FA8"/>
    <w:rsid w:val="00014487"/>
    <w:rsid w:val="000176AC"/>
    <w:rsid w:val="00017A74"/>
    <w:rsid w:val="00023C2F"/>
    <w:rsid w:val="0003121C"/>
    <w:rsid w:val="00032A8B"/>
    <w:rsid w:val="00032BFC"/>
    <w:rsid w:val="00033118"/>
    <w:rsid w:val="000335F0"/>
    <w:rsid w:val="000338AD"/>
    <w:rsid w:val="000354AA"/>
    <w:rsid w:val="0003660C"/>
    <w:rsid w:val="0003742A"/>
    <w:rsid w:val="00045AB0"/>
    <w:rsid w:val="000471C4"/>
    <w:rsid w:val="00050795"/>
    <w:rsid w:val="00051002"/>
    <w:rsid w:val="000514B5"/>
    <w:rsid w:val="00051FE6"/>
    <w:rsid w:val="000539BA"/>
    <w:rsid w:val="00054167"/>
    <w:rsid w:val="00060C3C"/>
    <w:rsid w:val="0006161D"/>
    <w:rsid w:val="00062DAE"/>
    <w:rsid w:val="00063DA2"/>
    <w:rsid w:val="000659FC"/>
    <w:rsid w:val="00066BC7"/>
    <w:rsid w:val="000703B3"/>
    <w:rsid w:val="0007081E"/>
    <w:rsid w:val="0007403B"/>
    <w:rsid w:val="000760E7"/>
    <w:rsid w:val="00076A75"/>
    <w:rsid w:val="00080DEE"/>
    <w:rsid w:val="000816A2"/>
    <w:rsid w:val="00081980"/>
    <w:rsid w:val="00082673"/>
    <w:rsid w:val="00084E28"/>
    <w:rsid w:val="000918C5"/>
    <w:rsid w:val="000967B9"/>
    <w:rsid w:val="000972A5"/>
    <w:rsid w:val="000A2477"/>
    <w:rsid w:val="000A26F3"/>
    <w:rsid w:val="000A2E75"/>
    <w:rsid w:val="000A33F7"/>
    <w:rsid w:val="000A4BBD"/>
    <w:rsid w:val="000A75C2"/>
    <w:rsid w:val="000A7D86"/>
    <w:rsid w:val="000B37E5"/>
    <w:rsid w:val="000B7ADC"/>
    <w:rsid w:val="000B7B93"/>
    <w:rsid w:val="000C3F7B"/>
    <w:rsid w:val="000C455D"/>
    <w:rsid w:val="000C5F18"/>
    <w:rsid w:val="000C5F90"/>
    <w:rsid w:val="000D14C3"/>
    <w:rsid w:val="000D35F5"/>
    <w:rsid w:val="000D4AEF"/>
    <w:rsid w:val="000D5874"/>
    <w:rsid w:val="000E253F"/>
    <w:rsid w:val="000E5580"/>
    <w:rsid w:val="000E62E1"/>
    <w:rsid w:val="000F23EA"/>
    <w:rsid w:val="000F61A4"/>
    <w:rsid w:val="000F6BF8"/>
    <w:rsid w:val="001032FA"/>
    <w:rsid w:val="00106753"/>
    <w:rsid w:val="00106C2C"/>
    <w:rsid w:val="001127B2"/>
    <w:rsid w:val="001174EA"/>
    <w:rsid w:val="0012089F"/>
    <w:rsid w:val="0013188C"/>
    <w:rsid w:val="00132FCE"/>
    <w:rsid w:val="00134F29"/>
    <w:rsid w:val="00150305"/>
    <w:rsid w:val="00152C6B"/>
    <w:rsid w:val="00154A3B"/>
    <w:rsid w:val="001602C9"/>
    <w:rsid w:val="00160319"/>
    <w:rsid w:val="00165677"/>
    <w:rsid w:val="00165F44"/>
    <w:rsid w:val="00171036"/>
    <w:rsid w:val="00173D63"/>
    <w:rsid w:val="0017472B"/>
    <w:rsid w:val="0017653C"/>
    <w:rsid w:val="00181E49"/>
    <w:rsid w:val="00184FB3"/>
    <w:rsid w:val="001853D9"/>
    <w:rsid w:val="00186719"/>
    <w:rsid w:val="00191582"/>
    <w:rsid w:val="00193001"/>
    <w:rsid w:val="00193E59"/>
    <w:rsid w:val="00194DEA"/>
    <w:rsid w:val="001A0F31"/>
    <w:rsid w:val="001A11BC"/>
    <w:rsid w:val="001A1B53"/>
    <w:rsid w:val="001A25E8"/>
    <w:rsid w:val="001A2CA1"/>
    <w:rsid w:val="001A2D69"/>
    <w:rsid w:val="001A3611"/>
    <w:rsid w:val="001A4BCD"/>
    <w:rsid w:val="001A4F47"/>
    <w:rsid w:val="001A7330"/>
    <w:rsid w:val="001B0FE8"/>
    <w:rsid w:val="001B1637"/>
    <w:rsid w:val="001B53D8"/>
    <w:rsid w:val="001C1B97"/>
    <w:rsid w:val="001C1F11"/>
    <w:rsid w:val="001C39B7"/>
    <w:rsid w:val="001D191C"/>
    <w:rsid w:val="001D388A"/>
    <w:rsid w:val="001E3C6A"/>
    <w:rsid w:val="001E3CCE"/>
    <w:rsid w:val="001E5A72"/>
    <w:rsid w:val="001E5BFE"/>
    <w:rsid w:val="001F1351"/>
    <w:rsid w:val="001F2C13"/>
    <w:rsid w:val="00207B3A"/>
    <w:rsid w:val="002125A9"/>
    <w:rsid w:val="0021327F"/>
    <w:rsid w:val="00213D83"/>
    <w:rsid w:val="00213ECC"/>
    <w:rsid w:val="00221B4C"/>
    <w:rsid w:val="00221E43"/>
    <w:rsid w:val="00223101"/>
    <w:rsid w:val="00223882"/>
    <w:rsid w:val="00225590"/>
    <w:rsid w:val="00225BC0"/>
    <w:rsid w:val="00232B95"/>
    <w:rsid w:val="00234A6C"/>
    <w:rsid w:val="002356D3"/>
    <w:rsid w:val="00236448"/>
    <w:rsid w:val="00236D87"/>
    <w:rsid w:val="00236E84"/>
    <w:rsid w:val="00240645"/>
    <w:rsid w:val="00241C7D"/>
    <w:rsid w:val="002474B5"/>
    <w:rsid w:val="00247D1B"/>
    <w:rsid w:val="00250855"/>
    <w:rsid w:val="00254677"/>
    <w:rsid w:val="00255643"/>
    <w:rsid w:val="00260FEC"/>
    <w:rsid w:val="0026141C"/>
    <w:rsid w:val="00263A0C"/>
    <w:rsid w:val="00263F42"/>
    <w:rsid w:val="00264552"/>
    <w:rsid w:val="00264900"/>
    <w:rsid w:val="002649ED"/>
    <w:rsid w:val="00272409"/>
    <w:rsid w:val="00283250"/>
    <w:rsid w:val="0028546E"/>
    <w:rsid w:val="002866F4"/>
    <w:rsid w:val="002870A6"/>
    <w:rsid w:val="002A2732"/>
    <w:rsid w:val="002A29E8"/>
    <w:rsid w:val="002B10BC"/>
    <w:rsid w:val="002B7E4B"/>
    <w:rsid w:val="002C0E31"/>
    <w:rsid w:val="002C28CA"/>
    <w:rsid w:val="002C569D"/>
    <w:rsid w:val="002D18D9"/>
    <w:rsid w:val="002D1E62"/>
    <w:rsid w:val="002D4DC7"/>
    <w:rsid w:val="002D7AF6"/>
    <w:rsid w:val="002E185D"/>
    <w:rsid w:val="002E18E8"/>
    <w:rsid w:val="002E7249"/>
    <w:rsid w:val="002F5904"/>
    <w:rsid w:val="00300347"/>
    <w:rsid w:val="003005A8"/>
    <w:rsid w:val="003029F0"/>
    <w:rsid w:val="00302D15"/>
    <w:rsid w:val="00303A3B"/>
    <w:rsid w:val="00310D5E"/>
    <w:rsid w:val="00313605"/>
    <w:rsid w:val="003148A7"/>
    <w:rsid w:val="0031759B"/>
    <w:rsid w:val="00317CDA"/>
    <w:rsid w:val="0032572B"/>
    <w:rsid w:val="00331740"/>
    <w:rsid w:val="003407DC"/>
    <w:rsid w:val="00340AB2"/>
    <w:rsid w:val="00343136"/>
    <w:rsid w:val="00346F1D"/>
    <w:rsid w:val="00351127"/>
    <w:rsid w:val="00353265"/>
    <w:rsid w:val="00357E28"/>
    <w:rsid w:val="00360B58"/>
    <w:rsid w:val="00361501"/>
    <w:rsid w:val="00361ECA"/>
    <w:rsid w:val="00363D5E"/>
    <w:rsid w:val="003645A9"/>
    <w:rsid w:val="0036514E"/>
    <w:rsid w:val="0036553E"/>
    <w:rsid w:val="00370000"/>
    <w:rsid w:val="00370E2C"/>
    <w:rsid w:val="00373CE1"/>
    <w:rsid w:val="0038208E"/>
    <w:rsid w:val="00384AD4"/>
    <w:rsid w:val="00385F57"/>
    <w:rsid w:val="003905C0"/>
    <w:rsid w:val="003950AF"/>
    <w:rsid w:val="003953A8"/>
    <w:rsid w:val="00395819"/>
    <w:rsid w:val="003A068C"/>
    <w:rsid w:val="003A07F6"/>
    <w:rsid w:val="003A0A25"/>
    <w:rsid w:val="003A1BCE"/>
    <w:rsid w:val="003A60C1"/>
    <w:rsid w:val="003A77A4"/>
    <w:rsid w:val="003B16E3"/>
    <w:rsid w:val="003B1747"/>
    <w:rsid w:val="003C3AAC"/>
    <w:rsid w:val="003C4B6B"/>
    <w:rsid w:val="003D5FFC"/>
    <w:rsid w:val="003D664E"/>
    <w:rsid w:val="003D70A9"/>
    <w:rsid w:val="003F021D"/>
    <w:rsid w:val="003F0737"/>
    <w:rsid w:val="003F0C9B"/>
    <w:rsid w:val="003F4D08"/>
    <w:rsid w:val="00403CEC"/>
    <w:rsid w:val="0040412A"/>
    <w:rsid w:val="0040552A"/>
    <w:rsid w:val="00405824"/>
    <w:rsid w:val="00407ADC"/>
    <w:rsid w:val="00416E07"/>
    <w:rsid w:val="004207A7"/>
    <w:rsid w:val="004238B0"/>
    <w:rsid w:val="00423EFB"/>
    <w:rsid w:val="0042470E"/>
    <w:rsid w:val="004268A8"/>
    <w:rsid w:val="004328E1"/>
    <w:rsid w:val="00440B1F"/>
    <w:rsid w:val="00441077"/>
    <w:rsid w:val="00447417"/>
    <w:rsid w:val="004509B0"/>
    <w:rsid w:val="00450F7B"/>
    <w:rsid w:val="00453022"/>
    <w:rsid w:val="00454D0B"/>
    <w:rsid w:val="00460E99"/>
    <w:rsid w:val="004637F5"/>
    <w:rsid w:val="00465E31"/>
    <w:rsid w:val="00466169"/>
    <w:rsid w:val="004722E4"/>
    <w:rsid w:val="004733AC"/>
    <w:rsid w:val="004737B6"/>
    <w:rsid w:val="00473DAC"/>
    <w:rsid w:val="0047459D"/>
    <w:rsid w:val="00476A5D"/>
    <w:rsid w:val="00480393"/>
    <w:rsid w:val="004827CD"/>
    <w:rsid w:val="00486677"/>
    <w:rsid w:val="0049047F"/>
    <w:rsid w:val="00495009"/>
    <w:rsid w:val="00497B94"/>
    <w:rsid w:val="004A2993"/>
    <w:rsid w:val="004A3970"/>
    <w:rsid w:val="004A5861"/>
    <w:rsid w:val="004A5905"/>
    <w:rsid w:val="004A7EFA"/>
    <w:rsid w:val="004B10DA"/>
    <w:rsid w:val="004B41B9"/>
    <w:rsid w:val="004B58C5"/>
    <w:rsid w:val="004C061D"/>
    <w:rsid w:val="004C206C"/>
    <w:rsid w:val="004C4659"/>
    <w:rsid w:val="004C758A"/>
    <w:rsid w:val="004D41A8"/>
    <w:rsid w:val="004D7D56"/>
    <w:rsid w:val="004D7EFF"/>
    <w:rsid w:val="004E0BB1"/>
    <w:rsid w:val="004E687D"/>
    <w:rsid w:val="004E6ECF"/>
    <w:rsid w:val="004F27F9"/>
    <w:rsid w:val="0050080C"/>
    <w:rsid w:val="00517A98"/>
    <w:rsid w:val="00521CAF"/>
    <w:rsid w:val="005224CC"/>
    <w:rsid w:val="00524FC9"/>
    <w:rsid w:val="00525E21"/>
    <w:rsid w:val="005338E8"/>
    <w:rsid w:val="00533C02"/>
    <w:rsid w:val="0053448D"/>
    <w:rsid w:val="005357B5"/>
    <w:rsid w:val="00535CE6"/>
    <w:rsid w:val="00537E11"/>
    <w:rsid w:val="005425CF"/>
    <w:rsid w:val="00545E8E"/>
    <w:rsid w:val="00552309"/>
    <w:rsid w:val="00556714"/>
    <w:rsid w:val="0055682B"/>
    <w:rsid w:val="00560EBE"/>
    <w:rsid w:val="00561131"/>
    <w:rsid w:val="0056737D"/>
    <w:rsid w:val="00576780"/>
    <w:rsid w:val="005810CD"/>
    <w:rsid w:val="005815AA"/>
    <w:rsid w:val="005843ED"/>
    <w:rsid w:val="00584EFD"/>
    <w:rsid w:val="00591F2C"/>
    <w:rsid w:val="00592367"/>
    <w:rsid w:val="00593A6F"/>
    <w:rsid w:val="00596F2F"/>
    <w:rsid w:val="00597AC1"/>
    <w:rsid w:val="005A374E"/>
    <w:rsid w:val="005B1E75"/>
    <w:rsid w:val="005B465F"/>
    <w:rsid w:val="005B571E"/>
    <w:rsid w:val="005C0F63"/>
    <w:rsid w:val="005C30B8"/>
    <w:rsid w:val="005C4276"/>
    <w:rsid w:val="005D022E"/>
    <w:rsid w:val="005D2672"/>
    <w:rsid w:val="005D662F"/>
    <w:rsid w:val="005D768F"/>
    <w:rsid w:val="005E0264"/>
    <w:rsid w:val="005E0E07"/>
    <w:rsid w:val="005E6B1E"/>
    <w:rsid w:val="005F1881"/>
    <w:rsid w:val="005F74A1"/>
    <w:rsid w:val="00601B72"/>
    <w:rsid w:val="00607809"/>
    <w:rsid w:val="00612E48"/>
    <w:rsid w:val="006138FE"/>
    <w:rsid w:val="0061647E"/>
    <w:rsid w:val="00626C87"/>
    <w:rsid w:val="00626DE7"/>
    <w:rsid w:val="00627B46"/>
    <w:rsid w:val="00627E14"/>
    <w:rsid w:val="006308ED"/>
    <w:rsid w:val="0063095F"/>
    <w:rsid w:val="00633C84"/>
    <w:rsid w:val="00635D16"/>
    <w:rsid w:val="00636B94"/>
    <w:rsid w:val="00642A40"/>
    <w:rsid w:val="006468A9"/>
    <w:rsid w:val="00654CAE"/>
    <w:rsid w:val="00661548"/>
    <w:rsid w:val="00677B46"/>
    <w:rsid w:val="00683E2B"/>
    <w:rsid w:val="006842DC"/>
    <w:rsid w:val="00684464"/>
    <w:rsid w:val="0068712F"/>
    <w:rsid w:val="006873A7"/>
    <w:rsid w:val="00691BA8"/>
    <w:rsid w:val="0069269B"/>
    <w:rsid w:val="006939C9"/>
    <w:rsid w:val="006949BD"/>
    <w:rsid w:val="00695D6F"/>
    <w:rsid w:val="00695E02"/>
    <w:rsid w:val="00697563"/>
    <w:rsid w:val="006A2AB9"/>
    <w:rsid w:val="006A33B8"/>
    <w:rsid w:val="006A3DC8"/>
    <w:rsid w:val="006A68C7"/>
    <w:rsid w:val="006A7F66"/>
    <w:rsid w:val="006B0BF4"/>
    <w:rsid w:val="006B404D"/>
    <w:rsid w:val="006B4BE0"/>
    <w:rsid w:val="006B5861"/>
    <w:rsid w:val="006B5EFA"/>
    <w:rsid w:val="006C35D9"/>
    <w:rsid w:val="006C48BB"/>
    <w:rsid w:val="006C522B"/>
    <w:rsid w:val="006C5E66"/>
    <w:rsid w:val="006C7F6B"/>
    <w:rsid w:val="006D0298"/>
    <w:rsid w:val="006D08B0"/>
    <w:rsid w:val="006D2F68"/>
    <w:rsid w:val="006D497B"/>
    <w:rsid w:val="006D5B34"/>
    <w:rsid w:val="006D5C2D"/>
    <w:rsid w:val="006D62EC"/>
    <w:rsid w:val="006D713D"/>
    <w:rsid w:val="006E0E13"/>
    <w:rsid w:val="006E5825"/>
    <w:rsid w:val="006F5903"/>
    <w:rsid w:val="006F5D90"/>
    <w:rsid w:val="006F79BD"/>
    <w:rsid w:val="00702748"/>
    <w:rsid w:val="00702E42"/>
    <w:rsid w:val="00703615"/>
    <w:rsid w:val="0070414B"/>
    <w:rsid w:val="00706C2E"/>
    <w:rsid w:val="0071192E"/>
    <w:rsid w:val="00716FB2"/>
    <w:rsid w:val="0071735E"/>
    <w:rsid w:val="00722018"/>
    <w:rsid w:val="00723CDE"/>
    <w:rsid w:val="00724DA7"/>
    <w:rsid w:val="00732BCF"/>
    <w:rsid w:val="007330A1"/>
    <w:rsid w:val="007357A8"/>
    <w:rsid w:val="00737407"/>
    <w:rsid w:val="00743E81"/>
    <w:rsid w:val="007457AC"/>
    <w:rsid w:val="00746DB0"/>
    <w:rsid w:val="00746DF2"/>
    <w:rsid w:val="0074715F"/>
    <w:rsid w:val="00751F00"/>
    <w:rsid w:val="00755856"/>
    <w:rsid w:val="007559F5"/>
    <w:rsid w:val="00763727"/>
    <w:rsid w:val="00764301"/>
    <w:rsid w:val="007648D3"/>
    <w:rsid w:val="00767664"/>
    <w:rsid w:val="00770D36"/>
    <w:rsid w:val="007852D0"/>
    <w:rsid w:val="00785403"/>
    <w:rsid w:val="007855C9"/>
    <w:rsid w:val="00786E85"/>
    <w:rsid w:val="0079129C"/>
    <w:rsid w:val="00792446"/>
    <w:rsid w:val="007926ED"/>
    <w:rsid w:val="00797773"/>
    <w:rsid w:val="007A4764"/>
    <w:rsid w:val="007C04C0"/>
    <w:rsid w:val="007C1716"/>
    <w:rsid w:val="007C44AC"/>
    <w:rsid w:val="007C4A75"/>
    <w:rsid w:val="007C4DF4"/>
    <w:rsid w:val="007C53A1"/>
    <w:rsid w:val="007C5F62"/>
    <w:rsid w:val="007D052E"/>
    <w:rsid w:val="007D525E"/>
    <w:rsid w:val="007E0F3D"/>
    <w:rsid w:val="007E1963"/>
    <w:rsid w:val="007E2D40"/>
    <w:rsid w:val="007E45B1"/>
    <w:rsid w:val="007E4FAD"/>
    <w:rsid w:val="007E4FD7"/>
    <w:rsid w:val="007F0EC7"/>
    <w:rsid w:val="007F1890"/>
    <w:rsid w:val="00801643"/>
    <w:rsid w:val="00804DD2"/>
    <w:rsid w:val="0080500D"/>
    <w:rsid w:val="008050FB"/>
    <w:rsid w:val="00813F61"/>
    <w:rsid w:val="00815628"/>
    <w:rsid w:val="0081663F"/>
    <w:rsid w:val="008209C4"/>
    <w:rsid w:val="00822701"/>
    <w:rsid w:val="00823C36"/>
    <w:rsid w:val="00823FCA"/>
    <w:rsid w:val="00825ED7"/>
    <w:rsid w:val="00830456"/>
    <w:rsid w:val="00835636"/>
    <w:rsid w:val="0083578D"/>
    <w:rsid w:val="00841F65"/>
    <w:rsid w:val="00842C26"/>
    <w:rsid w:val="00843C5B"/>
    <w:rsid w:val="00844325"/>
    <w:rsid w:val="008450E9"/>
    <w:rsid w:val="00846680"/>
    <w:rsid w:val="00847629"/>
    <w:rsid w:val="00854191"/>
    <w:rsid w:val="00857819"/>
    <w:rsid w:val="0086108C"/>
    <w:rsid w:val="00861F9F"/>
    <w:rsid w:val="008658E7"/>
    <w:rsid w:val="00866F5F"/>
    <w:rsid w:val="00872F75"/>
    <w:rsid w:val="00875DDD"/>
    <w:rsid w:val="00876911"/>
    <w:rsid w:val="00880EA4"/>
    <w:rsid w:val="00886DC5"/>
    <w:rsid w:val="00891089"/>
    <w:rsid w:val="00894CEE"/>
    <w:rsid w:val="00896038"/>
    <w:rsid w:val="00896045"/>
    <w:rsid w:val="00896755"/>
    <w:rsid w:val="008A1E6A"/>
    <w:rsid w:val="008A48C7"/>
    <w:rsid w:val="008A53C7"/>
    <w:rsid w:val="008A5DAB"/>
    <w:rsid w:val="008A63F3"/>
    <w:rsid w:val="008A7094"/>
    <w:rsid w:val="008C69C1"/>
    <w:rsid w:val="008C779A"/>
    <w:rsid w:val="008D0E1B"/>
    <w:rsid w:val="008D48E3"/>
    <w:rsid w:val="008D52CF"/>
    <w:rsid w:val="008E0D89"/>
    <w:rsid w:val="0090683C"/>
    <w:rsid w:val="00906D13"/>
    <w:rsid w:val="00912BC6"/>
    <w:rsid w:val="00912CA7"/>
    <w:rsid w:val="00916814"/>
    <w:rsid w:val="00917EEF"/>
    <w:rsid w:val="00920AAA"/>
    <w:rsid w:val="009261BA"/>
    <w:rsid w:val="00931012"/>
    <w:rsid w:val="0093158F"/>
    <w:rsid w:val="00931D6B"/>
    <w:rsid w:val="00932101"/>
    <w:rsid w:val="0093328D"/>
    <w:rsid w:val="009346AD"/>
    <w:rsid w:val="0094148A"/>
    <w:rsid w:val="009426A2"/>
    <w:rsid w:val="009431F9"/>
    <w:rsid w:val="0094360F"/>
    <w:rsid w:val="00952B5B"/>
    <w:rsid w:val="0095405E"/>
    <w:rsid w:val="0096025A"/>
    <w:rsid w:val="00970518"/>
    <w:rsid w:val="00973DE7"/>
    <w:rsid w:val="00983970"/>
    <w:rsid w:val="0098497D"/>
    <w:rsid w:val="00990EB4"/>
    <w:rsid w:val="0099575D"/>
    <w:rsid w:val="00995DA6"/>
    <w:rsid w:val="0099633A"/>
    <w:rsid w:val="009A16A5"/>
    <w:rsid w:val="009A343E"/>
    <w:rsid w:val="009A5B6E"/>
    <w:rsid w:val="009B1F8A"/>
    <w:rsid w:val="009B3008"/>
    <w:rsid w:val="009B4136"/>
    <w:rsid w:val="009B47C8"/>
    <w:rsid w:val="009B4988"/>
    <w:rsid w:val="009C2F82"/>
    <w:rsid w:val="009C491F"/>
    <w:rsid w:val="009D2A0C"/>
    <w:rsid w:val="009D3ED7"/>
    <w:rsid w:val="009D6D6A"/>
    <w:rsid w:val="009E7456"/>
    <w:rsid w:val="009F02BF"/>
    <w:rsid w:val="009F32EF"/>
    <w:rsid w:val="009F4BE6"/>
    <w:rsid w:val="009F62B1"/>
    <w:rsid w:val="00A01E3A"/>
    <w:rsid w:val="00A0247A"/>
    <w:rsid w:val="00A02684"/>
    <w:rsid w:val="00A03508"/>
    <w:rsid w:val="00A101BB"/>
    <w:rsid w:val="00A12B16"/>
    <w:rsid w:val="00A1361D"/>
    <w:rsid w:val="00A15153"/>
    <w:rsid w:val="00A2201B"/>
    <w:rsid w:val="00A23525"/>
    <w:rsid w:val="00A3356F"/>
    <w:rsid w:val="00A344CA"/>
    <w:rsid w:val="00A3505F"/>
    <w:rsid w:val="00A41175"/>
    <w:rsid w:val="00A426B9"/>
    <w:rsid w:val="00A431D8"/>
    <w:rsid w:val="00A44472"/>
    <w:rsid w:val="00A45796"/>
    <w:rsid w:val="00A4784B"/>
    <w:rsid w:val="00A534B0"/>
    <w:rsid w:val="00A54717"/>
    <w:rsid w:val="00A54A7A"/>
    <w:rsid w:val="00A61B69"/>
    <w:rsid w:val="00A643C1"/>
    <w:rsid w:val="00A722F2"/>
    <w:rsid w:val="00A7715B"/>
    <w:rsid w:val="00A77552"/>
    <w:rsid w:val="00A779F7"/>
    <w:rsid w:val="00A81624"/>
    <w:rsid w:val="00A82A46"/>
    <w:rsid w:val="00A84EFA"/>
    <w:rsid w:val="00A84EFE"/>
    <w:rsid w:val="00A916D4"/>
    <w:rsid w:val="00A91DD4"/>
    <w:rsid w:val="00A937DC"/>
    <w:rsid w:val="00AA2CAB"/>
    <w:rsid w:val="00AA5BCD"/>
    <w:rsid w:val="00AA7B7A"/>
    <w:rsid w:val="00AB002C"/>
    <w:rsid w:val="00AB02B5"/>
    <w:rsid w:val="00AB1F5A"/>
    <w:rsid w:val="00AB2A66"/>
    <w:rsid w:val="00AB323A"/>
    <w:rsid w:val="00AB4139"/>
    <w:rsid w:val="00AB5E5B"/>
    <w:rsid w:val="00AC26CF"/>
    <w:rsid w:val="00AC352A"/>
    <w:rsid w:val="00AC3633"/>
    <w:rsid w:val="00AC3994"/>
    <w:rsid w:val="00AC53FB"/>
    <w:rsid w:val="00AC6ABE"/>
    <w:rsid w:val="00AD01B8"/>
    <w:rsid w:val="00AD3570"/>
    <w:rsid w:val="00AD5019"/>
    <w:rsid w:val="00AD653E"/>
    <w:rsid w:val="00AE1CB9"/>
    <w:rsid w:val="00AE44C1"/>
    <w:rsid w:val="00AE4DAD"/>
    <w:rsid w:val="00B03ED1"/>
    <w:rsid w:val="00B04780"/>
    <w:rsid w:val="00B111DC"/>
    <w:rsid w:val="00B11C04"/>
    <w:rsid w:val="00B1213B"/>
    <w:rsid w:val="00B13E80"/>
    <w:rsid w:val="00B140E8"/>
    <w:rsid w:val="00B15090"/>
    <w:rsid w:val="00B2178D"/>
    <w:rsid w:val="00B221AA"/>
    <w:rsid w:val="00B245AE"/>
    <w:rsid w:val="00B27619"/>
    <w:rsid w:val="00B33A28"/>
    <w:rsid w:val="00B409CB"/>
    <w:rsid w:val="00B420B1"/>
    <w:rsid w:val="00B42B79"/>
    <w:rsid w:val="00B43037"/>
    <w:rsid w:val="00B44346"/>
    <w:rsid w:val="00B5152A"/>
    <w:rsid w:val="00B565A7"/>
    <w:rsid w:val="00B60582"/>
    <w:rsid w:val="00B6553C"/>
    <w:rsid w:val="00B66358"/>
    <w:rsid w:val="00B71216"/>
    <w:rsid w:val="00B73802"/>
    <w:rsid w:val="00B760D2"/>
    <w:rsid w:val="00B77111"/>
    <w:rsid w:val="00B86809"/>
    <w:rsid w:val="00B871EF"/>
    <w:rsid w:val="00B926B3"/>
    <w:rsid w:val="00B942E7"/>
    <w:rsid w:val="00B95E5C"/>
    <w:rsid w:val="00BA2D02"/>
    <w:rsid w:val="00BA43B3"/>
    <w:rsid w:val="00BA722B"/>
    <w:rsid w:val="00BB2682"/>
    <w:rsid w:val="00BB476F"/>
    <w:rsid w:val="00BB5509"/>
    <w:rsid w:val="00BC78FB"/>
    <w:rsid w:val="00BD1BF0"/>
    <w:rsid w:val="00BD22E1"/>
    <w:rsid w:val="00BE07D3"/>
    <w:rsid w:val="00BE094D"/>
    <w:rsid w:val="00BE0B4B"/>
    <w:rsid w:val="00BE310A"/>
    <w:rsid w:val="00BF024F"/>
    <w:rsid w:val="00BF0FE7"/>
    <w:rsid w:val="00BF2802"/>
    <w:rsid w:val="00BF5535"/>
    <w:rsid w:val="00BF605B"/>
    <w:rsid w:val="00BF6C7A"/>
    <w:rsid w:val="00C01178"/>
    <w:rsid w:val="00C01403"/>
    <w:rsid w:val="00C04E9B"/>
    <w:rsid w:val="00C05457"/>
    <w:rsid w:val="00C101BA"/>
    <w:rsid w:val="00C10AD7"/>
    <w:rsid w:val="00C1457A"/>
    <w:rsid w:val="00C2247A"/>
    <w:rsid w:val="00C228E0"/>
    <w:rsid w:val="00C27539"/>
    <w:rsid w:val="00C30FD3"/>
    <w:rsid w:val="00C315FE"/>
    <w:rsid w:val="00C31E3A"/>
    <w:rsid w:val="00C326B3"/>
    <w:rsid w:val="00C34CBC"/>
    <w:rsid w:val="00C3555E"/>
    <w:rsid w:val="00C36292"/>
    <w:rsid w:val="00C36465"/>
    <w:rsid w:val="00C36EC8"/>
    <w:rsid w:val="00C44DFB"/>
    <w:rsid w:val="00C5232B"/>
    <w:rsid w:val="00C54A8D"/>
    <w:rsid w:val="00C54C32"/>
    <w:rsid w:val="00C56164"/>
    <w:rsid w:val="00C60282"/>
    <w:rsid w:val="00C617DE"/>
    <w:rsid w:val="00C65F19"/>
    <w:rsid w:val="00C66D49"/>
    <w:rsid w:val="00C679BA"/>
    <w:rsid w:val="00C73A24"/>
    <w:rsid w:val="00C760CC"/>
    <w:rsid w:val="00C77FDB"/>
    <w:rsid w:val="00C809E5"/>
    <w:rsid w:val="00C814F1"/>
    <w:rsid w:val="00C82364"/>
    <w:rsid w:val="00C836F3"/>
    <w:rsid w:val="00C868D1"/>
    <w:rsid w:val="00C946CD"/>
    <w:rsid w:val="00C95D6A"/>
    <w:rsid w:val="00C9756B"/>
    <w:rsid w:val="00CA075E"/>
    <w:rsid w:val="00CA0FFC"/>
    <w:rsid w:val="00CA1B10"/>
    <w:rsid w:val="00CA397C"/>
    <w:rsid w:val="00CA455E"/>
    <w:rsid w:val="00CB425C"/>
    <w:rsid w:val="00CB5246"/>
    <w:rsid w:val="00CB5482"/>
    <w:rsid w:val="00CC1C58"/>
    <w:rsid w:val="00CC4DC6"/>
    <w:rsid w:val="00CC501F"/>
    <w:rsid w:val="00CD0D62"/>
    <w:rsid w:val="00CD2D8F"/>
    <w:rsid w:val="00CD4673"/>
    <w:rsid w:val="00CE002A"/>
    <w:rsid w:val="00CE160C"/>
    <w:rsid w:val="00CE4045"/>
    <w:rsid w:val="00CE4083"/>
    <w:rsid w:val="00CE616F"/>
    <w:rsid w:val="00CF10E0"/>
    <w:rsid w:val="00CF18C9"/>
    <w:rsid w:val="00CF2099"/>
    <w:rsid w:val="00CF3280"/>
    <w:rsid w:val="00CF5928"/>
    <w:rsid w:val="00CF5AEE"/>
    <w:rsid w:val="00CF6B3E"/>
    <w:rsid w:val="00CF7BFE"/>
    <w:rsid w:val="00D00944"/>
    <w:rsid w:val="00D046CB"/>
    <w:rsid w:val="00D06BFB"/>
    <w:rsid w:val="00D079D4"/>
    <w:rsid w:val="00D07EE6"/>
    <w:rsid w:val="00D148BF"/>
    <w:rsid w:val="00D17ADA"/>
    <w:rsid w:val="00D20B08"/>
    <w:rsid w:val="00D218B3"/>
    <w:rsid w:val="00D2254C"/>
    <w:rsid w:val="00D23F97"/>
    <w:rsid w:val="00D33776"/>
    <w:rsid w:val="00D34D76"/>
    <w:rsid w:val="00D37D7C"/>
    <w:rsid w:val="00D438A5"/>
    <w:rsid w:val="00D4582E"/>
    <w:rsid w:val="00D466E4"/>
    <w:rsid w:val="00D53655"/>
    <w:rsid w:val="00D566DE"/>
    <w:rsid w:val="00D606BE"/>
    <w:rsid w:val="00D6258C"/>
    <w:rsid w:val="00D630F9"/>
    <w:rsid w:val="00D633E7"/>
    <w:rsid w:val="00D66064"/>
    <w:rsid w:val="00D72542"/>
    <w:rsid w:val="00D73A18"/>
    <w:rsid w:val="00D75204"/>
    <w:rsid w:val="00D759F4"/>
    <w:rsid w:val="00D76289"/>
    <w:rsid w:val="00D76FC0"/>
    <w:rsid w:val="00D810FD"/>
    <w:rsid w:val="00D83597"/>
    <w:rsid w:val="00D83EA3"/>
    <w:rsid w:val="00D90C9D"/>
    <w:rsid w:val="00D91129"/>
    <w:rsid w:val="00D942DE"/>
    <w:rsid w:val="00D9794C"/>
    <w:rsid w:val="00DA6598"/>
    <w:rsid w:val="00DA6886"/>
    <w:rsid w:val="00DB0F4E"/>
    <w:rsid w:val="00DB38DF"/>
    <w:rsid w:val="00DB5006"/>
    <w:rsid w:val="00DB52CC"/>
    <w:rsid w:val="00DB6508"/>
    <w:rsid w:val="00DC012C"/>
    <w:rsid w:val="00DC667C"/>
    <w:rsid w:val="00DD010F"/>
    <w:rsid w:val="00DD3191"/>
    <w:rsid w:val="00DD5101"/>
    <w:rsid w:val="00DD5183"/>
    <w:rsid w:val="00DD5E10"/>
    <w:rsid w:val="00DD7E03"/>
    <w:rsid w:val="00DF00F1"/>
    <w:rsid w:val="00DF28AD"/>
    <w:rsid w:val="00DF59C7"/>
    <w:rsid w:val="00DF674D"/>
    <w:rsid w:val="00DF77EB"/>
    <w:rsid w:val="00E00605"/>
    <w:rsid w:val="00E05562"/>
    <w:rsid w:val="00E05885"/>
    <w:rsid w:val="00E07C2E"/>
    <w:rsid w:val="00E12669"/>
    <w:rsid w:val="00E134A4"/>
    <w:rsid w:val="00E141D7"/>
    <w:rsid w:val="00E145E9"/>
    <w:rsid w:val="00E14EE1"/>
    <w:rsid w:val="00E1694E"/>
    <w:rsid w:val="00E20E3E"/>
    <w:rsid w:val="00E2350B"/>
    <w:rsid w:val="00E2617D"/>
    <w:rsid w:val="00E2639D"/>
    <w:rsid w:val="00E2649D"/>
    <w:rsid w:val="00E27997"/>
    <w:rsid w:val="00E27F46"/>
    <w:rsid w:val="00E338B4"/>
    <w:rsid w:val="00E365D9"/>
    <w:rsid w:val="00E40510"/>
    <w:rsid w:val="00E419D8"/>
    <w:rsid w:val="00E455C4"/>
    <w:rsid w:val="00E45C74"/>
    <w:rsid w:val="00E51537"/>
    <w:rsid w:val="00E543CC"/>
    <w:rsid w:val="00E54FD9"/>
    <w:rsid w:val="00E56B90"/>
    <w:rsid w:val="00E607C6"/>
    <w:rsid w:val="00E6144C"/>
    <w:rsid w:val="00E62020"/>
    <w:rsid w:val="00E632F0"/>
    <w:rsid w:val="00E72654"/>
    <w:rsid w:val="00E75A91"/>
    <w:rsid w:val="00E8003D"/>
    <w:rsid w:val="00E80DC2"/>
    <w:rsid w:val="00E80DC7"/>
    <w:rsid w:val="00E82B7C"/>
    <w:rsid w:val="00E82D4B"/>
    <w:rsid w:val="00E85F54"/>
    <w:rsid w:val="00E9350A"/>
    <w:rsid w:val="00E95D17"/>
    <w:rsid w:val="00EA470F"/>
    <w:rsid w:val="00EA56F8"/>
    <w:rsid w:val="00EB05BD"/>
    <w:rsid w:val="00EB4323"/>
    <w:rsid w:val="00EB5213"/>
    <w:rsid w:val="00EB6431"/>
    <w:rsid w:val="00EC0826"/>
    <w:rsid w:val="00EC3166"/>
    <w:rsid w:val="00EC514A"/>
    <w:rsid w:val="00EC5739"/>
    <w:rsid w:val="00EC5F36"/>
    <w:rsid w:val="00ED019A"/>
    <w:rsid w:val="00ED3771"/>
    <w:rsid w:val="00ED5A89"/>
    <w:rsid w:val="00ED6A13"/>
    <w:rsid w:val="00EE19AF"/>
    <w:rsid w:val="00EE26AF"/>
    <w:rsid w:val="00EE492F"/>
    <w:rsid w:val="00EE50D3"/>
    <w:rsid w:val="00EE6661"/>
    <w:rsid w:val="00EF0083"/>
    <w:rsid w:val="00EF03DF"/>
    <w:rsid w:val="00EF10EF"/>
    <w:rsid w:val="00EF36DF"/>
    <w:rsid w:val="00EF3CD5"/>
    <w:rsid w:val="00EF3D87"/>
    <w:rsid w:val="00EF6988"/>
    <w:rsid w:val="00EF7A5F"/>
    <w:rsid w:val="00F0458D"/>
    <w:rsid w:val="00F046C4"/>
    <w:rsid w:val="00F07A1F"/>
    <w:rsid w:val="00F1457E"/>
    <w:rsid w:val="00F16926"/>
    <w:rsid w:val="00F17DA8"/>
    <w:rsid w:val="00F212B6"/>
    <w:rsid w:val="00F22BA2"/>
    <w:rsid w:val="00F249D5"/>
    <w:rsid w:val="00F267B0"/>
    <w:rsid w:val="00F35935"/>
    <w:rsid w:val="00F360F2"/>
    <w:rsid w:val="00F42E5F"/>
    <w:rsid w:val="00F44C50"/>
    <w:rsid w:val="00F529C1"/>
    <w:rsid w:val="00F5308A"/>
    <w:rsid w:val="00F53814"/>
    <w:rsid w:val="00F540E4"/>
    <w:rsid w:val="00F64B0D"/>
    <w:rsid w:val="00F651D4"/>
    <w:rsid w:val="00F67C82"/>
    <w:rsid w:val="00F71801"/>
    <w:rsid w:val="00F71D22"/>
    <w:rsid w:val="00F741FD"/>
    <w:rsid w:val="00F76236"/>
    <w:rsid w:val="00F828BF"/>
    <w:rsid w:val="00F84337"/>
    <w:rsid w:val="00F91D36"/>
    <w:rsid w:val="00F94799"/>
    <w:rsid w:val="00F9716A"/>
    <w:rsid w:val="00F97245"/>
    <w:rsid w:val="00F974C9"/>
    <w:rsid w:val="00FA2EBE"/>
    <w:rsid w:val="00FB0719"/>
    <w:rsid w:val="00FB2F70"/>
    <w:rsid w:val="00FB71E1"/>
    <w:rsid w:val="00FC63F4"/>
    <w:rsid w:val="00FC7622"/>
    <w:rsid w:val="00FD0B18"/>
    <w:rsid w:val="00FD18E4"/>
    <w:rsid w:val="00FD43EF"/>
    <w:rsid w:val="00FD58DF"/>
    <w:rsid w:val="00FD72F8"/>
    <w:rsid w:val="00FE1541"/>
    <w:rsid w:val="00FE3610"/>
    <w:rsid w:val="00FE45F5"/>
    <w:rsid w:val="00FF248D"/>
    <w:rsid w:val="00FF272C"/>
    <w:rsid w:val="00FF4E6F"/>
    <w:rsid w:val="00FF5951"/>
    <w:rsid w:val="00FF5ACE"/>
    <w:rsid w:val="00FF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C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672"/>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AD7"/>
    <w:pPr>
      <w:spacing w:before="100" w:beforeAutospacing="1" w:after="100" w:afterAutospacing="1"/>
    </w:pPr>
  </w:style>
  <w:style w:type="character" w:styleId="Hyperlink">
    <w:name w:val="Hyperlink"/>
    <w:basedOn w:val="DefaultParagraphFont"/>
    <w:uiPriority w:val="99"/>
    <w:unhideWhenUsed/>
    <w:rsid w:val="008A53C7"/>
    <w:rPr>
      <w:color w:val="0563C1" w:themeColor="hyperlink"/>
      <w:u w:val="single"/>
    </w:rPr>
  </w:style>
  <w:style w:type="paragraph" w:styleId="ListParagraph">
    <w:name w:val="List Paragraph"/>
    <w:basedOn w:val="Normal"/>
    <w:uiPriority w:val="34"/>
    <w:qFormat/>
    <w:rsid w:val="00D17ADA"/>
    <w:pPr>
      <w:ind w:left="720"/>
      <w:contextualSpacing/>
    </w:pPr>
    <w:rPr>
      <w:rFonts w:asciiTheme="minorHAnsi" w:hAnsiTheme="minorHAnsi" w:cstheme="minorBidi"/>
      <w:lang w:val="en-AU" w:eastAsia="en-US"/>
    </w:rPr>
  </w:style>
  <w:style w:type="table" w:styleId="TableGrid">
    <w:name w:val="Table Grid"/>
    <w:basedOn w:val="TableNormal"/>
    <w:uiPriority w:val="39"/>
    <w:rsid w:val="003A7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5885"/>
    <w:pPr>
      <w:tabs>
        <w:tab w:val="center" w:pos="4513"/>
        <w:tab w:val="right" w:pos="9026"/>
      </w:tabs>
    </w:pPr>
    <w:rPr>
      <w:rFonts w:asciiTheme="minorHAnsi" w:hAnsiTheme="minorHAnsi" w:cstheme="minorBidi"/>
      <w:lang w:val="en-AU" w:eastAsia="en-US"/>
    </w:rPr>
  </w:style>
  <w:style w:type="character" w:customStyle="1" w:styleId="HeaderChar">
    <w:name w:val="Header Char"/>
    <w:basedOn w:val="DefaultParagraphFont"/>
    <w:link w:val="Header"/>
    <w:uiPriority w:val="99"/>
    <w:rsid w:val="00E05885"/>
    <w:rPr>
      <w:lang w:val="en-AU"/>
    </w:rPr>
  </w:style>
  <w:style w:type="paragraph" w:styleId="Footer">
    <w:name w:val="footer"/>
    <w:basedOn w:val="Normal"/>
    <w:link w:val="FooterChar"/>
    <w:uiPriority w:val="99"/>
    <w:unhideWhenUsed/>
    <w:rsid w:val="00E05885"/>
    <w:pPr>
      <w:tabs>
        <w:tab w:val="center" w:pos="4513"/>
        <w:tab w:val="right" w:pos="9026"/>
      </w:tabs>
    </w:pPr>
    <w:rPr>
      <w:rFonts w:asciiTheme="minorHAnsi" w:hAnsiTheme="minorHAnsi" w:cstheme="minorBidi"/>
      <w:lang w:val="en-AU" w:eastAsia="en-US"/>
    </w:rPr>
  </w:style>
  <w:style w:type="character" w:customStyle="1" w:styleId="FooterChar">
    <w:name w:val="Footer Char"/>
    <w:basedOn w:val="DefaultParagraphFont"/>
    <w:link w:val="Footer"/>
    <w:uiPriority w:val="99"/>
    <w:rsid w:val="00E05885"/>
    <w:rPr>
      <w:lang w:val="en-AU"/>
    </w:rPr>
  </w:style>
  <w:style w:type="character" w:customStyle="1" w:styleId="apple-converted-space">
    <w:name w:val="apple-converted-space"/>
    <w:basedOn w:val="DefaultParagraphFont"/>
    <w:rsid w:val="005D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883">
      <w:bodyDiv w:val="1"/>
      <w:marLeft w:val="0"/>
      <w:marRight w:val="0"/>
      <w:marTop w:val="0"/>
      <w:marBottom w:val="0"/>
      <w:divBdr>
        <w:top w:val="none" w:sz="0" w:space="0" w:color="auto"/>
        <w:left w:val="none" w:sz="0" w:space="0" w:color="auto"/>
        <w:bottom w:val="none" w:sz="0" w:space="0" w:color="auto"/>
        <w:right w:val="none" w:sz="0" w:space="0" w:color="auto"/>
      </w:divBdr>
      <w:divsChild>
        <w:div w:id="1567954615">
          <w:marLeft w:val="0"/>
          <w:marRight w:val="0"/>
          <w:marTop w:val="0"/>
          <w:marBottom w:val="0"/>
          <w:divBdr>
            <w:top w:val="none" w:sz="0" w:space="0" w:color="auto"/>
            <w:left w:val="none" w:sz="0" w:space="0" w:color="auto"/>
            <w:bottom w:val="none" w:sz="0" w:space="0" w:color="auto"/>
            <w:right w:val="none" w:sz="0" w:space="0" w:color="auto"/>
          </w:divBdr>
          <w:divsChild>
            <w:div w:id="788352471">
              <w:marLeft w:val="0"/>
              <w:marRight w:val="0"/>
              <w:marTop w:val="0"/>
              <w:marBottom w:val="0"/>
              <w:divBdr>
                <w:top w:val="none" w:sz="0" w:space="0" w:color="auto"/>
                <w:left w:val="none" w:sz="0" w:space="0" w:color="auto"/>
                <w:bottom w:val="none" w:sz="0" w:space="0" w:color="auto"/>
                <w:right w:val="none" w:sz="0" w:space="0" w:color="auto"/>
              </w:divBdr>
              <w:divsChild>
                <w:div w:id="5024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8258">
      <w:bodyDiv w:val="1"/>
      <w:marLeft w:val="0"/>
      <w:marRight w:val="0"/>
      <w:marTop w:val="0"/>
      <w:marBottom w:val="0"/>
      <w:divBdr>
        <w:top w:val="none" w:sz="0" w:space="0" w:color="auto"/>
        <w:left w:val="none" w:sz="0" w:space="0" w:color="auto"/>
        <w:bottom w:val="none" w:sz="0" w:space="0" w:color="auto"/>
        <w:right w:val="none" w:sz="0" w:space="0" w:color="auto"/>
      </w:divBdr>
      <w:divsChild>
        <w:div w:id="120922675">
          <w:marLeft w:val="0"/>
          <w:marRight w:val="0"/>
          <w:marTop w:val="0"/>
          <w:marBottom w:val="0"/>
          <w:divBdr>
            <w:top w:val="none" w:sz="0" w:space="0" w:color="auto"/>
            <w:left w:val="none" w:sz="0" w:space="0" w:color="auto"/>
            <w:bottom w:val="none" w:sz="0" w:space="0" w:color="auto"/>
            <w:right w:val="none" w:sz="0" w:space="0" w:color="auto"/>
          </w:divBdr>
          <w:divsChild>
            <w:div w:id="83427335">
              <w:marLeft w:val="0"/>
              <w:marRight w:val="0"/>
              <w:marTop w:val="0"/>
              <w:marBottom w:val="0"/>
              <w:divBdr>
                <w:top w:val="none" w:sz="0" w:space="0" w:color="auto"/>
                <w:left w:val="none" w:sz="0" w:space="0" w:color="auto"/>
                <w:bottom w:val="none" w:sz="0" w:space="0" w:color="auto"/>
                <w:right w:val="none" w:sz="0" w:space="0" w:color="auto"/>
              </w:divBdr>
              <w:divsChild>
                <w:div w:id="1979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164">
      <w:bodyDiv w:val="1"/>
      <w:marLeft w:val="0"/>
      <w:marRight w:val="0"/>
      <w:marTop w:val="0"/>
      <w:marBottom w:val="0"/>
      <w:divBdr>
        <w:top w:val="none" w:sz="0" w:space="0" w:color="auto"/>
        <w:left w:val="none" w:sz="0" w:space="0" w:color="auto"/>
        <w:bottom w:val="none" w:sz="0" w:space="0" w:color="auto"/>
        <w:right w:val="none" w:sz="0" w:space="0" w:color="auto"/>
      </w:divBdr>
    </w:div>
    <w:div w:id="1220289561">
      <w:bodyDiv w:val="1"/>
      <w:marLeft w:val="0"/>
      <w:marRight w:val="0"/>
      <w:marTop w:val="0"/>
      <w:marBottom w:val="0"/>
      <w:divBdr>
        <w:top w:val="none" w:sz="0" w:space="0" w:color="auto"/>
        <w:left w:val="none" w:sz="0" w:space="0" w:color="auto"/>
        <w:bottom w:val="none" w:sz="0" w:space="0" w:color="auto"/>
        <w:right w:val="none" w:sz="0" w:space="0" w:color="auto"/>
      </w:divBdr>
      <w:divsChild>
        <w:div w:id="159346017">
          <w:marLeft w:val="0"/>
          <w:marRight w:val="0"/>
          <w:marTop w:val="0"/>
          <w:marBottom w:val="0"/>
          <w:divBdr>
            <w:top w:val="none" w:sz="0" w:space="0" w:color="auto"/>
            <w:left w:val="none" w:sz="0" w:space="0" w:color="auto"/>
            <w:bottom w:val="none" w:sz="0" w:space="0" w:color="auto"/>
            <w:right w:val="none" w:sz="0" w:space="0" w:color="auto"/>
          </w:divBdr>
          <w:divsChild>
            <w:div w:id="2063013903">
              <w:marLeft w:val="0"/>
              <w:marRight w:val="0"/>
              <w:marTop w:val="0"/>
              <w:marBottom w:val="0"/>
              <w:divBdr>
                <w:top w:val="none" w:sz="0" w:space="0" w:color="auto"/>
                <w:left w:val="none" w:sz="0" w:space="0" w:color="auto"/>
                <w:bottom w:val="none" w:sz="0" w:space="0" w:color="auto"/>
                <w:right w:val="none" w:sz="0" w:space="0" w:color="auto"/>
              </w:divBdr>
              <w:divsChild>
                <w:div w:id="19849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7253">
      <w:bodyDiv w:val="1"/>
      <w:marLeft w:val="0"/>
      <w:marRight w:val="0"/>
      <w:marTop w:val="0"/>
      <w:marBottom w:val="0"/>
      <w:divBdr>
        <w:top w:val="none" w:sz="0" w:space="0" w:color="auto"/>
        <w:left w:val="none" w:sz="0" w:space="0" w:color="auto"/>
        <w:bottom w:val="none" w:sz="0" w:space="0" w:color="auto"/>
        <w:right w:val="none" w:sz="0" w:space="0" w:color="auto"/>
      </w:divBdr>
      <w:divsChild>
        <w:div w:id="261425876">
          <w:marLeft w:val="0"/>
          <w:marRight w:val="0"/>
          <w:marTop w:val="0"/>
          <w:marBottom w:val="0"/>
          <w:divBdr>
            <w:top w:val="none" w:sz="0" w:space="0" w:color="auto"/>
            <w:left w:val="none" w:sz="0" w:space="0" w:color="auto"/>
            <w:bottom w:val="none" w:sz="0" w:space="0" w:color="auto"/>
            <w:right w:val="none" w:sz="0" w:space="0" w:color="auto"/>
          </w:divBdr>
          <w:divsChild>
            <w:div w:id="783571428">
              <w:marLeft w:val="0"/>
              <w:marRight w:val="0"/>
              <w:marTop w:val="0"/>
              <w:marBottom w:val="0"/>
              <w:divBdr>
                <w:top w:val="none" w:sz="0" w:space="0" w:color="auto"/>
                <w:left w:val="none" w:sz="0" w:space="0" w:color="auto"/>
                <w:bottom w:val="none" w:sz="0" w:space="0" w:color="auto"/>
                <w:right w:val="none" w:sz="0" w:space="0" w:color="auto"/>
              </w:divBdr>
              <w:divsChild>
                <w:div w:id="13524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20588">
      <w:bodyDiv w:val="1"/>
      <w:marLeft w:val="0"/>
      <w:marRight w:val="0"/>
      <w:marTop w:val="0"/>
      <w:marBottom w:val="0"/>
      <w:divBdr>
        <w:top w:val="none" w:sz="0" w:space="0" w:color="auto"/>
        <w:left w:val="none" w:sz="0" w:space="0" w:color="auto"/>
        <w:bottom w:val="none" w:sz="0" w:space="0" w:color="auto"/>
        <w:right w:val="none" w:sz="0" w:space="0" w:color="auto"/>
      </w:divBdr>
      <w:divsChild>
        <w:div w:id="2134247788">
          <w:marLeft w:val="0"/>
          <w:marRight w:val="0"/>
          <w:marTop w:val="300"/>
          <w:marBottom w:val="300"/>
          <w:divBdr>
            <w:top w:val="none" w:sz="0" w:space="0" w:color="auto"/>
            <w:left w:val="none" w:sz="0" w:space="0" w:color="auto"/>
            <w:bottom w:val="none" w:sz="0" w:space="0" w:color="auto"/>
            <w:right w:val="none" w:sz="0" w:space="0" w:color="auto"/>
          </w:divBdr>
        </w:div>
      </w:divsChild>
    </w:div>
    <w:div w:id="2080206955">
      <w:bodyDiv w:val="1"/>
      <w:marLeft w:val="0"/>
      <w:marRight w:val="0"/>
      <w:marTop w:val="0"/>
      <w:marBottom w:val="0"/>
      <w:divBdr>
        <w:top w:val="none" w:sz="0" w:space="0" w:color="auto"/>
        <w:left w:val="none" w:sz="0" w:space="0" w:color="auto"/>
        <w:bottom w:val="none" w:sz="0" w:space="0" w:color="auto"/>
        <w:right w:val="none" w:sz="0" w:space="0" w:color="auto"/>
      </w:divBdr>
      <w:divsChild>
        <w:div w:id="106434748">
          <w:marLeft w:val="0"/>
          <w:marRight w:val="0"/>
          <w:marTop w:val="0"/>
          <w:marBottom w:val="0"/>
          <w:divBdr>
            <w:top w:val="none" w:sz="0" w:space="0" w:color="auto"/>
            <w:left w:val="none" w:sz="0" w:space="0" w:color="auto"/>
            <w:bottom w:val="none" w:sz="0" w:space="0" w:color="auto"/>
            <w:right w:val="none" w:sz="0" w:space="0" w:color="auto"/>
          </w:divBdr>
          <w:divsChild>
            <w:div w:id="1199317138">
              <w:marLeft w:val="0"/>
              <w:marRight w:val="0"/>
              <w:marTop w:val="0"/>
              <w:marBottom w:val="0"/>
              <w:divBdr>
                <w:top w:val="none" w:sz="0" w:space="0" w:color="auto"/>
                <w:left w:val="none" w:sz="0" w:space="0" w:color="auto"/>
                <w:bottom w:val="none" w:sz="0" w:space="0" w:color="auto"/>
                <w:right w:val="none" w:sz="0" w:space="0" w:color="auto"/>
              </w:divBdr>
              <w:divsChild>
                <w:div w:id="184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64D4C6-F183-2F46-B417-B01284AC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2160</Words>
  <Characters>12318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 Ayu Wulandari</dc:creator>
  <cp:keywords/>
  <dc:description/>
  <cp:lastModifiedBy>Bunga Ayu Wulandari</cp:lastModifiedBy>
  <cp:revision>2</cp:revision>
  <dcterms:created xsi:type="dcterms:W3CDTF">2018-07-11T07:17:00Z</dcterms:created>
  <dcterms:modified xsi:type="dcterms:W3CDTF">2018-07-11T07:17:00Z</dcterms:modified>
</cp:coreProperties>
</file>