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A704" w14:textId="77777777" w:rsidR="002C32AF" w:rsidRDefault="002C32AF" w:rsidP="002C32AF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6065">
        <w:rPr>
          <w:rFonts w:ascii="Garamond" w:eastAsia="Garamond" w:hAnsi="Garamond" w:cs="Garamond"/>
          <w:b/>
          <w:sz w:val="32"/>
          <w:szCs w:val="32"/>
          <w:lang w:val="en"/>
        </w:rPr>
        <w:t xml:space="preserve">Antecedents </w:t>
      </w:r>
      <w:r>
        <w:rPr>
          <w:rFonts w:ascii="Garamond" w:eastAsia="Garamond" w:hAnsi="Garamond" w:cs="Garamond"/>
          <w:b/>
          <w:sz w:val="32"/>
          <w:szCs w:val="32"/>
          <w:lang w:val="en"/>
        </w:rPr>
        <w:t xml:space="preserve">of </w:t>
      </w:r>
      <w:r w:rsidRPr="00F16065">
        <w:rPr>
          <w:rFonts w:ascii="Garamond" w:eastAsia="Garamond" w:hAnsi="Garamond" w:cs="Garamond"/>
          <w:b/>
          <w:sz w:val="32"/>
          <w:szCs w:val="32"/>
          <w:lang w:val="en"/>
        </w:rPr>
        <w:t>Intention</w:t>
      </w:r>
      <w:r>
        <w:rPr>
          <w:rFonts w:ascii="Garamond" w:eastAsia="Garamond" w:hAnsi="Garamond" w:cs="Garamond"/>
          <w:b/>
          <w:sz w:val="32"/>
          <w:szCs w:val="32"/>
          <w:lang w:val="en"/>
        </w:rPr>
        <w:t xml:space="preserve"> </w:t>
      </w:r>
      <w:r w:rsidRPr="00F16065">
        <w:rPr>
          <w:rFonts w:ascii="Garamond" w:eastAsia="Garamond" w:hAnsi="Garamond" w:cs="Garamond"/>
          <w:b/>
          <w:sz w:val="32"/>
          <w:szCs w:val="32"/>
          <w:lang w:val="en"/>
        </w:rPr>
        <w:t>to Use Ride-Sharing</w:t>
      </w:r>
      <w:r>
        <w:rPr>
          <w:rFonts w:ascii="Garamond" w:eastAsia="Garamond" w:hAnsi="Garamond" w:cs="Garamond"/>
          <w:b/>
          <w:sz w:val="32"/>
          <w:szCs w:val="32"/>
          <w:lang w:val="en"/>
        </w:rPr>
        <w:t xml:space="preserve"> Platform</w:t>
      </w:r>
      <w:r w:rsidRPr="00F16065">
        <w:rPr>
          <w:rFonts w:ascii="Garamond" w:eastAsia="Garamond" w:hAnsi="Garamond" w:cs="Garamond"/>
          <w:b/>
          <w:sz w:val="32"/>
          <w:szCs w:val="32"/>
          <w:lang w:val="en"/>
        </w:rPr>
        <w:t xml:space="preserve"> </w:t>
      </w:r>
    </w:p>
    <w:p w14:paraId="66B21ABC" w14:textId="77777777" w:rsidR="002C32AF" w:rsidRDefault="002C32AF"/>
    <w:p w14:paraId="124F4132" w14:textId="5BC66F8B" w:rsidR="002C32AF" w:rsidRDefault="002C32AF">
      <w:r>
        <w:t xml:space="preserve">Akreditasi Referensi </w:t>
      </w:r>
    </w:p>
    <w:p w14:paraId="0FA0C5D2" w14:textId="77777777" w:rsidR="002C32AF" w:rsidRDefault="002C32AF" w:rsidP="002C32AF">
      <w:pPr>
        <w:spacing w:before="240" w:after="240" w:line="276" w:lineRule="auto"/>
        <w:ind w:firstLine="0"/>
        <w:rPr>
          <w:rFonts w:ascii="Garamond" w:eastAsia="Times New Roman" w:hAnsi="Garamond" w:cs="Times New Roman"/>
          <w:lang w:val="sv-SE"/>
        </w:rPr>
      </w:pPr>
    </w:p>
    <w:tbl>
      <w:tblPr>
        <w:tblStyle w:val="TableGrid"/>
        <w:tblW w:w="8163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4335"/>
        <w:gridCol w:w="1134"/>
        <w:gridCol w:w="850"/>
        <w:gridCol w:w="851"/>
        <w:gridCol w:w="993"/>
      </w:tblGrid>
      <w:tr w:rsidR="002C32AF" w:rsidRPr="002C32AF" w14:paraId="329C5BCD" w14:textId="77777777" w:rsidTr="002C32AF">
        <w:trPr>
          <w:tblHeader/>
        </w:trPr>
        <w:tc>
          <w:tcPr>
            <w:tcW w:w="4335" w:type="dxa"/>
          </w:tcPr>
          <w:p w14:paraId="25D1C203" w14:textId="77777777" w:rsidR="002C32AF" w:rsidRPr="002C32AF" w:rsidRDefault="002C32AF" w:rsidP="002C32AF">
            <w:pPr>
              <w:spacing w:before="240" w:after="240" w:line="276" w:lineRule="auto"/>
              <w:ind w:firstLine="0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2C32AF">
              <w:rPr>
                <w:rFonts w:ascii="Garamond" w:eastAsia="Times New Roman" w:hAnsi="Garamond" w:cs="Times New Roman"/>
                <w:b/>
                <w:bCs/>
              </w:rPr>
              <w:t>Reference</w:t>
            </w:r>
          </w:p>
        </w:tc>
        <w:tc>
          <w:tcPr>
            <w:tcW w:w="1134" w:type="dxa"/>
          </w:tcPr>
          <w:p w14:paraId="7B0CB3D2" w14:textId="77777777" w:rsidR="002C32AF" w:rsidRPr="002C32AF" w:rsidRDefault="002C32AF" w:rsidP="002C32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Garamond" w:hAnsi="Garamond" w:cs="Times New Roman"/>
                <w:b/>
                <w:bCs/>
                <w:noProof/>
              </w:rPr>
            </w:pPr>
            <w:r w:rsidRPr="002C32AF">
              <w:rPr>
                <w:rFonts w:ascii="Garamond" w:hAnsi="Garamond" w:cs="Times New Roman"/>
                <w:b/>
                <w:bCs/>
                <w:noProof/>
              </w:rPr>
              <w:t>Indexed</w:t>
            </w:r>
          </w:p>
        </w:tc>
        <w:tc>
          <w:tcPr>
            <w:tcW w:w="850" w:type="dxa"/>
          </w:tcPr>
          <w:p w14:paraId="315B6B1D" w14:textId="77777777" w:rsidR="002C32AF" w:rsidRPr="002C32AF" w:rsidRDefault="002C32AF" w:rsidP="002C32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Garamond" w:hAnsi="Garamond" w:cs="Times New Roman"/>
                <w:b/>
                <w:bCs/>
                <w:noProof/>
              </w:rPr>
            </w:pPr>
            <w:r w:rsidRPr="002C32AF">
              <w:rPr>
                <w:rFonts w:ascii="Garamond" w:hAnsi="Garamond" w:cs="Times New Roman"/>
                <w:b/>
                <w:bCs/>
                <w:noProof/>
              </w:rPr>
              <w:t>Q</w:t>
            </w:r>
          </w:p>
        </w:tc>
        <w:tc>
          <w:tcPr>
            <w:tcW w:w="851" w:type="dxa"/>
          </w:tcPr>
          <w:p w14:paraId="1B28F9B3" w14:textId="77777777" w:rsidR="002C32AF" w:rsidRPr="002C32AF" w:rsidRDefault="002C32AF" w:rsidP="002C32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Garamond" w:hAnsi="Garamond" w:cs="Times New Roman"/>
                <w:b/>
                <w:bCs/>
                <w:noProof/>
              </w:rPr>
            </w:pPr>
            <w:r w:rsidRPr="002C32AF">
              <w:rPr>
                <w:rFonts w:ascii="Garamond" w:hAnsi="Garamond" w:cs="Times New Roman"/>
                <w:b/>
                <w:bCs/>
                <w:noProof/>
              </w:rPr>
              <w:t>SJR</w:t>
            </w:r>
          </w:p>
        </w:tc>
        <w:tc>
          <w:tcPr>
            <w:tcW w:w="993" w:type="dxa"/>
          </w:tcPr>
          <w:p w14:paraId="0E000A6B" w14:textId="77777777" w:rsidR="002C32AF" w:rsidRPr="002C32AF" w:rsidRDefault="002C32AF" w:rsidP="002C32A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Garamond" w:hAnsi="Garamond" w:cs="Times New Roman"/>
                <w:b/>
                <w:bCs/>
                <w:noProof/>
              </w:rPr>
            </w:pPr>
            <w:r w:rsidRPr="002C32AF">
              <w:rPr>
                <w:rFonts w:ascii="Garamond" w:hAnsi="Garamond" w:cs="Times New Roman"/>
                <w:b/>
                <w:bCs/>
                <w:noProof/>
              </w:rPr>
              <w:t>Impact Factor</w:t>
            </w:r>
          </w:p>
        </w:tc>
      </w:tr>
      <w:tr w:rsidR="002C32AF" w:rsidRPr="002F035C" w14:paraId="5A623F38" w14:textId="77777777" w:rsidTr="0032191B">
        <w:tc>
          <w:tcPr>
            <w:tcW w:w="4335" w:type="dxa"/>
          </w:tcPr>
          <w:p w14:paraId="337A9267" w14:textId="77777777" w:rsidR="002C32AF" w:rsidRPr="00895A7B" w:rsidRDefault="002C32AF" w:rsidP="0032191B">
            <w:pPr>
              <w:spacing w:before="240" w:after="240" w:line="276" w:lineRule="auto"/>
              <w:ind w:firstLine="0"/>
              <w:rPr>
                <w:rFonts w:ascii="Garamond" w:eastAsia="Times New Roman" w:hAnsi="Garamond" w:cs="Times New Roman"/>
              </w:rPr>
            </w:pPr>
            <w:r w:rsidRPr="00895A7B">
              <w:rPr>
                <w:rFonts w:ascii="Garamond" w:eastAsia="Times New Roman" w:hAnsi="Garamond" w:cs="Times New Roman"/>
              </w:rPr>
              <w:t xml:space="preserve">Abdul Aziz, N. H., &amp; Mohd Dali, N. R. S. (2019). Factors Influencing Consumer’s Behavior Towards The Usage Of Internet Banking. </w:t>
            </w:r>
            <w:r w:rsidRPr="00895A7B">
              <w:rPr>
                <w:rFonts w:ascii="Garamond" w:eastAsia="Times New Roman" w:hAnsi="Garamond" w:cs="Times New Roman"/>
                <w:i/>
                <w:iCs/>
              </w:rPr>
              <w:t>Ijasos- International E-Journal of Advances in Social Sciences</w:t>
            </w:r>
            <w:r w:rsidRPr="00895A7B">
              <w:rPr>
                <w:rFonts w:ascii="Garamond" w:eastAsia="Times New Roman" w:hAnsi="Garamond" w:cs="Times New Roman"/>
              </w:rPr>
              <w:t>, 1005–1015. https://doi.org/10.18769/ijasos.605366</w:t>
            </w:r>
          </w:p>
          <w:p w14:paraId="004F457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1134" w:type="dxa"/>
          </w:tcPr>
          <w:p w14:paraId="7C28F47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Copernicus Scilit, ResearchGate dll</w:t>
            </w:r>
          </w:p>
        </w:tc>
        <w:tc>
          <w:tcPr>
            <w:tcW w:w="850" w:type="dxa"/>
          </w:tcPr>
          <w:p w14:paraId="4A3689D0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2951D50B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4366D0BA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47986E7E" w14:textId="77777777" w:rsidTr="0032191B">
        <w:tc>
          <w:tcPr>
            <w:tcW w:w="4335" w:type="dxa"/>
          </w:tcPr>
          <w:p w14:paraId="0620246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Ajzen, I. (1991). The theory of planned behavior.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Organizational Behavior and Human Decision Processes</w:t>
            </w:r>
            <w:r w:rsidRPr="002F035C">
              <w:rPr>
                <w:rFonts w:ascii="Garamond" w:hAnsi="Garamond" w:cs="Times New Roman"/>
                <w:noProof/>
              </w:rPr>
              <w:t>. https://doi.org/10.1016/0749-5978(91)90020-T</w:t>
            </w:r>
          </w:p>
        </w:tc>
        <w:tc>
          <w:tcPr>
            <w:tcW w:w="1134" w:type="dxa"/>
          </w:tcPr>
          <w:p w14:paraId="1A21743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 </w:t>
            </w:r>
          </w:p>
        </w:tc>
        <w:tc>
          <w:tcPr>
            <w:tcW w:w="850" w:type="dxa"/>
          </w:tcPr>
          <w:p w14:paraId="10731714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2A49123D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2,676</w:t>
            </w:r>
          </w:p>
        </w:tc>
        <w:tc>
          <w:tcPr>
            <w:tcW w:w="993" w:type="dxa"/>
          </w:tcPr>
          <w:p w14:paraId="504D7BEF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04F56892" w14:textId="77777777" w:rsidTr="0032191B">
        <w:tc>
          <w:tcPr>
            <w:tcW w:w="4335" w:type="dxa"/>
          </w:tcPr>
          <w:p w14:paraId="3DD3BC7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Ajzen, I. (2012). The theory of planned behavior. In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Handbook of Theories of Social Psychology: Volume 1</w:t>
            </w:r>
            <w:r w:rsidRPr="002F035C">
              <w:rPr>
                <w:rFonts w:ascii="Garamond" w:hAnsi="Garamond" w:cs="Times New Roman"/>
                <w:noProof/>
              </w:rPr>
              <w:t>. https://doi.org/10.4135/9781446249215.n22</w:t>
            </w:r>
          </w:p>
        </w:tc>
        <w:tc>
          <w:tcPr>
            <w:tcW w:w="1134" w:type="dxa"/>
          </w:tcPr>
          <w:p w14:paraId="7EF272F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0" w:type="dxa"/>
          </w:tcPr>
          <w:p w14:paraId="3630E44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0CB2C93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41DE371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1D6D2789" w14:textId="77777777" w:rsidTr="0032191B">
        <w:tc>
          <w:tcPr>
            <w:tcW w:w="4335" w:type="dxa"/>
          </w:tcPr>
          <w:p w14:paraId="55B9676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Ajzen, I., &amp; Sheikh, S. (2013). Action versus inaction: Anticipated affect in the theory of planned behavior.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Applied Social Psychology</w:t>
            </w:r>
            <w:r w:rsidRPr="002F035C">
              <w:rPr>
                <w:rFonts w:ascii="Garamond" w:hAnsi="Garamond" w:cs="Times New Roman"/>
                <w:noProof/>
              </w:rPr>
              <w:t>. https://doi.org/10.1111/j.1559-1816.2012.00989.x</w:t>
            </w:r>
          </w:p>
        </w:tc>
        <w:tc>
          <w:tcPr>
            <w:tcW w:w="1134" w:type="dxa"/>
          </w:tcPr>
          <w:p w14:paraId="44BFD2DF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Scopus, impact factor 2.641</w:t>
            </w:r>
          </w:p>
          <w:p w14:paraId="0E099EA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SJR </w:t>
            </w:r>
          </w:p>
        </w:tc>
        <w:tc>
          <w:tcPr>
            <w:tcW w:w="850" w:type="dxa"/>
          </w:tcPr>
          <w:p w14:paraId="22189795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Q2</w:t>
            </w:r>
          </w:p>
        </w:tc>
        <w:tc>
          <w:tcPr>
            <w:tcW w:w="851" w:type="dxa"/>
          </w:tcPr>
          <w:p w14:paraId="247BEEF8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0,741</w:t>
            </w:r>
          </w:p>
        </w:tc>
        <w:tc>
          <w:tcPr>
            <w:tcW w:w="993" w:type="dxa"/>
          </w:tcPr>
          <w:p w14:paraId="418B70A4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2,641</w:t>
            </w:r>
          </w:p>
        </w:tc>
      </w:tr>
      <w:tr w:rsidR="002C32AF" w:rsidRPr="002F035C" w14:paraId="27EA2CA0" w14:textId="77777777" w:rsidTr="0032191B">
        <w:tc>
          <w:tcPr>
            <w:tcW w:w="4335" w:type="dxa"/>
          </w:tcPr>
          <w:p w14:paraId="7F92721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Anouze, A. L. M., &amp; Alamro, A. S. (2020). Factors affecting intention to use e-banking in Jordan.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International Journal of Bank Marketing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38</w:t>
            </w:r>
            <w:r w:rsidRPr="002F035C">
              <w:rPr>
                <w:rFonts w:ascii="Garamond" w:hAnsi="Garamond" w:cs="Times New Roman"/>
                <w:noProof/>
              </w:rPr>
              <w:t>(1), 86–112. https://doi.org/10.1108/IJBM-10-2018-</w:t>
            </w:r>
            <w:r w:rsidRPr="002F035C">
              <w:rPr>
                <w:rFonts w:ascii="Garamond" w:hAnsi="Garamond" w:cs="Times New Roman"/>
                <w:noProof/>
              </w:rPr>
              <w:lastRenderedPageBreak/>
              <w:t>0271/full/pdf</w:t>
            </w:r>
          </w:p>
        </w:tc>
        <w:tc>
          <w:tcPr>
            <w:tcW w:w="1134" w:type="dxa"/>
          </w:tcPr>
          <w:p w14:paraId="302F7C2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lastRenderedPageBreak/>
              <w:t xml:space="preserve">Emerald, </w:t>
            </w:r>
          </w:p>
        </w:tc>
        <w:tc>
          <w:tcPr>
            <w:tcW w:w="850" w:type="dxa"/>
          </w:tcPr>
          <w:p w14:paraId="28B9B211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76F0F2DD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H indeks 87</w:t>
            </w:r>
          </w:p>
        </w:tc>
        <w:tc>
          <w:tcPr>
            <w:tcW w:w="993" w:type="dxa"/>
          </w:tcPr>
          <w:p w14:paraId="14A20D70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5,1</w:t>
            </w:r>
          </w:p>
        </w:tc>
      </w:tr>
      <w:tr w:rsidR="002C32AF" w:rsidRPr="002F035C" w14:paraId="01059B86" w14:textId="77777777" w:rsidTr="0032191B">
        <w:tc>
          <w:tcPr>
            <w:tcW w:w="4335" w:type="dxa"/>
          </w:tcPr>
          <w:p w14:paraId="5DBEACAC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Arenas-Gaitán, J., Rondan-Cataluña, F. J., &amp; Ramírez-Correa, P. E. (2018). Antecedents of WOM: SNS-user segmentation.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Research in Interactive Marketing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12</w:t>
            </w:r>
            <w:r w:rsidRPr="002F035C">
              <w:rPr>
                <w:rFonts w:ascii="Garamond" w:hAnsi="Garamond" w:cs="Times New Roman"/>
                <w:noProof/>
              </w:rPr>
              <w:t>(1), 105–124. https://doi.org/10.1108/JRIM-07-2017-0052</w:t>
            </w:r>
          </w:p>
        </w:tc>
        <w:tc>
          <w:tcPr>
            <w:tcW w:w="1134" w:type="dxa"/>
          </w:tcPr>
          <w:p w14:paraId="76F3255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Scopus, </w:t>
            </w:r>
          </w:p>
        </w:tc>
        <w:tc>
          <w:tcPr>
            <w:tcW w:w="850" w:type="dxa"/>
          </w:tcPr>
          <w:p w14:paraId="68EB5E4E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288DB413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1,563</w:t>
            </w:r>
          </w:p>
        </w:tc>
        <w:tc>
          <w:tcPr>
            <w:tcW w:w="993" w:type="dxa"/>
          </w:tcPr>
          <w:p w14:paraId="5F41F94B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11,318</w:t>
            </w:r>
          </w:p>
        </w:tc>
      </w:tr>
      <w:tr w:rsidR="002C32AF" w:rsidRPr="002F035C" w14:paraId="19EC253D" w14:textId="77777777" w:rsidTr="0032191B">
        <w:tc>
          <w:tcPr>
            <w:tcW w:w="4335" w:type="dxa"/>
          </w:tcPr>
          <w:p w14:paraId="4F2C1F0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>Cheah, I., Shimul, A. S., Liang, J., &amp; Phau, I. (2022). Consumer attitude and intention toward ride</w:t>
            </w:r>
            <w:r>
              <w:rPr>
                <w:rFonts w:ascii="Garamond" w:hAnsi="Garamond" w:cs="Times New Roman"/>
                <w:noProof/>
              </w:rPr>
              <w:t>-</w:t>
            </w:r>
            <w:r w:rsidRPr="002F035C">
              <w:rPr>
                <w:rFonts w:ascii="Garamond" w:hAnsi="Garamond" w:cs="Times New Roman"/>
                <w:noProof/>
              </w:rPr>
              <w:t>sharing. 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Strategic Marketing</w:t>
            </w:r>
            <w:r w:rsidRPr="002F035C">
              <w:rPr>
                <w:rFonts w:ascii="Garamond" w:hAnsi="Garamond" w:cs="Times New Roman"/>
                <w:noProof/>
              </w:rPr>
              <w:t>, 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30</w:t>
            </w:r>
            <w:r w:rsidRPr="002F035C">
              <w:rPr>
                <w:rFonts w:ascii="Garamond" w:hAnsi="Garamond" w:cs="Times New Roman"/>
                <w:noProof/>
              </w:rPr>
              <w:t>(2), 115-136.</w:t>
            </w:r>
          </w:p>
        </w:tc>
        <w:tc>
          <w:tcPr>
            <w:tcW w:w="1134" w:type="dxa"/>
          </w:tcPr>
          <w:p w14:paraId="6AAEFD9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 </w:t>
            </w:r>
          </w:p>
        </w:tc>
        <w:tc>
          <w:tcPr>
            <w:tcW w:w="850" w:type="dxa"/>
          </w:tcPr>
          <w:p w14:paraId="5644BD43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Q2</w:t>
            </w:r>
          </w:p>
        </w:tc>
        <w:tc>
          <w:tcPr>
            <w:tcW w:w="851" w:type="dxa"/>
          </w:tcPr>
          <w:p w14:paraId="261DA0E3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0,641</w:t>
            </w:r>
          </w:p>
        </w:tc>
        <w:tc>
          <w:tcPr>
            <w:tcW w:w="993" w:type="dxa"/>
          </w:tcPr>
          <w:p w14:paraId="59B1ED5E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7273DD12" w14:textId="77777777" w:rsidTr="0032191B">
        <w:tc>
          <w:tcPr>
            <w:tcW w:w="4335" w:type="dxa"/>
          </w:tcPr>
          <w:p w14:paraId="135D52D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Davis, F. D., Bagozzi, R. P., &amp; Warshaw, P. R. (1989). User Acceptance of Computer Technology: A Comparison of Two Theoretical Models.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Management Science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35</w:t>
            </w:r>
            <w:r w:rsidRPr="002F035C">
              <w:rPr>
                <w:rFonts w:ascii="Garamond" w:hAnsi="Garamond" w:cs="Times New Roman"/>
                <w:noProof/>
              </w:rPr>
              <w:t>(8), 982–1003. https://doi.org/10.1287/MNSC.35.8.982</w:t>
            </w:r>
          </w:p>
        </w:tc>
        <w:tc>
          <w:tcPr>
            <w:tcW w:w="1134" w:type="dxa"/>
          </w:tcPr>
          <w:p w14:paraId="7E3F554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Scopus, </w:t>
            </w:r>
          </w:p>
        </w:tc>
        <w:tc>
          <w:tcPr>
            <w:tcW w:w="850" w:type="dxa"/>
          </w:tcPr>
          <w:p w14:paraId="5EB82CFC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5AA29A6F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2B0B7AD4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6,172</w:t>
            </w:r>
          </w:p>
        </w:tc>
      </w:tr>
      <w:tr w:rsidR="002C32AF" w:rsidRPr="002F035C" w14:paraId="527A0398" w14:textId="77777777" w:rsidTr="0032191B">
        <w:tc>
          <w:tcPr>
            <w:tcW w:w="4335" w:type="dxa"/>
          </w:tcPr>
          <w:p w14:paraId="61F4F55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Fan, S.-S., Chen, Y., &amp; Miao, L. (2018). Discussing the Effect of Service Innovation on Customer Satisfaction Based on Statistics Education – A Case on Qianjiangyue Leisure Farm.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Eurasia Journal of Mathematics, Science and Technology Education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14</w:t>
            </w:r>
            <w:r w:rsidRPr="002F035C">
              <w:rPr>
                <w:rFonts w:ascii="Garamond" w:hAnsi="Garamond" w:cs="Times New Roman"/>
                <w:noProof/>
              </w:rPr>
              <w:t>(6), 2467–2474. https://doi.org/10.29333/EJMSTE/89530</w:t>
            </w:r>
          </w:p>
        </w:tc>
        <w:tc>
          <w:tcPr>
            <w:tcW w:w="1134" w:type="dxa"/>
          </w:tcPr>
          <w:p w14:paraId="0D7624D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 </w:t>
            </w:r>
          </w:p>
        </w:tc>
        <w:tc>
          <w:tcPr>
            <w:tcW w:w="850" w:type="dxa"/>
          </w:tcPr>
          <w:p w14:paraId="08701218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4E72C8DB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0,435</w:t>
            </w:r>
          </w:p>
        </w:tc>
        <w:tc>
          <w:tcPr>
            <w:tcW w:w="993" w:type="dxa"/>
          </w:tcPr>
          <w:p w14:paraId="249064DC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3DC7E1DB" w14:textId="77777777" w:rsidTr="0032191B">
        <w:tc>
          <w:tcPr>
            <w:tcW w:w="4335" w:type="dxa"/>
          </w:tcPr>
          <w:p w14:paraId="2DE8B67C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>Hair Jr, J. F., Celsi, M. W., Money, A. H., Samouel, P., &amp; Page, M. J. (2015). Essentials of business research methods, USA: ME Sharpe. https://doi.org/10.4324/9781315704562</w:t>
            </w:r>
          </w:p>
        </w:tc>
        <w:tc>
          <w:tcPr>
            <w:tcW w:w="1134" w:type="dxa"/>
          </w:tcPr>
          <w:p w14:paraId="53AD8BD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Scopus, </w:t>
            </w:r>
          </w:p>
        </w:tc>
        <w:tc>
          <w:tcPr>
            <w:tcW w:w="850" w:type="dxa"/>
          </w:tcPr>
          <w:p w14:paraId="43DA73F3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2E9EF7A3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0,903</w:t>
            </w:r>
          </w:p>
        </w:tc>
        <w:tc>
          <w:tcPr>
            <w:tcW w:w="993" w:type="dxa"/>
          </w:tcPr>
          <w:p w14:paraId="238EF132" w14:textId="77777777" w:rsidR="002C32AF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3,275</w:t>
            </w:r>
          </w:p>
        </w:tc>
      </w:tr>
      <w:tr w:rsidR="002C32AF" w:rsidRPr="002F035C" w14:paraId="32898EBA" w14:textId="77777777" w:rsidTr="0032191B">
        <w:tc>
          <w:tcPr>
            <w:tcW w:w="4335" w:type="dxa"/>
          </w:tcPr>
          <w:p w14:paraId="38306E7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lastRenderedPageBreak/>
              <w:t xml:space="preserve">Hamari, J., Sjöklint, M., &amp; Ukkonen, A. (2016). The sharing economy: Why people participate in collaborative consumption.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the Association for Information Science and Technology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67</w:t>
            </w:r>
            <w:r w:rsidRPr="002F035C">
              <w:rPr>
                <w:rFonts w:ascii="Garamond" w:hAnsi="Garamond" w:cs="Times New Roman"/>
                <w:noProof/>
              </w:rPr>
              <w:t>(9), 2047–2059. https://doi.org/10.1002/ASI.23552</w:t>
            </w:r>
          </w:p>
        </w:tc>
        <w:tc>
          <w:tcPr>
            <w:tcW w:w="1134" w:type="dxa"/>
          </w:tcPr>
          <w:p w14:paraId="350AB84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774B541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1FE6560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0.903</w:t>
            </w:r>
          </w:p>
        </w:tc>
        <w:tc>
          <w:tcPr>
            <w:tcW w:w="993" w:type="dxa"/>
          </w:tcPr>
          <w:p w14:paraId="627EB8E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3.275</w:t>
            </w:r>
          </w:p>
        </w:tc>
      </w:tr>
      <w:tr w:rsidR="002C32AF" w:rsidRPr="002F035C" w14:paraId="17C9C3CB" w14:textId="77777777" w:rsidTr="0032191B">
        <w:tc>
          <w:tcPr>
            <w:tcW w:w="4335" w:type="dxa"/>
          </w:tcPr>
          <w:p w14:paraId="6235509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Iyer, R., &amp; Griffin, M. (2021). Modeling word-of-mouth usage: A replication.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Business Research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126</w:t>
            </w:r>
            <w:r w:rsidRPr="002F035C">
              <w:rPr>
                <w:rFonts w:ascii="Garamond" w:hAnsi="Garamond" w:cs="Times New Roman"/>
                <w:noProof/>
              </w:rPr>
              <w:t>, 512–523. https://doi.org/10.1016/J.JBUSRES.2019.12.027</w:t>
            </w:r>
          </w:p>
        </w:tc>
        <w:tc>
          <w:tcPr>
            <w:tcW w:w="1134" w:type="dxa"/>
          </w:tcPr>
          <w:p w14:paraId="32623EC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7E0E099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7B91D3E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2.049</w:t>
            </w:r>
          </w:p>
        </w:tc>
        <w:tc>
          <w:tcPr>
            <w:tcW w:w="993" w:type="dxa"/>
          </w:tcPr>
          <w:p w14:paraId="247AD85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10.969</w:t>
            </w:r>
          </w:p>
        </w:tc>
      </w:tr>
      <w:tr w:rsidR="002C32AF" w:rsidRPr="002F035C" w14:paraId="28C699DF" w14:textId="77777777" w:rsidTr="0032191B">
        <w:tc>
          <w:tcPr>
            <w:tcW w:w="4335" w:type="dxa"/>
          </w:tcPr>
          <w:p w14:paraId="3268FBD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Jahangir, N., &amp; Begum, N. (2008). The role of perceived usefulness, perceived ease of use, security and privacy, and customer attitude to engender customer adaptation in the context of electronic banking.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African Journal of Business Management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</w:t>
            </w:r>
            <w:r w:rsidRPr="002F035C">
              <w:rPr>
                <w:rFonts w:ascii="Garamond" w:hAnsi="Garamond" w:cs="Times New Roman"/>
                <w:noProof/>
              </w:rPr>
              <w:t>(2), 032–040. https://doi.org/10.5897/AJBM.9000634</w:t>
            </w:r>
          </w:p>
        </w:tc>
        <w:tc>
          <w:tcPr>
            <w:tcW w:w="1134" w:type="dxa"/>
          </w:tcPr>
          <w:p w14:paraId="009250A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0" w:type="dxa"/>
          </w:tcPr>
          <w:p w14:paraId="082DFA6E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66ED11EC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2FD5666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26707714" w14:textId="77777777" w:rsidTr="0032191B">
        <w:tc>
          <w:tcPr>
            <w:tcW w:w="4335" w:type="dxa"/>
          </w:tcPr>
          <w:p w14:paraId="6609BDA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Josiam, B. M., &amp; Henry, W. (2014). Eatertainment: Utilitarian and Hedonic Motivations for Patronizing Fun Experience Restaurants.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Procedia - Social and Behavioral Sciences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144</w:t>
            </w:r>
            <w:r w:rsidRPr="002F035C">
              <w:rPr>
                <w:rFonts w:ascii="Garamond" w:hAnsi="Garamond" w:cs="Times New Roman"/>
                <w:noProof/>
              </w:rPr>
              <w:t>, 187–202. https://doi.org/10.1016/J.SBSPRO.2014.07.287</w:t>
            </w:r>
          </w:p>
        </w:tc>
        <w:tc>
          <w:tcPr>
            <w:tcW w:w="1134" w:type="dxa"/>
          </w:tcPr>
          <w:p w14:paraId="1EBE827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 xml:space="preserve">Elsevier, Science Direct </w:t>
            </w:r>
          </w:p>
        </w:tc>
        <w:tc>
          <w:tcPr>
            <w:tcW w:w="850" w:type="dxa"/>
          </w:tcPr>
          <w:p w14:paraId="0DA1042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7529009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41098CE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47B02EDF" w14:textId="77777777" w:rsidTr="0032191B">
        <w:tc>
          <w:tcPr>
            <w:tcW w:w="4335" w:type="dxa"/>
          </w:tcPr>
          <w:p w14:paraId="4395145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Keiningham, T. L., Rust, R. T., Lariviere, B., Aksoy, L., &amp; Williams, L. (2018). A roadmap for driving customer word-of-mouth.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Service Management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29</w:t>
            </w:r>
            <w:r w:rsidRPr="002F035C">
              <w:rPr>
                <w:rFonts w:ascii="Garamond" w:hAnsi="Garamond" w:cs="Times New Roman"/>
                <w:noProof/>
              </w:rPr>
              <w:t xml:space="preserve">(1), 2–38. </w:t>
            </w:r>
            <w:r w:rsidRPr="002F035C">
              <w:rPr>
                <w:rFonts w:ascii="Garamond" w:hAnsi="Garamond" w:cs="Times New Roman"/>
                <w:noProof/>
              </w:rPr>
              <w:lastRenderedPageBreak/>
              <w:t>https://doi.org/10.1108/JOSM-03-2017-0077</w:t>
            </w:r>
          </w:p>
        </w:tc>
        <w:tc>
          <w:tcPr>
            <w:tcW w:w="1134" w:type="dxa"/>
          </w:tcPr>
          <w:p w14:paraId="4939C11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lastRenderedPageBreak/>
              <w:t>Scopus</w:t>
            </w:r>
          </w:p>
        </w:tc>
        <w:tc>
          <w:tcPr>
            <w:tcW w:w="850" w:type="dxa"/>
          </w:tcPr>
          <w:p w14:paraId="47B182B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7FF1A8B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2.658</w:t>
            </w:r>
          </w:p>
        </w:tc>
        <w:tc>
          <w:tcPr>
            <w:tcW w:w="993" w:type="dxa"/>
          </w:tcPr>
          <w:p w14:paraId="74E31BD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9,45</w:t>
            </w:r>
          </w:p>
        </w:tc>
      </w:tr>
      <w:tr w:rsidR="002C32AF" w:rsidRPr="002F035C" w14:paraId="1531836C" w14:textId="77777777" w:rsidTr="0032191B">
        <w:tc>
          <w:tcPr>
            <w:tcW w:w="4335" w:type="dxa"/>
          </w:tcPr>
          <w:p w14:paraId="4D02EF2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Keni, K. (2020). How Perceived Usefulness and Perceived Ease of Use Affecting Intent to Repurchase?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Jurnal Manajemen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24</w:t>
            </w:r>
            <w:r w:rsidRPr="002F035C">
              <w:rPr>
                <w:rFonts w:ascii="Garamond" w:hAnsi="Garamond" w:cs="Times New Roman"/>
                <w:noProof/>
              </w:rPr>
              <w:t>(3), 481–496. https://doi.org/10.24912/JM.V24I3.680</w:t>
            </w:r>
          </w:p>
        </w:tc>
        <w:tc>
          <w:tcPr>
            <w:tcW w:w="1134" w:type="dxa"/>
          </w:tcPr>
          <w:p w14:paraId="049DE30C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Sinta</w:t>
            </w:r>
          </w:p>
        </w:tc>
        <w:tc>
          <w:tcPr>
            <w:tcW w:w="850" w:type="dxa"/>
          </w:tcPr>
          <w:p w14:paraId="381BED1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</w:t>
            </w:r>
          </w:p>
        </w:tc>
        <w:tc>
          <w:tcPr>
            <w:tcW w:w="851" w:type="dxa"/>
          </w:tcPr>
          <w:p w14:paraId="2263923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60ED931C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5A69155D" w14:textId="77777777" w:rsidTr="0032191B">
        <w:tc>
          <w:tcPr>
            <w:tcW w:w="4335" w:type="dxa"/>
          </w:tcPr>
          <w:p w14:paraId="278B8F7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Latan, H., &amp; Noonan, R. (2017). Partial least squares path modeling: Basic concepts, methodological issues and applications. In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Partial Least Squares Path Modeling: Basic Concepts, Methodological Issues and Applications</w:t>
            </w:r>
            <w:r w:rsidRPr="002F035C">
              <w:rPr>
                <w:rFonts w:ascii="Garamond" w:hAnsi="Garamond" w:cs="Times New Roman"/>
                <w:noProof/>
              </w:rPr>
              <w:t>. https://doi.org/10.1007/978-3-319-64069-3</w:t>
            </w:r>
          </w:p>
        </w:tc>
        <w:tc>
          <w:tcPr>
            <w:tcW w:w="1134" w:type="dxa"/>
          </w:tcPr>
          <w:p w14:paraId="300AA74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0" w:type="dxa"/>
          </w:tcPr>
          <w:p w14:paraId="23C06F1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2871A6F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2B1EDF4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309B2ABD" w14:textId="77777777" w:rsidTr="0032191B">
        <w:tc>
          <w:tcPr>
            <w:tcW w:w="4335" w:type="dxa"/>
          </w:tcPr>
          <w:p w14:paraId="0C6577D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Lee, B. C. Y. (2012). The determinants of consumer attitude toward service innovation – the evidence of ETC system in Taiwan.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Services Marketing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26</w:t>
            </w:r>
            <w:r w:rsidRPr="002F035C">
              <w:rPr>
                <w:rFonts w:ascii="Garamond" w:hAnsi="Garamond" w:cs="Times New Roman"/>
                <w:noProof/>
              </w:rPr>
              <w:t>(1), 9–19. https://doi.org/10.1108/08876041211199689</w:t>
            </w:r>
          </w:p>
        </w:tc>
        <w:tc>
          <w:tcPr>
            <w:tcW w:w="1134" w:type="dxa"/>
          </w:tcPr>
          <w:p w14:paraId="2BB2370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6EF6314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75CC746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1.229</w:t>
            </w:r>
          </w:p>
        </w:tc>
        <w:tc>
          <w:tcPr>
            <w:tcW w:w="993" w:type="dxa"/>
          </w:tcPr>
          <w:p w14:paraId="3F9ACC4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5.246</w:t>
            </w:r>
          </w:p>
        </w:tc>
      </w:tr>
      <w:tr w:rsidR="002C32AF" w:rsidRPr="002F035C" w14:paraId="310BCFEF" w14:textId="77777777" w:rsidTr="0032191B">
        <w:tc>
          <w:tcPr>
            <w:tcW w:w="4335" w:type="dxa"/>
          </w:tcPr>
          <w:p w14:paraId="4BC36CE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>Lee, Z. W., Chan, T. K., Balaji, M. S., &amp; Chong, A. Y. L. (2018). Why people participate in the sharing economy: an empirical investigation of Uber. 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Internet Research</w:t>
            </w:r>
            <w:r w:rsidRPr="002F035C">
              <w:rPr>
                <w:rFonts w:ascii="Garamond" w:hAnsi="Garamond" w:cs="Times New Roman"/>
                <w:noProof/>
              </w:rPr>
              <w:t xml:space="preserve">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28</w:t>
            </w:r>
            <w:r w:rsidRPr="002F035C">
              <w:rPr>
                <w:rFonts w:ascii="Garamond" w:hAnsi="Garamond" w:cs="Times New Roman"/>
                <w:noProof/>
              </w:rPr>
              <w:t>(3), 829850. https://doi.org/10.1108/IntR-01-2017-0037</w:t>
            </w:r>
          </w:p>
        </w:tc>
        <w:tc>
          <w:tcPr>
            <w:tcW w:w="1134" w:type="dxa"/>
          </w:tcPr>
          <w:p w14:paraId="233698E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00941FA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4D8FCFD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6.353</w:t>
            </w:r>
          </w:p>
        </w:tc>
        <w:tc>
          <w:tcPr>
            <w:tcW w:w="993" w:type="dxa"/>
          </w:tcPr>
          <w:p w14:paraId="21255A7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1.382</w:t>
            </w:r>
          </w:p>
        </w:tc>
      </w:tr>
      <w:tr w:rsidR="002C32AF" w:rsidRPr="002F035C" w14:paraId="033F37D3" w14:textId="77777777" w:rsidTr="0032191B">
        <w:tc>
          <w:tcPr>
            <w:tcW w:w="4335" w:type="dxa"/>
          </w:tcPr>
          <w:p w14:paraId="2D34DBB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Möhlmann, M. (2015). Collaborative consumption: determinants of satisfaction </w:t>
            </w:r>
            <w:r w:rsidRPr="002F035C">
              <w:rPr>
                <w:rFonts w:ascii="Garamond" w:hAnsi="Garamond" w:cs="Times New Roman"/>
                <w:noProof/>
              </w:rPr>
              <w:lastRenderedPageBreak/>
              <w:t xml:space="preserve">and the likelihood of using a sharing economy option again.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Consumer Behaviour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14</w:t>
            </w:r>
            <w:r w:rsidRPr="002F035C">
              <w:rPr>
                <w:rFonts w:ascii="Garamond" w:hAnsi="Garamond" w:cs="Times New Roman"/>
                <w:noProof/>
              </w:rPr>
              <w:t>(3), 193–207. https://doi.org/10.1002/CB.1512</w:t>
            </w:r>
          </w:p>
        </w:tc>
        <w:tc>
          <w:tcPr>
            <w:tcW w:w="1134" w:type="dxa"/>
          </w:tcPr>
          <w:p w14:paraId="5FDDD7C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lastRenderedPageBreak/>
              <w:t>Scopus</w:t>
            </w:r>
          </w:p>
        </w:tc>
        <w:tc>
          <w:tcPr>
            <w:tcW w:w="850" w:type="dxa"/>
          </w:tcPr>
          <w:p w14:paraId="5CAC583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5AC03AA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3.199</w:t>
            </w:r>
          </w:p>
        </w:tc>
        <w:tc>
          <w:tcPr>
            <w:tcW w:w="993" w:type="dxa"/>
          </w:tcPr>
          <w:p w14:paraId="1B96CCE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0.811</w:t>
            </w:r>
          </w:p>
        </w:tc>
      </w:tr>
      <w:tr w:rsidR="002C32AF" w:rsidRPr="002F035C" w14:paraId="08EF46ED" w14:textId="77777777" w:rsidTr="0032191B">
        <w:tc>
          <w:tcPr>
            <w:tcW w:w="4335" w:type="dxa"/>
          </w:tcPr>
          <w:p w14:paraId="2B4D49D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Moslehpour, M., Kien Pham, V., Wong, W.-K., &amp; Bilgiçli, I. (2018). e-Purchase Intention of Taiwanese Consumers: Sustainable Mediation of Perceived Usefulness and Perceived Ease of Use.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 xml:space="preserve">Sustainability 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10</w:t>
            </w:r>
            <w:r w:rsidRPr="002F035C">
              <w:rPr>
                <w:rFonts w:ascii="Garamond" w:hAnsi="Garamond" w:cs="Times New Roman"/>
                <w:noProof/>
              </w:rPr>
              <w:t>(1), 234–251. https://doi.org/10.3390/su10010234</w:t>
            </w:r>
          </w:p>
        </w:tc>
        <w:tc>
          <w:tcPr>
            <w:tcW w:w="1134" w:type="dxa"/>
          </w:tcPr>
          <w:p w14:paraId="4F16425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23FC5C9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Q2</w:t>
            </w:r>
          </w:p>
        </w:tc>
        <w:tc>
          <w:tcPr>
            <w:tcW w:w="851" w:type="dxa"/>
          </w:tcPr>
          <w:p w14:paraId="2379349F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3.889</w:t>
            </w:r>
          </w:p>
        </w:tc>
        <w:tc>
          <w:tcPr>
            <w:tcW w:w="993" w:type="dxa"/>
          </w:tcPr>
          <w:p w14:paraId="7BE485D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0.234</w:t>
            </w:r>
          </w:p>
        </w:tc>
      </w:tr>
      <w:tr w:rsidR="002C32AF" w:rsidRPr="002F035C" w14:paraId="4367DB05" w14:textId="77777777" w:rsidTr="0032191B">
        <w:tc>
          <w:tcPr>
            <w:tcW w:w="4335" w:type="dxa"/>
          </w:tcPr>
          <w:p w14:paraId="5E80A00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Ozturk, A. B. (2016). Customer acceptance of cashless payment systems in the hospitality industry.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International Journal of Contemporary Hospitality Management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28</w:t>
            </w:r>
            <w:r w:rsidRPr="002F035C">
              <w:rPr>
                <w:rFonts w:ascii="Garamond" w:hAnsi="Garamond" w:cs="Times New Roman"/>
                <w:noProof/>
              </w:rPr>
              <w:t>(4), 801–817. https://doi.org/10.1108/IJCHM-02-2015-0073</w:t>
            </w:r>
          </w:p>
        </w:tc>
        <w:tc>
          <w:tcPr>
            <w:tcW w:w="1134" w:type="dxa"/>
          </w:tcPr>
          <w:p w14:paraId="078813A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0A667863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1825207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9.321</w:t>
            </w:r>
          </w:p>
        </w:tc>
        <w:tc>
          <w:tcPr>
            <w:tcW w:w="993" w:type="dxa"/>
          </w:tcPr>
          <w:p w14:paraId="635B5F6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2.079</w:t>
            </w:r>
          </w:p>
        </w:tc>
      </w:tr>
      <w:tr w:rsidR="002C32AF" w:rsidRPr="002F035C" w14:paraId="429E758D" w14:textId="77777777" w:rsidTr="0032191B">
        <w:tc>
          <w:tcPr>
            <w:tcW w:w="4335" w:type="dxa"/>
          </w:tcPr>
          <w:p w14:paraId="024A182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Pavlou, P. A., Huigang, L., &amp; Yajiong, X. (2007). Understanding and mitigating uncertainty in online exchange relationships: A principal-agent perspective.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MIS Quarterly: Management Information Systems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31</w:t>
            </w:r>
            <w:r w:rsidRPr="002F035C">
              <w:rPr>
                <w:rFonts w:ascii="Garamond" w:hAnsi="Garamond" w:cs="Times New Roman"/>
                <w:noProof/>
              </w:rPr>
              <w:t>(1), 105–135. https://doi.org/10.2307/25148783</w:t>
            </w:r>
          </w:p>
        </w:tc>
        <w:tc>
          <w:tcPr>
            <w:tcW w:w="1134" w:type="dxa"/>
          </w:tcPr>
          <w:p w14:paraId="6F8E2327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3AE780D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5E46714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5.283</w:t>
            </w:r>
          </w:p>
        </w:tc>
        <w:tc>
          <w:tcPr>
            <w:tcW w:w="993" w:type="dxa"/>
          </w:tcPr>
          <w:p w14:paraId="4F747AF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Cite score: 14.7</w:t>
            </w:r>
          </w:p>
        </w:tc>
      </w:tr>
      <w:tr w:rsidR="002C32AF" w:rsidRPr="002F035C" w14:paraId="507B5DC4" w14:textId="77777777" w:rsidTr="0032191B">
        <w:tc>
          <w:tcPr>
            <w:tcW w:w="4335" w:type="dxa"/>
          </w:tcPr>
          <w:p w14:paraId="54108CEB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Puschmann, T., &amp; Alt, R. (2016). Sharing Economy.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Business &amp; Information Systems Engineering 2015 58:1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58</w:t>
            </w:r>
            <w:r w:rsidRPr="002F035C">
              <w:rPr>
                <w:rFonts w:ascii="Garamond" w:hAnsi="Garamond" w:cs="Times New Roman"/>
                <w:noProof/>
              </w:rPr>
              <w:t>(1), 93–99. https://doi.org/10.1007/S12599-015-0420-2</w:t>
            </w:r>
          </w:p>
        </w:tc>
        <w:tc>
          <w:tcPr>
            <w:tcW w:w="1134" w:type="dxa"/>
          </w:tcPr>
          <w:p w14:paraId="19FB0663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4E30D6D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42AEA58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1.022</w:t>
            </w:r>
          </w:p>
        </w:tc>
        <w:tc>
          <w:tcPr>
            <w:tcW w:w="993" w:type="dxa"/>
          </w:tcPr>
          <w:p w14:paraId="411151C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Cite score : 10.3</w:t>
            </w:r>
          </w:p>
        </w:tc>
      </w:tr>
      <w:tr w:rsidR="002C32AF" w:rsidRPr="002F035C" w14:paraId="192DAA33" w14:textId="77777777" w:rsidTr="0032191B">
        <w:tc>
          <w:tcPr>
            <w:tcW w:w="4335" w:type="dxa"/>
          </w:tcPr>
          <w:p w14:paraId="27C9089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Rayle, L., Dai, D., Chan, N., Cervero, R., &amp; </w:t>
            </w:r>
            <w:r w:rsidRPr="002F035C">
              <w:rPr>
                <w:rFonts w:ascii="Garamond" w:hAnsi="Garamond" w:cs="Times New Roman"/>
                <w:noProof/>
              </w:rPr>
              <w:lastRenderedPageBreak/>
              <w:t>Shaheen, S. (2016). Just a better taxi? A survey-based comparison of taxis, transit, and ridesourcing services in San Francisco. 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Transport Policy</w:t>
            </w:r>
            <w:r w:rsidRPr="002F035C">
              <w:rPr>
                <w:rFonts w:ascii="Garamond" w:hAnsi="Garamond" w:cs="Times New Roman"/>
                <w:noProof/>
              </w:rPr>
              <w:t>, 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45</w:t>
            </w:r>
            <w:r w:rsidRPr="002F035C">
              <w:rPr>
                <w:rFonts w:ascii="Garamond" w:hAnsi="Garamond" w:cs="Times New Roman"/>
                <w:noProof/>
              </w:rPr>
              <w:t>, 168-178.</w:t>
            </w:r>
          </w:p>
        </w:tc>
        <w:tc>
          <w:tcPr>
            <w:tcW w:w="1134" w:type="dxa"/>
          </w:tcPr>
          <w:p w14:paraId="665A466A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lastRenderedPageBreak/>
              <w:t>Scopus</w:t>
            </w:r>
          </w:p>
        </w:tc>
        <w:tc>
          <w:tcPr>
            <w:tcW w:w="850" w:type="dxa"/>
          </w:tcPr>
          <w:p w14:paraId="304C4300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78B31F74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1.687</w:t>
            </w:r>
          </w:p>
        </w:tc>
        <w:tc>
          <w:tcPr>
            <w:tcW w:w="993" w:type="dxa"/>
          </w:tcPr>
          <w:p w14:paraId="0ACA97C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6.173</w:t>
            </w:r>
          </w:p>
        </w:tc>
      </w:tr>
      <w:tr w:rsidR="002C32AF" w:rsidRPr="002F035C" w14:paraId="6DAA22D9" w14:textId="77777777" w:rsidTr="0032191B">
        <w:tc>
          <w:tcPr>
            <w:tcW w:w="4335" w:type="dxa"/>
          </w:tcPr>
          <w:p w14:paraId="07E7388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Şahin, M. (2019). Classroom Response Systems as a Formative Assessment Tool: Investigation into Students’ Perceived Usefulness and Behavioural Intention.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International Journal of Assessment Tools in Education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6</w:t>
            </w:r>
            <w:r w:rsidRPr="002F035C">
              <w:rPr>
                <w:rFonts w:ascii="Garamond" w:hAnsi="Garamond" w:cs="Times New Roman"/>
                <w:noProof/>
              </w:rPr>
              <w:t>(4), 693–705. https://doi.org/10.21449/ijate.576249</w:t>
            </w:r>
          </w:p>
        </w:tc>
        <w:tc>
          <w:tcPr>
            <w:tcW w:w="1134" w:type="dxa"/>
          </w:tcPr>
          <w:p w14:paraId="4C6F5566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WOS</w:t>
            </w:r>
          </w:p>
        </w:tc>
        <w:tc>
          <w:tcPr>
            <w:tcW w:w="850" w:type="dxa"/>
          </w:tcPr>
          <w:p w14:paraId="662C0E2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4328082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71CD57B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472ABAE6" w14:textId="77777777" w:rsidTr="0032191B">
        <w:tc>
          <w:tcPr>
            <w:tcW w:w="4335" w:type="dxa"/>
          </w:tcPr>
          <w:p w14:paraId="3307E149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Stocchi, L., Michaelidou, N., &amp; Micevski, M. (2019). Drivers and outcomes of branded mobile app usage intention.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Product and Brand Management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28</w:t>
            </w:r>
            <w:r w:rsidRPr="002F035C">
              <w:rPr>
                <w:rFonts w:ascii="Garamond" w:hAnsi="Garamond" w:cs="Times New Roman"/>
                <w:noProof/>
              </w:rPr>
              <w:t>(1), 28–49. https://doi.org/10.1108/JPBM-02-2017-1436</w:t>
            </w:r>
          </w:p>
        </w:tc>
        <w:tc>
          <w:tcPr>
            <w:tcW w:w="1134" w:type="dxa"/>
          </w:tcPr>
          <w:p w14:paraId="505A6A23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37A69888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0D366EC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0.982</w:t>
            </w:r>
          </w:p>
        </w:tc>
        <w:tc>
          <w:tcPr>
            <w:tcW w:w="993" w:type="dxa"/>
          </w:tcPr>
          <w:p w14:paraId="7C439151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5.248</w:t>
            </w:r>
          </w:p>
        </w:tc>
      </w:tr>
      <w:tr w:rsidR="002C32AF" w:rsidRPr="002F035C" w14:paraId="730DCE27" w14:textId="77777777" w:rsidTr="0032191B">
        <w:tc>
          <w:tcPr>
            <w:tcW w:w="4335" w:type="dxa"/>
          </w:tcPr>
          <w:p w14:paraId="4D50E7B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Talwar, M., Talwar, S., Kaur, P., Islam, A. K. M. N., &amp; Dhir, A. (2021). Positive and negative word of mouth (WOM) are not necessarily opposites: A reappraisal using the dual factor theory.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Journal of Retailing and Consumer Services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63</w:t>
            </w:r>
            <w:r w:rsidRPr="002F035C">
              <w:rPr>
                <w:rFonts w:ascii="Garamond" w:hAnsi="Garamond" w:cs="Times New Roman"/>
                <w:noProof/>
              </w:rPr>
              <w:t>, 102396. https://doi.org/10.1016/J.JRETCONSER.2020.102396</w:t>
            </w:r>
          </w:p>
        </w:tc>
        <w:tc>
          <w:tcPr>
            <w:tcW w:w="1134" w:type="dxa"/>
          </w:tcPr>
          <w:p w14:paraId="33D723DD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</w:tc>
        <w:tc>
          <w:tcPr>
            <w:tcW w:w="850" w:type="dxa"/>
          </w:tcPr>
          <w:p w14:paraId="5F87A5D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71F1C055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1.568</w:t>
            </w:r>
          </w:p>
        </w:tc>
        <w:tc>
          <w:tcPr>
            <w:tcW w:w="993" w:type="dxa"/>
          </w:tcPr>
          <w:p w14:paraId="626C628E" w14:textId="77777777" w:rsidR="002C32AF" w:rsidRPr="002F035C" w:rsidRDefault="002C32AF" w:rsidP="0032191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10.972</w:t>
            </w:r>
          </w:p>
        </w:tc>
      </w:tr>
      <w:tr w:rsidR="002C32AF" w:rsidRPr="002F035C" w14:paraId="09A336B3" w14:textId="77777777" w:rsidTr="0032191B">
        <w:tc>
          <w:tcPr>
            <w:tcW w:w="4335" w:type="dxa"/>
          </w:tcPr>
          <w:p w14:paraId="73AAB5EF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eastAsia="Times New Roman" w:hAnsi="Garamond" w:cs="Times New Roman"/>
                <w:lang w:val="sv-SE"/>
              </w:rPr>
            </w:pPr>
            <w:r w:rsidRPr="002F035C">
              <w:rPr>
                <w:rFonts w:ascii="Garamond" w:hAnsi="Garamond" w:cs="Times New Roman"/>
                <w:noProof/>
              </w:rPr>
              <w:t xml:space="preserve">Wang, Y.-S., Lin, H.-H., &amp; Luarn, P. (2006). Predicting consumer intention to use mobile service.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Information Systems Journal</w:t>
            </w:r>
            <w:r w:rsidRPr="002F035C">
              <w:rPr>
                <w:rFonts w:ascii="Garamond" w:hAnsi="Garamond" w:cs="Times New Roman"/>
                <w:noProof/>
              </w:rPr>
              <w:t xml:space="preserve">, </w:t>
            </w:r>
            <w:r w:rsidRPr="002F035C">
              <w:rPr>
                <w:rFonts w:ascii="Garamond" w:hAnsi="Garamond" w:cs="Times New Roman"/>
                <w:i/>
                <w:iCs/>
                <w:noProof/>
              </w:rPr>
              <w:t>16</w:t>
            </w:r>
            <w:r w:rsidRPr="002F035C">
              <w:rPr>
                <w:rFonts w:ascii="Garamond" w:hAnsi="Garamond" w:cs="Times New Roman"/>
                <w:noProof/>
              </w:rPr>
              <w:t>(2), 157–179. https://doi.org/10.1111/J.1365-2575.2006.00213.</w:t>
            </w:r>
          </w:p>
        </w:tc>
        <w:tc>
          <w:tcPr>
            <w:tcW w:w="1134" w:type="dxa"/>
          </w:tcPr>
          <w:p w14:paraId="7712971E" w14:textId="77777777" w:rsidR="002C32AF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Scopus</w:t>
            </w:r>
          </w:p>
          <w:p w14:paraId="1F3C5F7F" w14:textId="77777777" w:rsidR="002C32AF" w:rsidRPr="00FE735F" w:rsidRDefault="002C32AF" w:rsidP="0032191B">
            <w:pPr>
              <w:rPr>
                <w:rFonts w:ascii="Garamond" w:hAnsi="Garamond" w:cs="Times New Roman"/>
              </w:rPr>
            </w:pPr>
          </w:p>
        </w:tc>
        <w:tc>
          <w:tcPr>
            <w:tcW w:w="850" w:type="dxa"/>
          </w:tcPr>
          <w:p w14:paraId="6A285FE1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Q1</w:t>
            </w:r>
          </w:p>
        </w:tc>
        <w:tc>
          <w:tcPr>
            <w:tcW w:w="851" w:type="dxa"/>
          </w:tcPr>
          <w:p w14:paraId="29F3254A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2.635</w:t>
            </w:r>
          </w:p>
        </w:tc>
        <w:tc>
          <w:tcPr>
            <w:tcW w:w="993" w:type="dxa"/>
          </w:tcPr>
          <w:p w14:paraId="6FEA4698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7.767</w:t>
            </w:r>
          </w:p>
        </w:tc>
      </w:tr>
      <w:tr w:rsidR="002C32AF" w:rsidRPr="002F035C" w14:paraId="7FDA5EF4" w14:textId="77777777" w:rsidTr="0032191B">
        <w:tc>
          <w:tcPr>
            <w:tcW w:w="4335" w:type="dxa"/>
          </w:tcPr>
          <w:p w14:paraId="55761FB5" w14:textId="77777777" w:rsidR="002C32AF" w:rsidRPr="00941F6B" w:rsidRDefault="002C32AF" w:rsidP="0032191B">
            <w:pPr>
              <w:widowControl w:val="0"/>
              <w:autoSpaceDE w:val="0"/>
              <w:autoSpaceDN w:val="0"/>
              <w:adjustRightInd w:val="0"/>
              <w:ind w:left="480" w:hanging="480"/>
              <w:rPr>
                <w:rFonts w:ascii="Garamond" w:hAnsi="Garamond" w:cs="Times New Roman"/>
                <w:noProof/>
              </w:rPr>
            </w:pPr>
            <w:r w:rsidRPr="00941F6B">
              <w:rPr>
                <w:rFonts w:ascii="Garamond" w:hAnsi="Garamond" w:cs="Times New Roman"/>
                <w:noProof/>
              </w:rPr>
              <w:lastRenderedPageBreak/>
              <w:t xml:space="preserve">Wang, Y., Wang, S., Wang, J., Wei, J., &amp; Wang, C. (2020). An empirical study of consumers’ intention to use ride-sharing services: using an extended technology acceptance model. </w:t>
            </w:r>
            <w:r w:rsidRPr="00941F6B">
              <w:rPr>
                <w:rFonts w:ascii="Garamond" w:hAnsi="Garamond" w:cs="Times New Roman"/>
                <w:i/>
                <w:iCs/>
                <w:noProof/>
              </w:rPr>
              <w:t>Transportation</w:t>
            </w:r>
            <w:r w:rsidRPr="00941F6B">
              <w:rPr>
                <w:rFonts w:ascii="Garamond" w:hAnsi="Garamond" w:cs="Times New Roman"/>
                <w:noProof/>
              </w:rPr>
              <w:t xml:space="preserve">, </w:t>
            </w:r>
            <w:r w:rsidRPr="00941F6B">
              <w:rPr>
                <w:rFonts w:ascii="Garamond" w:hAnsi="Garamond" w:cs="Times New Roman"/>
                <w:i/>
                <w:iCs/>
                <w:noProof/>
              </w:rPr>
              <w:t>47</w:t>
            </w:r>
            <w:r w:rsidRPr="00941F6B">
              <w:rPr>
                <w:rFonts w:ascii="Garamond" w:hAnsi="Garamond" w:cs="Times New Roman"/>
                <w:noProof/>
              </w:rPr>
              <w:t>, 397–415. https://doi.org/10.1007/s11116-018-9893-4</w:t>
            </w:r>
          </w:p>
          <w:p w14:paraId="2FAB42D0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1134" w:type="dxa"/>
          </w:tcPr>
          <w:p w14:paraId="582EFA28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eastAsia="Times New Roman" w:hAnsi="Garamond" w:cs="Times New Roman"/>
                <w:lang w:val="sv-SE"/>
              </w:rPr>
              <w:t xml:space="preserve">Scopus </w:t>
            </w:r>
          </w:p>
        </w:tc>
        <w:tc>
          <w:tcPr>
            <w:tcW w:w="850" w:type="dxa"/>
          </w:tcPr>
          <w:p w14:paraId="1D3FAD25" w14:textId="77777777" w:rsidR="002C32AF" w:rsidRDefault="002C32AF" w:rsidP="0032191B">
            <w:pPr>
              <w:spacing w:before="240" w:after="240" w:line="276" w:lineRule="auto"/>
              <w:ind w:firstLine="0"/>
              <w:rPr>
                <w:rFonts w:ascii="Garamond" w:eastAsia="Times New Roman" w:hAnsi="Garamond" w:cs="Times New Roman"/>
                <w:lang w:val="sv-SE"/>
              </w:rPr>
            </w:pPr>
            <w:r>
              <w:rPr>
                <w:rFonts w:ascii="Garamond" w:eastAsia="Times New Roman" w:hAnsi="Garamond" w:cs="Times New Roman"/>
                <w:lang w:val="sv-SE"/>
              </w:rPr>
              <w:t>Q1</w:t>
            </w:r>
          </w:p>
        </w:tc>
        <w:tc>
          <w:tcPr>
            <w:tcW w:w="851" w:type="dxa"/>
          </w:tcPr>
          <w:p w14:paraId="2EE22B66" w14:textId="77777777" w:rsidR="002C32AF" w:rsidRDefault="002C32AF" w:rsidP="0032191B">
            <w:pPr>
              <w:spacing w:before="240" w:after="240" w:line="276" w:lineRule="auto"/>
              <w:ind w:firstLine="0"/>
              <w:rPr>
                <w:rFonts w:ascii="Garamond" w:eastAsia="Times New Roman" w:hAnsi="Garamond" w:cs="Times New Roman"/>
                <w:lang w:val="sv-SE"/>
              </w:rPr>
            </w:pPr>
            <w:r>
              <w:rPr>
                <w:rFonts w:ascii="Garamond" w:eastAsia="Times New Roman" w:hAnsi="Garamond" w:cs="Times New Roman"/>
                <w:lang w:val="sv-SE"/>
              </w:rPr>
              <w:t>1.953</w:t>
            </w:r>
          </w:p>
        </w:tc>
        <w:tc>
          <w:tcPr>
            <w:tcW w:w="993" w:type="dxa"/>
          </w:tcPr>
          <w:p w14:paraId="35A7C26B" w14:textId="77777777" w:rsidR="002C32AF" w:rsidRDefault="002C32AF" w:rsidP="0032191B">
            <w:pPr>
              <w:spacing w:before="240" w:after="240" w:line="276" w:lineRule="auto"/>
              <w:ind w:firstLine="0"/>
              <w:rPr>
                <w:rFonts w:ascii="Garamond" w:eastAsia="Times New Roman" w:hAnsi="Garamond" w:cs="Times New Roman"/>
                <w:lang w:val="sv-SE"/>
              </w:rPr>
            </w:pPr>
            <w:r>
              <w:rPr>
                <w:rFonts w:ascii="Garamond" w:eastAsia="Times New Roman" w:hAnsi="Garamond" w:cs="Times New Roman"/>
                <w:lang w:val="sv-SE"/>
              </w:rPr>
              <w:t>4.814</w:t>
            </w:r>
          </w:p>
        </w:tc>
      </w:tr>
      <w:tr w:rsidR="002C32AF" w:rsidRPr="002F035C" w14:paraId="0CED0D67" w14:textId="77777777" w:rsidTr="0032191B">
        <w:tc>
          <w:tcPr>
            <w:tcW w:w="4335" w:type="dxa"/>
          </w:tcPr>
          <w:p w14:paraId="7779BFE8" w14:textId="77777777" w:rsidR="002C32AF" w:rsidRPr="00F33417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 w:rsidRPr="00F33417">
              <w:rPr>
                <w:rFonts w:ascii="Garamond" w:hAnsi="Garamond" w:cs="Times New Roman"/>
                <w:noProof/>
              </w:rPr>
              <w:t xml:space="preserve">William, G., &amp; Tjokrosaputro, M. (2021). Persepsi Kegunaan Dan Promosi Untuk Memprediksi Niat Penggunaan E-Wallet: Sikap Sebagai Variabel Mediator. </w:t>
            </w:r>
            <w:r w:rsidRPr="00F33417">
              <w:rPr>
                <w:rFonts w:ascii="Garamond" w:hAnsi="Garamond" w:cs="Times New Roman"/>
                <w:i/>
                <w:iCs/>
                <w:noProof/>
              </w:rPr>
              <w:t>Jurnal Muara Ilmu Ekonomi Dan Bisnis</w:t>
            </w:r>
            <w:r w:rsidRPr="00F33417">
              <w:rPr>
                <w:rFonts w:ascii="Garamond" w:hAnsi="Garamond" w:cs="Times New Roman"/>
                <w:noProof/>
              </w:rPr>
              <w:t xml:space="preserve">, </w:t>
            </w:r>
            <w:r w:rsidRPr="00F33417">
              <w:rPr>
                <w:rFonts w:ascii="Garamond" w:hAnsi="Garamond" w:cs="Times New Roman"/>
                <w:i/>
                <w:iCs/>
                <w:noProof/>
              </w:rPr>
              <w:t>5</w:t>
            </w:r>
            <w:r w:rsidRPr="00F33417">
              <w:rPr>
                <w:rFonts w:ascii="Garamond" w:hAnsi="Garamond" w:cs="Times New Roman"/>
                <w:noProof/>
              </w:rPr>
              <w:t>(1), 74–88. https://journal.untar.ac.id/index.php/jmieb/article/view/9997</w:t>
            </w:r>
          </w:p>
          <w:p w14:paraId="14C41E7F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1134" w:type="dxa"/>
          </w:tcPr>
          <w:p w14:paraId="42D2A150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Sinta</w:t>
            </w:r>
          </w:p>
        </w:tc>
        <w:tc>
          <w:tcPr>
            <w:tcW w:w="850" w:type="dxa"/>
          </w:tcPr>
          <w:p w14:paraId="2583563A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>
              <w:rPr>
                <w:rFonts w:ascii="Garamond" w:hAnsi="Garamond" w:cs="Times New Roman"/>
                <w:noProof/>
              </w:rPr>
              <w:t>4</w:t>
            </w:r>
          </w:p>
        </w:tc>
        <w:tc>
          <w:tcPr>
            <w:tcW w:w="851" w:type="dxa"/>
          </w:tcPr>
          <w:p w14:paraId="3A8FB295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35C2CADB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2371E859" w14:textId="77777777" w:rsidTr="0032191B">
        <w:tc>
          <w:tcPr>
            <w:tcW w:w="4335" w:type="dxa"/>
          </w:tcPr>
          <w:p w14:paraId="7D27D3B9" w14:textId="77777777" w:rsidR="002C32AF" w:rsidRPr="00BC37C5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r w:rsidRPr="00BC37C5">
              <w:rPr>
                <w:rFonts w:ascii="Garamond" w:hAnsi="Garamond" w:cs="Times New Roman"/>
                <w:noProof/>
              </w:rPr>
              <w:t>Wilkie, William L. (1986), Consumer Behavior, 1st Ed. New York: John Wiley &amp; Sons.</w:t>
            </w:r>
          </w:p>
          <w:p w14:paraId="7BF25FF5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1134" w:type="dxa"/>
          </w:tcPr>
          <w:p w14:paraId="1C582EAB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0" w:type="dxa"/>
          </w:tcPr>
          <w:p w14:paraId="7E0328EA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5A458E32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396CF14D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</w:tr>
      <w:tr w:rsidR="002C32AF" w:rsidRPr="002F035C" w14:paraId="01B0AA08" w14:textId="77777777" w:rsidTr="0032191B">
        <w:tc>
          <w:tcPr>
            <w:tcW w:w="4335" w:type="dxa"/>
          </w:tcPr>
          <w:p w14:paraId="63EB5BD9" w14:textId="77777777" w:rsidR="002C32AF" w:rsidRPr="00BC37C5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  <w:hyperlink r:id="rId4" w:history="1">
              <w:r w:rsidRPr="00BC37C5">
                <w:rPr>
                  <w:rStyle w:val="Hyperlink"/>
                  <w:rFonts w:ascii="Garamond" w:hAnsi="Garamond" w:cs="Times New Roman"/>
                  <w:noProof/>
                </w:rPr>
                <w:t>https://Assets.Grab.Com/Wp-Content/Uploads/Media/Si/Reports/Grab-Esg-Report-2020.Pdf</w:t>
              </w:r>
            </w:hyperlink>
          </w:p>
          <w:p w14:paraId="572F728A" w14:textId="77777777" w:rsidR="002C32AF" w:rsidRPr="00BC37C5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1134" w:type="dxa"/>
          </w:tcPr>
          <w:p w14:paraId="524A08C0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0" w:type="dxa"/>
          </w:tcPr>
          <w:p w14:paraId="7D3E87CF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851" w:type="dxa"/>
          </w:tcPr>
          <w:p w14:paraId="62ED1D23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  <w:tc>
          <w:tcPr>
            <w:tcW w:w="993" w:type="dxa"/>
          </w:tcPr>
          <w:p w14:paraId="3D83BB2E" w14:textId="77777777" w:rsidR="002C32AF" w:rsidRPr="002F035C" w:rsidRDefault="002C32AF" w:rsidP="0032191B">
            <w:pPr>
              <w:spacing w:before="240" w:after="240" w:line="276" w:lineRule="auto"/>
              <w:ind w:firstLine="0"/>
              <w:rPr>
                <w:rFonts w:ascii="Garamond" w:hAnsi="Garamond" w:cs="Times New Roman"/>
                <w:noProof/>
              </w:rPr>
            </w:pPr>
          </w:p>
        </w:tc>
      </w:tr>
    </w:tbl>
    <w:p w14:paraId="7177B1F8" w14:textId="77777777" w:rsidR="002C32AF" w:rsidRDefault="002C32AF" w:rsidP="002C32AF">
      <w:pPr>
        <w:spacing w:before="240" w:after="240" w:line="276" w:lineRule="auto"/>
        <w:ind w:firstLine="0"/>
        <w:rPr>
          <w:rFonts w:ascii="Garamond" w:eastAsia="Times New Roman" w:hAnsi="Garamond" w:cs="Times New Roman"/>
          <w:lang w:val="sv-SE"/>
        </w:rPr>
      </w:pPr>
    </w:p>
    <w:p w14:paraId="17F378BA" w14:textId="77777777" w:rsidR="002C32AF" w:rsidRDefault="002C32AF" w:rsidP="002C32AF">
      <w:pPr>
        <w:spacing w:before="240" w:after="240" w:line="276" w:lineRule="auto"/>
        <w:ind w:firstLine="0"/>
        <w:rPr>
          <w:rFonts w:ascii="Garamond" w:eastAsia="Times New Roman" w:hAnsi="Garamond" w:cs="Times New Roman"/>
          <w:lang w:val="sv-SE"/>
        </w:rPr>
      </w:pPr>
    </w:p>
    <w:p w14:paraId="76F80C57" w14:textId="77777777" w:rsidR="002C32AF" w:rsidRDefault="002C32AF"/>
    <w:sectPr w:rsidR="002C3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AF"/>
    <w:rsid w:val="002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F6E9"/>
  <w15:chartTrackingRefBased/>
  <w15:docId w15:val="{CA4BAB5D-37FF-4603-9FEF-9E9AB4E1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AF"/>
    <w:pPr>
      <w:spacing w:after="0" w:line="360" w:lineRule="auto"/>
      <w:ind w:firstLine="567"/>
      <w:contextualSpacing/>
      <w:jc w:val="both"/>
    </w:pPr>
    <w:rPr>
      <w:rFonts w:asciiTheme="majorBidi" w:eastAsia="Calibri" w:hAnsiTheme="majorBidi" w:cs="Calibri"/>
      <w:sz w:val="24"/>
      <w:szCs w:val="24"/>
      <w:lang w:val="en-US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2AF"/>
    <w:pPr>
      <w:spacing w:after="0" w:line="240" w:lineRule="auto"/>
      <w:ind w:firstLine="567"/>
      <w:jc w:val="both"/>
    </w:pPr>
    <w:rPr>
      <w:rFonts w:ascii="Calibri" w:eastAsia="Calibri" w:hAnsi="Calibri" w:cs="Calibri"/>
      <w:sz w:val="24"/>
      <w:szCs w:val="24"/>
      <w:lang w:val="en-US" w:eastAsia="en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C32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AF"/>
    <w:rPr>
      <w:rFonts w:ascii="Segoe UI" w:eastAsia="Calibri" w:hAnsi="Segoe UI" w:cs="Segoe UI"/>
      <w:sz w:val="18"/>
      <w:szCs w:val="18"/>
      <w:lang w:val="en-US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sets.Grab.Com/Wp-Content/Uploads/Media/Si/Reports/Grab-Esg-Report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Miharni Tj</dc:creator>
  <cp:keywords/>
  <dc:description/>
  <cp:lastModifiedBy>Miharni Tj</cp:lastModifiedBy>
  <cp:revision>1</cp:revision>
  <dcterms:created xsi:type="dcterms:W3CDTF">2022-08-30T11:05:00Z</dcterms:created>
  <dcterms:modified xsi:type="dcterms:W3CDTF">2022-08-30T11:08:00Z</dcterms:modified>
</cp:coreProperties>
</file>