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3C6" w:rsidRPr="00D903C6" w:rsidRDefault="00D903C6" w:rsidP="00D903C6">
      <w:pPr>
        <w:spacing w:after="0" w:line="360" w:lineRule="auto"/>
        <w:jc w:val="center"/>
        <w:rPr>
          <w:rFonts w:ascii="Palatino Linotype" w:hAnsi="Palatino Linotype"/>
          <w:b/>
          <w:bCs/>
          <w:sz w:val="24"/>
          <w:szCs w:val="24"/>
        </w:rPr>
      </w:pPr>
      <w:r w:rsidRPr="00D903C6">
        <w:rPr>
          <w:rFonts w:ascii="Palatino Linotype" w:hAnsi="Palatino Linotype"/>
          <w:b/>
          <w:bCs/>
          <w:sz w:val="24"/>
          <w:szCs w:val="24"/>
        </w:rPr>
        <w:t>Supporting Victimized Children in Iran's Legislative Criminal Policy</w:t>
      </w:r>
    </w:p>
    <w:p w:rsidR="004872B9" w:rsidRDefault="004872B9" w:rsidP="00AF655B">
      <w:pPr>
        <w:spacing w:after="0" w:line="360" w:lineRule="auto"/>
        <w:jc w:val="center"/>
        <w:rPr>
          <w:rFonts w:ascii="Palatino Linotype" w:hAnsi="Palatino Linotype"/>
          <w:b/>
          <w:bCs/>
          <w:rtl/>
        </w:rPr>
      </w:pPr>
    </w:p>
    <w:p w:rsidR="004872B9" w:rsidRPr="009D5AEF" w:rsidRDefault="004872B9" w:rsidP="00D903C6">
      <w:pPr>
        <w:spacing w:after="0" w:line="360" w:lineRule="auto"/>
        <w:jc w:val="center"/>
        <w:rPr>
          <w:rFonts w:ascii="Palatino Linotype" w:hAnsi="Palatino Linotype"/>
          <w:b/>
          <w:bCs/>
        </w:rPr>
      </w:pPr>
      <w:r w:rsidRPr="009D5AEF">
        <w:rPr>
          <w:rFonts w:ascii="Palatino Linotype" w:hAnsi="Palatino Linotype"/>
          <w:b/>
          <w:bCs/>
        </w:rPr>
        <w:t>Seyyed Sajjad Kazemi</w:t>
      </w:r>
      <w:r>
        <w:rPr>
          <w:rStyle w:val="FootnoteReference"/>
          <w:rFonts w:ascii="Palatino Linotype" w:hAnsi="Palatino Linotype"/>
          <w:b/>
          <w:bCs/>
        </w:rPr>
        <w:footnoteReference w:id="1"/>
      </w:r>
      <w:r>
        <w:rPr>
          <w:rFonts w:ascii="Palatino Linotype" w:hAnsi="Palatino Linotype"/>
          <w:b/>
          <w:bCs/>
        </w:rPr>
        <w:t xml:space="preserve">, </w:t>
      </w:r>
      <w:r w:rsidR="00D903C6" w:rsidRPr="00BE0F3A">
        <w:rPr>
          <w:rFonts w:ascii="Palatino Linotype" w:hAnsi="Palatino Linotype"/>
          <w:b/>
          <w:bCs/>
        </w:rPr>
        <w:t>Neda Sobhani</w:t>
      </w:r>
      <w:r>
        <w:rPr>
          <w:rStyle w:val="FootnoteReference"/>
          <w:rFonts w:ascii="Palatino Linotype" w:hAnsi="Palatino Linotype"/>
          <w:b/>
          <w:bCs/>
        </w:rPr>
        <w:footnoteReference w:id="2"/>
      </w:r>
    </w:p>
    <w:p w:rsidR="001B28D3" w:rsidRPr="004872B9" w:rsidRDefault="00FA537B" w:rsidP="004872B9">
      <w:pPr>
        <w:spacing w:after="0" w:line="360" w:lineRule="auto"/>
        <w:jc w:val="center"/>
        <w:rPr>
          <w:rFonts w:ascii="Palatino Linotype" w:eastAsia="Calibri" w:hAnsi="Palatino Linotype"/>
          <w:lang w:val="en-US"/>
        </w:rPr>
      </w:pPr>
      <w:r w:rsidRPr="004872B9">
        <w:rPr>
          <w:rFonts w:ascii="Palatino Linotype" w:hAnsi="Palatino Linotype"/>
          <w:lang w:val="en-US"/>
        </w:rPr>
        <w:t>1,</w:t>
      </w:r>
      <w:r w:rsidR="004872B9" w:rsidRPr="004872B9">
        <w:rPr>
          <w:rFonts w:ascii="Palatino Linotype" w:hAnsi="Palatino Linotype" w:cstheme="majorBidi"/>
        </w:rPr>
        <w:t xml:space="preserve"> Malayer University</w:t>
      </w:r>
      <w:r w:rsidR="004872B9" w:rsidRPr="004872B9">
        <w:rPr>
          <w:rFonts w:ascii="Palatino Linotype" w:eastAsia="Calibri" w:hAnsi="Palatino Linotype"/>
        </w:rPr>
        <w:t>, Iran</w:t>
      </w:r>
      <w:r w:rsidR="004872B9" w:rsidRPr="004872B9">
        <w:rPr>
          <w:rFonts w:ascii="Palatino Linotype" w:hAnsi="Palatino Linotype"/>
          <w:lang w:val="en-US"/>
        </w:rPr>
        <w:t xml:space="preserve"> </w:t>
      </w:r>
      <w:r w:rsidRPr="004872B9">
        <w:rPr>
          <w:rFonts w:ascii="Palatino Linotype" w:hAnsi="Palatino Linotype"/>
          <w:lang w:val="en-US"/>
        </w:rPr>
        <w:t xml:space="preserve">2, </w:t>
      </w:r>
      <w:r w:rsidRPr="004872B9">
        <w:rPr>
          <w:rFonts w:ascii="Palatino Linotype" w:eastAsia="Calibri" w:hAnsi="Palatino Linotype"/>
        </w:rPr>
        <w:t>Islamic Azad University, Iran</w:t>
      </w:r>
    </w:p>
    <w:p w:rsidR="00FA537B" w:rsidRPr="00FA537B" w:rsidRDefault="00FA537B" w:rsidP="00FA537B">
      <w:pPr>
        <w:spacing w:after="0" w:line="360" w:lineRule="auto"/>
        <w:jc w:val="center"/>
        <w:rPr>
          <w:rFonts w:ascii="Palatino Linotype" w:hAnsi="Palatino Linotype"/>
          <w:lang w:val="en-US"/>
        </w:rPr>
      </w:pPr>
    </w:p>
    <w:p w:rsidR="001B28D3" w:rsidRPr="001D46FF" w:rsidRDefault="001D46FF" w:rsidP="00FA537B">
      <w:pPr>
        <w:spacing w:after="0" w:line="360" w:lineRule="auto"/>
        <w:jc w:val="center"/>
        <w:rPr>
          <w:rFonts w:ascii="Palatino Linotype" w:hAnsi="Palatino Linotype"/>
          <w:b/>
          <w:sz w:val="24"/>
          <w:szCs w:val="28"/>
          <w:lang w:val="en-US"/>
        </w:rPr>
      </w:pPr>
      <w:r w:rsidRPr="001D46FF">
        <w:rPr>
          <w:rFonts w:ascii="Palatino Linotype" w:hAnsi="Palatino Linotype"/>
          <w:b/>
          <w:sz w:val="24"/>
          <w:szCs w:val="28"/>
          <w:lang w:val="en-US"/>
        </w:rPr>
        <w:t xml:space="preserve">Abstract </w:t>
      </w:r>
    </w:p>
    <w:p w:rsidR="00D903C6" w:rsidRPr="00BE0F3A" w:rsidRDefault="00D903C6" w:rsidP="00D903C6">
      <w:pPr>
        <w:spacing w:after="0" w:line="360" w:lineRule="auto"/>
        <w:jc w:val="both"/>
        <w:rPr>
          <w:rFonts w:ascii="Palatino Linotype" w:hAnsi="Palatino Linotype"/>
        </w:rPr>
      </w:pPr>
      <w:r w:rsidRPr="00BE0F3A">
        <w:rPr>
          <w:rFonts w:ascii="Palatino Linotype" w:hAnsi="Palatino Linotype"/>
        </w:rPr>
        <w:t>In today's society, children have a special place and it is no longer the case that the child is considered a family property rather, the child is an individual with his or her own personality and social status and the rights that society has for him / her. But what matters is whether the rights in our society are sufficient for children and just by telling them can it stabilize the child's position within society and save him from any attack? What should be accepted without question is that the answer is no. Because children need special rights and special protections because of their age and physical and intellectual weakness and if there is no executive guarantee to protect them, of course, not only will these rights not be respected, but they will also be violated and children who are more vulnerable than others suffer a lot. What this research specifically focuses on, a comprehensive review of child and adolescent protection law whereas , in accordance with the international obligations our country has committed to and adhered to in compliance with the convention on the rights of the child in 2000, it was approved by the Islamic Consultative Assembly in 2003. In fact, the author's attempt has been to under the pretext of reviewing and evaluating the aforementioned law, evading the existing penal regulations regarding the protection of children and adolescents in the Iranian penal system and thereby evaluate the weaknesses of the aforementioned laws and thus help the legislator to develop and enforce laws protecting certain vulnerable groups such as children.</w:t>
      </w:r>
    </w:p>
    <w:p w:rsidR="00EF15C7" w:rsidRPr="00FA537B" w:rsidRDefault="006F6377" w:rsidP="00D903C6">
      <w:pPr>
        <w:spacing w:after="0" w:line="240" w:lineRule="auto"/>
        <w:jc w:val="both"/>
        <w:rPr>
          <w:rFonts w:ascii="Palatino Linotype" w:hAnsi="Palatino Linotype"/>
          <w:b/>
          <w:sz w:val="24"/>
          <w:szCs w:val="24"/>
          <w:lang w:val="en-US"/>
        </w:rPr>
      </w:pPr>
      <w:r w:rsidRPr="00E23D3E">
        <w:rPr>
          <w:rFonts w:ascii="Palatino Linotype" w:hAnsi="Palatino Linotype"/>
          <w:b/>
          <w:sz w:val="24"/>
          <w:szCs w:val="24"/>
          <w:lang w:val="en-US"/>
        </w:rPr>
        <w:t xml:space="preserve">Keywords: </w:t>
      </w:r>
      <w:r w:rsidR="00D903C6" w:rsidRPr="00BE0F3A">
        <w:rPr>
          <w:rFonts w:ascii="Palatino Linotype" w:hAnsi="Palatino Linotype"/>
        </w:rPr>
        <w:t>Differential criminal policy, children, child abuse, victimization</w:t>
      </w:r>
    </w:p>
    <w:p w:rsidR="00FA537B" w:rsidRPr="00FA537B" w:rsidRDefault="00FA537B" w:rsidP="00FA537B">
      <w:pPr>
        <w:spacing w:after="0"/>
        <w:jc w:val="center"/>
        <w:rPr>
          <w:rFonts w:ascii="Palatino Linotype" w:hAnsi="Palatino Linotype" w:cs="Times New Roman"/>
          <w:lang w:val="en-US"/>
        </w:rPr>
      </w:pPr>
    </w:p>
    <w:p w:rsidR="00E4533D" w:rsidRPr="001D46FF" w:rsidRDefault="00FD6D1F" w:rsidP="00FA537B">
      <w:pPr>
        <w:spacing w:after="0" w:line="360" w:lineRule="auto"/>
        <w:jc w:val="both"/>
        <w:rPr>
          <w:rFonts w:ascii="Palatino Linotype" w:hAnsi="Palatino Linotype" w:cs="Times New Roman"/>
          <w:b/>
          <w:sz w:val="24"/>
          <w:lang w:val="en-US"/>
        </w:rPr>
      </w:pPr>
      <w:r w:rsidRPr="001D46FF">
        <w:rPr>
          <w:rFonts w:ascii="Palatino Linotype" w:hAnsi="Palatino Linotype" w:cs="Times New Roman"/>
          <w:b/>
          <w:sz w:val="24"/>
          <w:lang w:val="en-US"/>
        </w:rPr>
        <w:lastRenderedPageBreak/>
        <w:t>Introduction</w:t>
      </w:r>
      <w:r w:rsidR="00E4533D" w:rsidRPr="001D46FF">
        <w:rPr>
          <w:rFonts w:ascii="Palatino Linotype" w:hAnsi="Palatino Linotype" w:cs="Times New Roman"/>
          <w:b/>
          <w:sz w:val="24"/>
          <w:lang w:val="en-US"/>
        </w:rPr>
        <w:t xml:space="preserve"> </w:t>
      </w:r>
    </w:p>
    <w:p w:rsidR="00D903C6" w:rsidRPr="00BE0F3A" w:rsidRDefault="00D903C6" w:rsidP="00D903C6">
      <w:pPr>
        <w:spacing w:after="0" w:line="360" w:lineRule="auto"/>
        <w:jc w:val="both"/>
        <w:rPr>
          <w:rFonts w:ascii="Palatino Linotype" w:hAnsi="Palatino Linotype"/>
        </w:rPr>
      </w:pPr>
      <w:r w:rsidRPr="00BE0F3A">
        <w:rPr>
          <w:rFonts w:ascii="Palatino Linotype" w:hAnsi="Palatino Linotype"/>
        </w:rPr>
        <w:t>The penal law of children, the criterion of which is the age of infancy (childhood or adolescence), does not have much of a background in legal systems, The penal law of children, the criterion of which is the age of infancy (childhood or adolescence), does not have much of a background in legal systems, its appeal - as one of the branches of technical or special criminal law - in the West should be sought in the 'proof' school in the early years of the twentieth century. From then on, the child was regarded as a complete human being with an independent personality, psyche, and body and thus more susceptible to delinquency. With the end of World War II and the emergence of crime-response and sociology- After that - the process of criminal prosecution of children has accelerated. In the first approach of this discipline - known as scientific or primitive forensic science - the classification of victims into various aspects has attracted the attention of scientists and criminologists. The main criteria of these classes were the vulnerability of crime victims. Accordingly, children and adult offenders were separated on the basis of age pathological criteria. As such, child protection as one of the vulnerable categories of victims of crime has entered the realm of criminal law and criminology.</w:t>
      </w:r>
    </w:p>
    <w:p w:rsidR="00D903C6" w:rsidRPr="00BE0F3A" w:rsidRDefault="00D903C6" w:rsidP="00D903C6">
      <w:pPr>
        <w:spacing w:after="0" w:line="360" w:lineRule="auto"/>
        <w:jc w:val="both"/>
        <w:rPr>
          <w:rFonts w:ascii="Palatino Linotype" w:hAnsi="Palatino Linotype"/>
        </w:rPr>
      </w:pPr>
      <w:r w:rsidRPr="00BE0F3A">
        <w:rPr>
          <w:rFonts w:ascii="Palatino Linotype" w:hAnsi="Palatino Linotype"/>
        </w:rPr>
        <w:t xml:space="preserve">It can be argued that the most important children affected by the Iranian society are the working children, street children, victims of harassment, trafficking and pornography. In fact, these children are victims of social, economic, cultural, legal and judicial conditions of society. Many of these children are never seen and may be referred to as (invisible children) (Mohammadi Arani, 2005, p. 2). These children lack family support and in cases where they are violated, they are not protected by the criminal system because of their particular situation. Therefore, it seems that children, as the most vulnerable part of society, should receive the attention of legislators and researchers in the fields of criminology and psychology. In other words, the best way to do this is to raise awareness and raise the culture of the community in this area and to enact protection laws in line with international standards. Child victimization is an issue that has not received much attention in our society and consequently, there is no protection law or a clear discriminatory criminal policy on it and so it requires special legal and social support and action. Child victimization will have </w:t>
      </w:r>
      <w:r w:rsidRPr="00BE0F3A">
        <w:rPr>
          <w:rFonts w:ascii="Palatino Linotype" w:hAnsi="Palatino Linotype"/>
        </w:rPr>
        <w:lastRenderedPageBreak/>
        <w:t>devastating consequences for the future of society because today's victimized children are the potential criminals of tomorrow's society. Perhaps the most important reason for the current situation of children in our country is the lack of adequate protection laws and the lack of specific criminal policy in this area.</w:t>
      </w:r>
    </w:p>
    <w:p w:rsidR="00D903C6" w:rsidRPr="00BE0F3A" w:rsidRDefault="00D903C6" w:rsidP="00D903C6">
      <w:pPr>
        <w:spacing w:after="0" w:line="360" w:lineRule="auto"/>
        <w:jc w:val="both"/>
        <w:rPr>
          <w:rFonts w:ascii="Palatino Linotype" w:hAnsi="Palatino Linotype"/>
        </w:rPr>
      </w:pPr>
      <w:r w:rsidRPr="00BE0F3A">
        <w:rPr>
          <w:rFonts w:ascii="Palatino Linotype" w:hAnsi="Palatino Linotype"/>
        </w:rPr>
        <w:t>In this article, we will try to explain the concept of child victimization and its causes after giving some general information Protection of Children and Adolescents Adopted in December 2002 as the Most Important Child Protection Act is investigated and discuss its strengths and weaknesses, and in particular the extent to which they meet international standards, in particular the Convention on the Rights of the Child. It should be noted that since a new bill is in place for child protection and additional safeguards to be prepared, formulated and approved, the ultimate goal of this study is to identify the weaknesses of the above-mentioned law in order to help the legislator to pass more comprehensive laws in this field.</w:t>
      </w:r>
    </w:p>
    <w:p w:rsidR="00D903C6" w:rsidRPr="00BE0F3A" w:rsidRDefault="00D903C6" w:rsidP="00D903C6">
      <w:pPr>
        <w:spacing w:after="0" w:line="360" w:lineRule="auto"/>
        <w:jc w:val="both"/>
        <w:rPr>
          <w:rFonts w:ascii="Palatino Linotype" w:hAnsi="Palatino Linotype"/>
        </w:rPr>
      </w:pPr>
    </w:p>
    <w:p w:rsidR="00D903C6" w:rsidRPr="00BE0F3A" w:rsidRDefault="00D903C6" w:rsidP="00D903C6">
      <w:pPr>
        <w:spacing w:after="0" w:line="360" w:lineRule="auto"/>
        <w:jc w:val="both"/>
        <w:rPr>
          <w:rFonts w:ascii="Palatino Linotype" w:hAnsi="Palatino Linotype"/>
          <w:b/>
          <w:bCs/>
        </w:rPr>
      </w:pPr>
      <w:r w:rsidRPr="00BE0F3A">
        <w:rPr>
          <w:rFonts w:ascii="Palatino Linotype" w:hAnsi="Palatino Linotype"/>
          <w:b/>
          <w:bCs/>
        </w:rPr>
        <w:t>Child victimization and the need to support them</w:t>
      </w:r>
    </w:p>
    <w:p w:rsidR="00D903C6" w:rsidRPr="00BE0F3A" w:rsidRDefault="00D903C6" w:rsidP="00D903C6">
      <w:pPr>
        <w:spacing w:after="0" w:line="360" w:lineRule="auto"/>
        <w:jc w:val="both"/>
        <w:rPr>
          <w:rFonts w:ascii="Palatino Linotype" w:hAnsi="Palatino Linotype"/>
        </w:rPr>
      </w:pPr>
      <w:r w:rsidRPr="00BE0F3A">
        <w:rPr>
          <w:rFonts w:ascii="Palatino Linotype" w:hAnsi="Palatino Linotype"/>
        </w:rPr>
        <w:t xml:space="preserve">Criminal law since the birth of the ancient world has played a prominent role in the criminal process to this day. From the Hittite laws (Akbari, 2000, p. 122) and the Hammurabi law to the laws of the ancient world empires such as Iran, Rome and Greece and from the great divine religions, such as the Shari'a of Moses and Islam, to the works and writings of the Church members in the Middle Ages, there has been some talk about the role of the victims in the perpetration of criminal offenses and the promotion of criminal proceedings and the necessity of compensation for them, however, this attention has been unintentional, tacit, and in many cases unconscious. A review of the history of criminal law developments in the world reveals numerous and varied examples of child victimization. For example, in the Arabian Peninsula in our pre-Islamic era, children are considered as the property of parents and children have been subjected to severe harassment during this period, so long as they have buried their daughters alive or in Europe in the Medieval, children have long had no special place in society. </w:t>
      </w:r>
    </w:p>
    <w:p w:rsidR="00D903C6" w:rsidRPr="00BE0F3A" w:rsidRDefault="00D903C6" w:rsidP="00D903C6">
      <w:pPr>
        <w:spacing w:after="0" w:line="360" w:lineRule="auto"/>
        <w:jc w:val="both"/>
        <w:rPr>
          <w:rFonts w:ascii="Palatino Linotype" w:hAnsi="Palatino Linotype"/>
        </w:rPr>
      </w:pPr>
      <w:r w:rsidRPr="00BE0F3A">
        <w:rPr>
          <w:rFonts w:ascii="Palatino Linotype" w:hAnsi="Palatino Linotype"/>
        </w:rPr>
        <w:lastRenderedPageBreak/>
        <w:t>When referring to the term child offenses, it means a child who, under the laws and regulations, is the subject of the offense, which is, a crime was committed against him, which according to the criminal law, must be a minor offense.  Now the question is, what does the child support here mean?</w:t>
      </w:r>
    </w:p>
    <w:p w:rsidR="00D903C6" w:rsidRPr="00BE0F3A" w:rsidRDefault="00D903C6" w:rsidP="00D903C6">
      <w:pPr>
        <w:spacing w:after="0" w:line="360" w:lineRule="auto"/>
        <w:jc w:val="both"/>
        <w:rPr>
          <w:rFonts w:ascii="Palatino Linotype" w:hAnsi="Palatino Linotype"/>
        </w:rPr>
      </w:pPr>
      <w:r w:rsidRPr="00BE0F3A">
        <w:rPr>
          <w:rFonts w:ascii="Palatino Linotype" w:hAnsi="Palatino Linotype"/>
        </w:rPr>
        <w:t>Regardless of the wide-ranging discussions in our jurisprudence and legal record, to answer this question, one can refer to Article 1 of the Child and Youth Protection Act, which covers all persons who have not reached 18 years of age. In fact, it is the only regulation that sets the age of 18 as a criterion for legal and criminal protections for children.</w:t>
      </w:r>
    </w:p>
    <w:p w:rsidR="00D903C6" w:rsidRPr="00BE0F3A" w:rsidRDefault="00D903C6" w:rsidP="00D903C6">
      <w:pPr>
        <w:spacing w:after="0" w:line="360" w:lineRule="auto"/>
        <w:jc w:val="both"/>
        <w:rPr>
          <w:rFonts w:ascii="Palatino Linotype" w:hAnsi="Palatino Linotype"/>
        </w:rPr>
      </w:pPr>
      <w:r w:rsidRPr="00BE0F3A">
        <w:rPr>
          <w:rFonts w:ascii="Palatino Linotype" w:hAnsi="Palatino Linotype"/>
        </w:rPr>
        <w:t>There are many factors involved in child victimization. But in summary, family, school, workplace, living environment, mass media and some other cultural factors are the most important factors affecting child victimization (Abbachi, 2001, p. 25). That is why, in the International Convention on the Rights of the Child, most emphasis has been put on preventing child abuse, and has suggested a number of measures to make these institutions more effective and effective.</w:t>
      </w:r>
    </w:p>
    <w:p w:rsidR="00D903C6" w:rsidRPr="00BE0F3A" w:rsidRDefault="00D903C6" w:rsidP="00D903C6">
      <w:pPr>
        <w:spacing w:after="0" w:line="360" w:lineRule="auto"/>
        <w:jc w:val="both"/>
        <w:rPr>
          <w:rFonts w:ascii="Palatino Linotype" w:hAnsi="Palatino Linotype"/>
        </w:rPr>
      </w:pPr>
      <w:r w:rsidRPr="00BE0F3A">
        <w:rPr>
          <w:rFonts w:ascii="Palatino Linotype" w:hAnsi="Palatino Linotype"/>
        </w:rPr>
        <w:t>Child support can take many forms. This support can range from a wide range of ethical approaches to criminal prosecution; there are many forms of support that can be broadly divided into criminal and non-criminal support. Obviously, criminal protection should be the last resort and support and if other remedies are inadequate and inadequate, resorting to criminal enforcement guarantees can provide effective support for children at risk (Clarkson, 1992, p. 224).</w:t>
      </w:r>
    </w:p>
    <w:p w:rsidR="00D903C6" w:rsidRPr="00BE0F3A" w:rsidRDefault="00D903C6" w:rsidP="00D903C6">
      <w:pPr>
        <w:spacing w:after="0" w:line="360" w:lineRule="auto"/>
        <w:jc w:val="both"/>
        <w:rPr>
          <w:rFonts w:ascii="Palatino Linotype" w:hAnsi="Palatino Linotype"/>
        </w:rPr>
      </w:pPr>
      <w:r w:rsidRPr="00BE0F3A">
        <w:rPr>
          <w:rFonts w:ascii="Palatino Linotype" w:hAnsi="Palatino Linotype"/>
        </w:rPr>
        <w:t>But the questionable question is what essentially the basis of a victim protection plan is? And in other words, why should "children" is protected as a group of people?</w:t>
      </w:r>
    </w:p>
    <w:p w:rsidR="00D903C6" w:rsidRPr="00BE0F3A" w:rsidRDefault="00D903C6" w:rsidP="00D903C6">
      <w:pPr>
        <w:spacing w:after="0" w:line="360" w:lineRule="auto"/>
        <w:jc w:val="both"/>
        <w:rPr>
          <w:rFonts w:ascii="Palatino Linotype" w:hAnsi="Palatino Linotype"/>
        </w:rPr>
      </w:pPr>
      <w:r w:rsidRPr="00BE0F3A">
        <w:rPr>
          <w:rFonts w:ascii="Palatino Linotype" w:hAnsi="Palatino Linotype"/>
        </w:rPr>
        <w:t>In response to this question, various views and foundations, such as the failure of governments to support victims or philosophical or value foundations, have been cited by some scholars (attention, 2008, p. 29).</w:t>
      </w:r>
    </w:p>
    <w:p w:rsidR="00D903C6" w:rsidRPr="00BE0F3A" w:rsidRDefault="00D903C6" w:rsidP="00D903C6">
      <w:pPr>
        <w:spacing w:after="0" w:line="360" w:lineRule="auto"/>
        <w:jc w:val="both"/>
        <w:rPr>
          <w:rFonts w:ascii="Palatino Linotype" w:hAnsi="Palatino Linotype"/>
        </w:rPr>
      </w:pPr>
      <w:r w:rsidRPr="00BE0F3A">
        <w:rPr>
          <w:rFonts w:ascii="Palatino Linotype" w:hAnsi="Palatino Linotype"/>
        </w:rPr>
        <w:t>But perhaps the most important basis for this support is its very important and effective role in reducing delinquency.</w:t>
      </w:r>
    </w:p>
    <w:p w:rsidR="00D903C6" w:rsidRPr="00BE0F3A" w:rsidRDefault="00D903C6" w:rsidP="00D903C6">
      <w:pPr>
        <w:spacing w:after="0" w:line="360" w:lineRule="auto"/>
        <w:jc w:val="both"/>
        <w:rPr>
          <w:rFonts w:ascii="Palatino Linotype" w:hAnsi="Palatino Linotype"/>
        </w:rPr>
      </w:pPr>
      <w:r w:rsidRPr="00BE0F3A">
        <w:rPr>
          <w:rFonts w:ascii="Palatino Linotype" w:hAnsi="Palatino Linotype"/>
        </w:rPr>
        <w:t xml:space="preserve">Accordingly, even if the victim is found guilty of his or her victimization, it is necessary and reasonable to support him / her: because, on the other hand, this protection and damages </w:t>
      </w:r>
      <w:r w:rsidRPr="00BE0F3A">
        <w:rPr>
          <w:rFonts w:ascii="Palatino Linotype" w:hAnsi="Palatino Linotype"/>
        </w:rPr>
        <w:lastRenderedPageBreak/>
        <w:t>make him immune from the repeated victimization of his first weakness, isolation, helplessness, and victimization. On the other hand, it prevents individual retaliation and the spread of delinquency (Ibid, p. 31).</w:t>
      </w:r>
    </w:p>
    <w:p w:rsidR="00D903C6" w:rsidRPr="00BE0F3A" w:rsidRDefault="00D903C6" w:rsidP="00D903C6">
      <w:pPr>
        <w:spacing w:after="0" w:line="360" w:lineRule="auto"/>
        <w:jc w:val="both"/>
        <w:rPr>
          <w:rFonts w:ascii="Palatino Linotype" w:hAnsi="Palatino Linotype"/>
        </w:rPr>
      </w:pPr>
      <w:r w:rsidRPr="00BE0F3A">
        <w:rPr>
          <w:rFonts w:ascii="Palatino Linotype" w:hAnsi="Palatino Linotype"/>
        </w:rPr>
        <w:t>Now it seems that the first and foremost strata that need support among the different types of crime victims are children. There is no doubt that children need more support than other vulnerable people. In addition to the protections that can be exercised through various civil society institutions, what are most noticeable are the mechanisms of substantive criminal law for special protection of children. Thus, criminal law using its own mechanisms, that is, the criminalization of some of the behaviors and the intensification of the punishment of criminals who choose children as their victims, it advocates discriminatory criminal support for children in order to reduce their vulnerability (Zeinali, 2003, p. 60). The authors of the child and adolescent protection plan have also been ignorant of and influenced by the facts and findings of criminology and forensic science in support of its adoption, we will discuss this law from different angles.</w:t>
      </w:r>
    </w:p>
    <w:p w:rsidR="00D903C6" w:rsidRPr="00BE0F3A" w:rsidRDefault="00D903C6" w:rsidP="00D903C6">
      <w:pPr>
        <w:spacing w:after="0" w:line="360" w:lineRule="auto"/>
        <w:jc w:val="both"/>
        <w:rPr>
          <w:rFonts w:ascii="Palatino Linotype" w:hAnsi="Palatino Linotype"/>
        </w:rPr>
      </w:pPr>
      <w:r w:rsidRPr="00BE0F3A">
        <w:rPr>
          <w:rFonts w:ascii="Palatino Linotype" w:hAnsi="Palatino Linotype"/>
        </w:rPr>
        <w:t xml:space="preserve"> </w:t>
      </w:r>
    </w:p>
    <w:p w:rsidR="00D903C6" w:rsidRPr="00BE0F3A" w:rsidRDefault="00D903C6" w:rsidP="00D903C6">
      <w:pPr>
        <w:spacing w:after="0" w:line="360" w:lineRule="auto"/>
        <w:jc w:val="both"/>
        <w:rPr>
          <w:rFonts w:ascii="Palatino Linotype" w:hAnsi="Palatino Linotype"/>
          <w:b/>
          <w:bCs/>
        </w:rPr>
      </w:pPr>
      <w:r w:rsidRPr="00BE0F3A">
        <w:rPr>
          <w:rFonts w:ascii="Palatino Linotype" w:hAnsi="Palatino Linotype"/>
          <w:b/>
          <w:bCs/>
        </w:rPr>
        <w:t>Subject of the Adoption of the Law on Protection of Children and Adolescents Adopted in 2003</w:t>
      </w:r>
    </w:p>
    <w:p w:rsidR="00D903C6" w:rsidRPr="00BE0F3A" w:rsidRDefault="00D903C6" w:rsidP="00D903C6">
      <w:pPr>
        <w:spacing w:after="0" w:line="360" w:lineRule="auto"/>
        <w:jc w:val="both"/>
        <w:rPr>
          <w:rFonts w:ascii="Palatino Linotype" w:hAnsi="Palatino Linotype"/>
        </w:rPr>
      </w:pPr>
      <w:r w:rsidRPr="00BE0F3A">
        <w:rPr>
          <w:rFonts w:ascii="Palatino Linotype" w:hAnsi="Palatino Linotype"/>
        </w:rPr>
        <w:t xml:space="preserve">With the passage of the law, there were signs of adopting a "differential criminal policy" in dealing with child crimes in Iranian criminal law. A law, which unlike its general title criminalizes child protection by criminalizing certain behaviors. By looking at the issues raised during the passage of this law, it becomes clear that: In passing this law, the legislator has been most influenced by civil society, international commitments, in particular the Convention on the Rights of the Child, the facts and findings of psychology, criminology and victimization. A law that first introduced the term "child abuse" into Iranian criminal law literature with the first founding of "Criminal Rights of the Victimized Children" in Iran and the age of the victim was determined to be eighteen years in line with the scientific findings and the Convention on the Rights of the Child. Acts of criminality such as any harm, harassment, psychological and physical torture of children, deliberate neglect of the child's mental and physical health, prohibition of their education, any purchase, sale, </w:t>
      </w:r>
      <w:r w:rsidRPr="00BE0F3A">
        <w:rPr>
          <w:rFonts w:ascii="Palatino Linotype" w:hAnsi="Palatino Linotype"/>
        </w:rPr>
        <w:lastRenderedPageBreak/>
        <w:t>exploitation and use of children to commit wrongdoing, one of the innovations of the law mentioned above (Zinali, cited above, p. 62). A law that promises "child abuse" and criminalization in order to force reporting of child abuse cases promises the formation of a special child abuse justice system. Therefore, child and adolescent protection law can be considered a step forward in protecting children and adolescents from psychological and physical violence.</w:t>
      </w:r>
    </w:p>
    <w:p w:rsidR="00D903C6" w:rsidRPr="00BE0F3A" w:rsidRDefault="00D903C6" w:rsidP="00D903C6">
      <w:pPr>
        <w:spacing w:after="0" w:line="360" w:lineRule="auto"/>
        <w:jc w:val="both"/>
        <w:rPr>
          <w:rFonts w:ascii="Palatino Linotype" w:hAnsi="Palatino Linotype"/>
        </w:rPr>
      </w:pPr>
      <w:r w:rsidRPr="00BE0F3A">
        <w:rPr>
          <w:rFonts w:ascii="Palatino Linotype" w:hAnsi="Palatino Linotype"/>
        </w:rPr>
        <w:t>In 1959, the Declaration of the Rights of the Child was adopted by the UN General Assembly In fact; it laid the foundation for the Convention on the Rights of the Child. The draft Convention on the Rights of the Child, which was unanimously ratified by the Polish initiative in 1989, consists of an introduction and 54 articles. Of these articles, 41 are related to child rights and 13 are related to how they are implemented in each country. So far, 191 countries out of 193 have joined it, and only two countries, the United States and Somalia, have yet to accede to the convention.</w:t>
      </w:r>
    </w:p>
    <w:p w:rsidR="00D903C6" w:rsidRPr="00BE0F3A" w:rsidRDefault="00D903C6" w:rsidP="00D903C6">
      <w:pPr>
        <w:spacing w:after="0" w:line="360" w:lineRule="auto"/>
        <w:jc w:val="both"/>
        <w:rPr>
          <w:rFonts w:ascii="Palatino Linotype" w:hAnsi="Palatino Linotype"/>
        </w:rPr>
      </w:pPr>
      <w:r w:rsidRPr="00BE0F3A">
        <w:rPr>
          <w:rFonts w:ascii="Palatino Linotype" w:hAnsi="Palatino Linotype"/>
        </w:rPr>
        <w:t xml:space="preserve">The main purpose of this Convention is to create a better life for children and to strive for their harmonious and balanced development in the essentials of physical, mental, emotional, mental and social development and to achieve this goal, four aspects of growth, survival; support and participation have been taken into consideration (Pourkhermani, 2004, p. 6). The Islamic Republic of Iran is one of the countries that signed the Convention on the Rights of the Child in 1990 and ratified it in March 1993. Iran has, of course, accepted this Convention by exercising the right to: "It has the right to make any provision which is contrary to Islamic law and reserves the right to declare such condition upon its approval ....." and the Islamic Consultative Assembly also adopted it with the general restriction of not complying with Islamic law and domestic law. As some writers have emphasized, in fact, by joining the Convention, the Iranian Government does not seek to adapt and amend its laws, rather, it enforces its own rules and in the future it will enact and enforce laws that it deems appropriate and anyway, wherever the provisions of the Convention are found to be inconsistent with existing domestic or subsequent laws, these provisions are not required by the Iranian Government (Beigi, 2005, p. 43) and that is the subject of protest by many </w:t>
      </w:r>
      <w:r w:rsidRPr="00BE0F3A">
        <w:rPr>
          <w:rFonts w:ascii="Palatino Linotype" w:hAnsi="Palatino Linotype"/>
        </w:rPr>
        <w:lastRenderedPageBreak/>
        <w:t>countries and they find this general requirement unacceptable and incompatible with the Convention (Mehrpour, 1998, p. 129).</w:t>
      </w:r>
    </w:p>
    <w:p w:rsidR="00D903C6" w:rsidRPr="00BE0F3A" w:rsidRDefault="00D903C6" w:rsidP="00D903C6">
      <w:pPr>
        <w:spacing w:after="0" w:line="360" w:lineRule="auto"/>
        <w:jc w:val="both"/>
        <w:rPr>
          <w:rFonts w:ascii="Palatino Linotype" w:hAnsi="Palatino Linotype"/>
        </w:rPr>
      </w:pPr>
      <w:r w:rsidRPr="00BE0F3A">
        <w:rPr>
          <w:rFonts w:ascii="Palatino Linotype" w:hAnsi="Palatino Linotype"/>
        </w:rPr>
        <w:t>In line with this Convention and Iran's accession to it, the Islamic Consultative Assembly in 2002 adopted a Child and Youth Protection Act, which contains nine articles. Under the law, individuals under the age of 18 have all been supported by the law, it is also forbidden to harass children and adolescents who endanger their physical and mental health. Pursuant to Article 3 of this Law, any purchase, sale, exploitation and exploitation of children for the purpose of committing unlawful acts, such as trafficking, prohibition, and commission in addition to compensation shall be punishable by penalties and according to Article 4, any physical, mental, physical, mental, or physical abuse of children and their deliberate neglect of their physical and mental health and their education is prohibited. Incidentally, child abuse is a public crime and does not require a private complaint (Article 5 of the Act). Persons, institutions and centers that are responsible for the custody and custody of children are required to notify the competent judicial authorities as soon as the child is found (Article 6 of the Act). As can be seen, most of the articles of the Convention on the Rights of the Child are set out in this law and this demonstrates the legislator's sensitivity to the case, which is commendable. In the following, the most important criticisms of this law are discussed.</w:t>
      </w:r>
    </w:p>
    <w:p w:rsidR="00D903C6" w:rsidRPr="00BE0F3A" w:rsidRDefault="00D903C6" w:rsidP="00D903C6">
      <w:pPr>
        <w:spacing w:after="0" w:line="360" w:lineRule="auto"/>
        <w:jc w:val="both"/>
        <w:rPr>
          <w:rFonts w:ascii="Palatino Linotype" w:hAnsi="Palatino Linotype"/>
        </w:rPr>
      </w:pPr>
    </w:p>
    <w:p w:rsidR="00D903C6" w:rsidRPr="00BE0F3A" w:rsidRDefault="00D903C6" w:rsidP="00D903C6">
      <w:pPr>
        <w:spacing w:after="0" w:line="360" w:lineRule="auto"/>
        <w:jc w:val="both"/>
        <w:rPr>
          <w:rFonts w:ascii="Palatino Linotype" w:hAnsi="Palatino Linotype"/>
          <w:b/>
          <w:bCs/>
        </w:rPr>
      </w:pPr>
      <w:r w:rsidRPr="00BE0F3A">
        <w:rPr>
          <w:rFonts w:ascii="Palatino Linotype" w:hAnsi="Palatino Linotype"/>
          <w:b/>
          <w:bCs/>
        </w:rPr>
        <w:t>The most important criticisms of the Child and Youth Protection Act</w:t>
      </w:r>
    </w:p>
    <w:p w:rsidR="00D903C6" w:rsidRPr="00BE0F3A" w:rsidRDefault="00D903C6" w:rsidP="00D903C6">
      <w:pPr>
        <w:spacing w:after="0" w:line="360" w:lineRule="auto"/>
        <w:jc w:val="both"/>
        <w:rPr>
          <w:rFonts w:ascii="Palatino Linotype" w:hAnsi="Palatino Linotype"/>
        </w:rPr>
      </w:pPr>
      <w:r w:rsidRPr="00BE0F3A">
        <w:rPr>
          <w:rFonts w:ascii="Palatino Linotype" w:hAnsi="Palatino Linotype"/>
        </w:rPr>
        <w:t xml:space="preserve">Perhaps the law was adopted more for propaganda or political incentives and so despite some innovations, acceleration and many shortcomings are visible. Somehow it has made some of the provisions of this law as a neutral and ineffective law. This is much more evident in view of the deliberations of the Islamic Consultative Assembly and the views of the Guardian Council when it was adopted. </w:t>
      </w:r>
    </w:p>
    <w:p w:rsidR="00D903C6" w:rsidRPr="00BE0F3A" w:rsidRDefault="00D903C6" w:rsidP="00D903C6">
      <w:pPr>
        <w:spacing w:after="0" w:line="360" w:lineRule="auto"/>
        <w:jc w:val="both"/>
        <w:rPr>
          <w:rFonts w:ascii="Palatino Linotype" w:hAnsi="Palatino Linotype"/>
        </w:rPr>
      </w:pPr>
      <w:r w:rsidRPr="00BE0F3A">
        <w:rPr>
          <w:rFonts w:ascii="Palatino Linotype" w:hAnsi="Palatino Linotype"/>
        </w:rPr>
        <w:t xml:space="preserve">However, under this law, child abuse is considered a public offense and therefore does not require a private complaint to be prosecuted, but problems, such as a lack of a comprehensive, detailed and clear definition of child abuse and justification, are some of the </w:t>
      </w:r>
      <w:r w:rsidRPr="00BE0F3A">
        <w:rPr>
          <w:rFonts w:ascii="Palatino Linotype" w:hAnsi="Palatino Linotype"/>
        </w:rPr>
        <w:lastRenderedPageBreak/>
        <w:t>crimes against children and can be handled under specific laws, the amendment of the aforementioned law has been put on the agenda of the judiciary.</w:t>
      </w:r>
    </w:p>
    <w:p w:rsidR="00D903C6" w:rsidRPr="00BE0F3A" w:rsidRDefault="00D903C6" w:rsidP="00D903C6">
      <w:pPr>
        <w:spacing w:after="0" w:line="360" w:lineRule="auto"/>
        <w:jc w:val="both"/>
        <w:rPr>
          <w:rFonts w:ascii="Palatino Linotype" w:hAnsi="Palatino Linotype"/>
        </w:rPr>
      </w:pPr>
      <w:r w:rsidRPr="00BE0F3A">
        <w:rPr>
          <w:rFonts w:ascii="Palatino Linotype" w:hAnsi="Palatino Linotype"/>
        </w:rPr>
        <w:t>Perhaps the most important criticism of the law is that it does not include cases where parents and careers</w:t>
      </w:r>
      <w:bookmarkStart w:id="0" w:name="_GoBack"/>
      <w:bookmarkEnd w:id="0"/>
      <w:r w:rsidRPr="00BE0F3A">
        <w:rPr>
          <w:rFonts w:ascii="Palatino Linotype" w:hAnsi="Palatino Linotype"/>
        </w:rPr>
        <w:t xml:space="preserve"> attempt to discipline and punish a child. This caused a great deal of debate between the Islamic Consultative Assembly and the Guardian Council. Although lawmakers have adopted a proper differential policy to protect children but despite materials such as Article 59 and Article 1179, the Civil Code has paved the way for assault on children (Habibzadeh and Moghadasi, 2006, p. 66). According to Article 1179 of the Civil Code, the right to discipline is restricted to parents only, but under Paragraph 1 of Article 59 of the Islamic Penal Code, in addition to parents, legal guardians and guardians of children are also entitled to discipline. However, this article sets out two intrinsic measures of intent to discipline and an external criterion at a standard level to distinguish whether or not to discipline children (Katoozian, 1999, p. 723), but it has caused many parents and guardians to abuse children. Not only has this provision victimized children on the pretext of discipline, but some have even gone so far as to place teachers and teachers in the hands of parents and careers, giving them the right to discipline and punish children. (Mohseni, 1997, p. 67) this is in breach of the Criminal Code and Article 77 of the Executive Code of Schools. With the passage of the Child and Adolescent Protection Act, the hope of the legal community to address child abuse, especially by parents who used Article 59 exemptions, increased. But repeated amendments to the law also diminished hope. In the original design, child abuse could be committed by anyone; however, in the wake of numerous amendments by the Islamic Consultative Assembly to the opinion of the Guardian Council, parents were excluded from the law under Article 7. However, based on research, unfortunately, about 75% of child abuse cases are committed by parents and guardians of children (Abroushan, 2008, p. 11).</w:t>
      </w:r>
    </w:p>
    <w:p w:rsidR="00D903C6" w:rsidRPr="00BE0F3A" w:rsidRDefault="00D903C6" w:rsidP="00D903C6">
      <w:pPr>
        <w:spacing w:after="0" w:line="360" w:lineRule="auto"/>
        <w:jc w:val="both"/>
        <w:rPr>
          <w:rFonts w:ascii="Palatino Linotype" w:hAnsi="Palatino Linotype"/>
        </w:rPr>
      </w:pPr>
      <w:r w:rsidRPr="00BE0F3A">
        <w:rPr>
          <w:rFonts w:ascii="Palatino Linotype" w:hAnsi="Palatino Linotype"/>
        </w:rPr>
        <w:t xml:space="preserve">What was the main purpose of the designers of this law was completely eliminated by Article 7. According to available statistics, most cases of child abuse are committed by parents who are excused from punishment (Habibzadeh and Moghadasi, Ibid., P. 67). Thus, with the passage of this article, the enforcement of the Child and Adolescent Protection Act </w:t>
      </w:r>
      <w:r w:rsidRPr="00BE0F3A">
        <w:rPr>
          <w:rFonts w:ascii="Palatino Linotype" w:hAnsi="Palatino Linotype"/>
        </w:rPr>
        <w:lastRenderedPageBreak/>
        <w:t>was greatly restricted, and the designers failed to achieve their primary goal, which was to combat "child abuse within the family." In the following, the most important disadvantages of this legislation are analyzed.</w:t>
      </w:r>
    </w:p>
    <w:p w:rsidR="00D903C6" w:rsidRPr="00BE0F3A" w:rsidRDefault="00D903C6" w:rsidP="00D903C6">
      <w:pPr>
        <w:spacing w:after="0" w:line="360" w:lineRule="auto"/>
        <w:jc w:val="both"/>
        <w:rPr>
          <w:rFonts w:ascii="Palatino Linotype" w:hAnsi="Palatino Linotype"/>
        </w:rPr>
      </w:pPr>
    </w:p>
    <w:p w:rsidR="00D903C6" w:rsidRPr="00BE0F3A" w:rsidRDefault="00D903C6" w:rsidP="00D903C6">
      <w:pPr>
        <w:spacing w:after="0" w:line="360" w:lineRule="auto"/>
        <w:jc w:val="both"/>
        <w:rPr>
          <w:rFonts w:ascii="Palatino Linotype" w:hAnsi="Palatino Linotype"/>
          <w:b/>
          <w:bCs/>
        </w:rPr>
      </w:pPr>
      <w:r w:rsidRPr="00BE0F3A">
        <w:rPr>
          <w:rFonts w:ascii="Palatino Linotype" w:hAnsi="Palatino Linotype"/>
          <w:b/>
          <w:bCs/>
        </w:rPr>
        <w:t>Incomprehensiveness Law</w:t>
      </w:r>
    </w:p>
    <w:p w:rsidR="00D903C6" w:rsidRPr="00BE0F3A" w:rsidRDefault="00D903C6" w:rsidP="00D903C6">
      <w:pPr>
        <w:spacing w:after="0" w:line="360" w:lineRule="auto"/>
        <w:jc w:val="both"/>
        <w:rPr>
          <w:rFonts w:ascii="Palatino Linotype" w:hAnsi="Palatino Linotype"/>
        </w:rPr>
      </w:pPr>
      <w:r w:rsidRPr="00BE0F3A">
        <w:rPr>
          <w:rFonts w:ascii="Palatino Linotype" w:hAnsi="Palatino Linotype"/>
        </w:rPr>
        <w:t>It seems that this law, contrary to the title of "Child and adolescent protection law", did not fully address his rights and that the choice of the title followed the propaganda aspect. However, in addition to criminal support for children and adolescents, it is imperative that other legal protections be required for children and adolescents to meet their needs. But, contrary to the title, the law addresses child abuse and it ignores one aspect of it, namely the discriminatory criminal protection of children victimized in the light of the particular criminalization of certain behaviors, and of other mechanisms in substantive criminal law, namely the intensification of the punishment of criminals who commit crimes. Not much is visible about the specific legal protections for abused children in the criminal process. If necessary up to special legal protections for abused children to extend to other stages of the criminal process, including the prosecution process, prosecution, investigation, verdict and enforcement, and even after the due process (Zinali, 2003, 2, p. 22).</w:t>
      </w:r>
    </w:p>
    <w:p w:rsidR="00D903C6" w:rsidRPr="00BE0F3A" w:rsidRDefault="00D903C6" w:rsidP="00D903C6">
      <w:pPr>
        <w:spacing w:after="0" w:line="360" w:lineRule="auto"/>
        <w:jc w:val="both"/>
        <w:rPr>
          <w:rFonts w:ascii="Palatino Linotype" w:hAnsi="Palatino Linotype"/>
        </w:rPr>
      </w:pPr>
    </w:p>
    <w:p w:rsidR="00D903C6" w:rsidRPr="00BE0F3A" w:rsidRDefault="00D903C6" w:rsidP="00D903C6">
      <w:pPr>
        <w:spacing w:after="0" w:line="360" w:lineRule="auto"/>
        <w:jc w:val="both"/>
        <w:rPr>
          <w:rFonts w:ascii="Palatino Linotype" w:hAnsi="Palatino Linotype"/>
          <w:b/>
          <w:bCs/>
        </w:rPr>
      </w:pPr>
      <w:r w:rsidRPr="00BE0F3A">
        <w:rPr>
          <w:rFonts w:ascii="Palatino Linotype" w:hAnsi="Palatino Linotype"/>
          <w:b/>
          <w:bCs/>
        </w:rPr>
        <w:t>Remove parent from the task of reporting child abuse</w:t>
      </w:r>
    </w:p>
    <w:p w:rsidR="00D903C6" w:rsidRPr="00BE0F3A" w:rsidRDefault="00D903C6" w:rsidP="00D903C6">
      <w:pPr>
        <w:spacing w:after="0" w:line="360" w:lineRule="auto"/>
        <w:jc w:val="both"/>
        <w:rPr>
          <w:rFonts w:ascii="Palatino Linotype" w:hAnsi="Palatino Linotype"/>
        </w:rPr>
      </w:pPr>
      <w:r w:rsidRPr="00BE0F3A">
        <w:rPr>
          <w:rFonts w:ascii="Palatino Linotype" w:hAnsi="Palatino Linotype"/>
        </w:rPr>
        <w:t xml:space="preserve">One of the objections of the Council of Guardians to the first resolution of the Islamic Consultative Assembly was the requirement of Article 6 (compulsory reporting of child abuse by all persons and institutions responsible for their upbringing and education) which also includes parents of children who have harmed their child as a child and the Islamic Consultative Assembly, with the approval of Article 7 above, moved in the direction of the Guardian Council and removed the parents from Article 6. Since the closest person to a child is in his or her parent's community, stipulating duties for the child's parents and placing a guarantee of non-compliance with the child could greatly reduce child victimization, something we are very much confronted with today and a large percentage of crimes against </w:t>
      </w:r>
      <w:r w:rsidRPr="00BE0F3A">
        <w:rPr>
          <w:rFonts w:ascii="Palatino Linotype" w:hAnsi="Palatino Linotype"/>
        </w:rPr>
        <w:lastRenderedPageBreak/>
        <w:t xml:space="preserve">children remain hidden from the perspective of law enforcement and law enforcement agencies. </w:t>
      </w:r>
    </w:p>
    <w:p w:rsidR="00D903C6" w:rsidRPr="00BE0F3A" w:rsidRDefault="00D903C6" w:rsidP="00D903C6">
      <w:pPr>
        <w:spacing w:after="0" w:line="360" w:lineRule="auto"/>
        <w:jc w:val="both"/>
        <w:rPr>
          <w:rFonts w:ascii="Palatino Linotype" w:hAnsi="Palatino Linotype"/>
        </w:rPr>
      </w:pPr>
    </w:p>
    <w:p w:rsidR="00D903C6" w:rsidRPr="00BE0F3A" w:rsidRDefault="00D903C6" w:rsidP="00D903C6">
      <w:pPr>
        <w:spacing w:after="0" w:line="360" w:lineRule="auto"/>
        <w:jc w:val="both"/>
        <w:rPr>
          <w:rFonts w:ascii="Palatino Linotype" w:hAnsi="Palatino Linotype"/>
          <w:b/>
          <w:bCs/>
        </w:rPr>
      </w:pPr>
      <w:r w:rsidRPr="00BE0F3A">
        <w:rPr>
          <w:rFonts w:ascii="Palatino Linotype" w:hAnsi="Palatino Linotype"/>
          <w:b/>
          <w:bCs/>
        </w:rPr>
        <w:t>Not paying attention to civil society organizations</w:t>
      </w:r>
    </w:p>
    <w:p w:rsidR="00D903C6" w:rsidRPr="00BE0F3A" w:rsidRDefault="00D903C6" w:rsidP="00D903C6">
      <w:pPr>
        <w:spacing w:after="0" w:line="360" w:lineRule="auto"/>
        <w:jc w:val="both"/>
        <w:rPr>
          <w:rFonts w:ascii="Palatino Linotype" w:hAnsi="Palatino Linotype"/>
        </w:rPr>
      </w:pPr>
      <w:r w:rsidRPr="00BE0F3A">
        <w:rPr>
          <w:rFonts w:ascii="Palatino Linotype" w:hAnsi="Palatino Linotype"/>
        </w:rPr>
        <w:t>The legislator was required by law to: In line with a participatory criminal policy and the need for civil society participation in criminal policy and the fight against child abuse, it also addressed NGOs and NGOs active in the field of child rights and in addition to the Welfare Organization, it provided for them tasks and powers just like other countries (Such as giving them authority to track and report child abuse cases).</w:t>
      </w:r>
    </w:p>
    <w:p w:rsidR="00D903C6" w:rsidRPr="00BE0F3A" w:rsidRDefault="00D903C6" w:rsidP="00D903C6">
      <w:pPr>
        <w:spacing w:after="0" w:line="360" w:lineRule="auto"/>
        <w:jc w:val="both"/>
        <w:rPr>
          <w:rFonts w:ascii="Palatino Linotype" w:hAnsi="Palatino Linotype"/>
        </w:rPr>
      </w:pPr>
    </w:p>
    <w:p w:rsidR="00D903C6" w:rsidRPr="00BE0F3A" w:rsidRDefault="00D903C6" w:rsidP="00D903C6">
      <w:pPr>
        <w:spacing w:after="0" w:line="360" w:lineRule="auto"/>
        <w:jc w:val="both"/>
        <w:rPr>
          <w:rFonts w:ascii="Palatino Linotype" w:hAnsi="Palatino Linotype"/>
          <w:b/>
          <w:bCs/>
        </w:rPr>
      </w:pPr>
      <w:r w:rsidRPr="00BE0F3A">
        <w:rPr>
          <w:rFonts w:ascii="Palatino Linotype" w:hAnsi="Palatino Linotype"/>
          <w:b/>
          <w:bCs/>
        </w:rPr>
        <w:t>Ineffectiveness of the legislator from International Conventions on the Rights of the Child</w:t>
      </w:r>
    </w:p>
    <w:p w:rsidR="00D903C6" w:rsidRPr="00BE0F3A" w:rsidRDefault="00D903C6" w:rsidP="00D903C6">
      <w:pPr>
        <w:spacing w:after="0" w:line="360" w:lineRule="auto"/>
        <w:jc w:val="both"/>
        <w:rPr>
          <w:rFonts w:ascii="Palatino Linotype" w:hAnsi="Palatino Linotype"/>
        </w:rPr>
      </w:pPr>
      <w:r w:rsidRPr="00BE0F3A">
        <w:rPr>
          <w:rFonts w:ascii="Palatino Linotype" w:hAnsi="Palatino Linotype"/>
        </w:rPr>
        <w:t>In international agreements such as the Convention on the Rights of the Child and the Convention on the Rights of the Child, adopted worldwide in support of children's rights, much support is anticipated the legislator should have considered and included them in the adoption of the Protection of Children and Adolescents Act. These include the following:</w:t>
      </w:r>
    </w:p>
    <w:p w:rsidR="00D903C6" w:rsidRPr="00BE0F3A" w:rsidRDefault="00D903C6" w:rsidP="00D903C6">
      <w:pPr>
        <w:pStyle w:val="ListParagraph"/>
        <w:numPr>
          <w:ilvl w:val="0"/>
          <w:numId w:val="8"/>
        </w:numPr>
        <w:spacing w:line="360" w:lineRule="auto"/>
        <w:ind w:firstLine="0"/>
        <w:rPr>
          <w:rFonts w:ascii="Palatino Linotype" w:hAnsi="Palatino Linotype"/>
        </w:rPr>
      </w:pPr>
      <w:r w:rsidRPr="00BE0F3A">
        <w:rPr>
          <w:rFonts w:ascii="Palatino Linotype" w:hAnsi="Palatino Linotype"/>
        </w:rPr>
        <w:t>The right to freedom of opinion, including; freedom to seek, receives and impart information</w:t>
      </w:r>
    </w:p>
    <w:p w:rsidR="00D903C6" w:rsidRPr="00BE0F3A" w:rsidRDefault="00D903C6" w:rsidP="00D903C6">
      <w:pPr>
        <w:pStyle w:val="ListParagraph"/>
        <w:numPr>
          <w:ilvl w:val="0"/>
          <w:numId w:val="8"/>
        </w:numPr>
        <w:spacing w:line="360" w:lineRule="auto"/>
        <w:ind w:firstLine="0"/>
        <w:rPr>
          <w:rFonts w:ascii="Palatino Linotype" w:hAnsi="Palatino Linotype"/>
        </w:rPr>
      </w:pPr>
      <w:r w:rsidRPr="00BE0F3A">
        <w:rPr>
          <w:rFonts w:ascii="Palatino Linotype" w:hAnsi="Palatino Linotype"/>
        </w:rPr>
        <w:t>No interference with children's privacy or family affairs and their correspondence</w:t>
      </w:r>
    </w:p>
    <w:p w:rsidR="00D903C6" w:rsidRPr="00BE0F3A" w:rsidRDefault="00D903C6" w:rsidP="00D903C6">
      <w:pPr>
        <w:pStyle w:val="ListParagraph"/>
        <w:numPr>
          <w:ilvl w:val="0"/>
          <w:numId w:val="8"/>
        </w:numPr>
        <w:spacing w:line="360" w:lineRule="auto"/>
        <w:ind w:firstLine="0"/>
        <w:rPr>
          <w:rFonts w:ascii="Palatino Linotype" w:hAnsi="Palatino Linotype"/>
        </w:rPr>
      </w:pPr>
      <w:r w:rsidRPr="00BE0F3A">
        <w:rPr>
          <w:rFonts w:ascii="Palatino Linotype" w:hAnsi="Palatino Linotype"/>
        </w:rPr>
        <w:t>The rights of children with disabilities should be recognized and special care should be provided for them.</w:t>
      </w:r>
    </w:p>
    <w:p w:rsidR="00D903C6" w:rsidRPr="00BE0F3A" w:rsidRDefault="00D903C6" w:rsidP="00D903C6">
      <w:pPr>
        <w:pStyle w:val="ListParagraph"/>
        <w:numPr>
          <w:ilvl w:val="0"/>
          <w:numId w:val="8"/>
        </w:numPr>
        <w:spacing w:line="360" w:lineRule="auto"/>
        <w:ind w:firstLine="0"/>
        <w:rPr>
          <w:rFonts w:ascii="Palatino Linotype" w:hAnsi="Palatino Linotype"/>
        </w:rPr>
      </w:pPr>
      <w:r w:rsidRPr="00BE0F3A">
        <w:rPr>
          <w:rFonts w:ascii="Palatino Linotype" w:hAnsi="Palatino Linotype"/>
        </w:rPr>
        <w:t>Need to insure children</w:t>
      </w:r>
    </w:p>
    <w:p w:rsidR="00D903C6" w:rsidRPr="00BE0F3A" w:rsidRDefault="00D903C6" w:rsidP="00D903C6">
      <w:pPr>
        <w:pStyle w:val="ListParagraph"/>
        <w:numPr>
          <w:ilvl w:val="0"/>
          <w:numId w:val="8"/>
        </w:numPr>
        <w:spacing w:line="360" w:lineRule="auto"/>
        <w:ind w:firstLine="0"/>
        <w:rPr>
          <w:rFonts w:ascii="Palatino Linotype" w:hAnsi="Palatino Linotype"/>
        </w:rPr>
      </w:pPr>
      <w:r w:rsidRPr="00BE0F3A">
        <w:rPr>
          <w:rFonts w:ascii="Palatino Linotype" w:hAnsi="Palatino Linotype"/>
        </w:rPr>
        <w:t>Providing leisure and playground equipment suitable for children and...</w:t>
      </w:r>
    </w:p>
    <w:p w:rsidR="00D903C6" w:rsidRPr="00BE0F3A" w:rsidRDefault="00D903C6" w:rsidP="00D903C6">
      <w:pPr>
        <w:spacing w:after="0" w:line="360" w:lineRule="auto"/>
        <w:jc w:val="both"/>
        <w:rPr>
          <w:rFonts w:ascii="Palatino Linotype" w:hAnsi="Palatino Linotype"/>
          <w:b/>
          <w:bCs/>
        </w:rPr>
      </w:pPr>
      <w:r w:rsidRPr="00BE0F3A">
        <w:rPr>
          <w:rFonts w:ascii="Palatino Linotype" w:hAnsi="Palatino Linotype"/>
          <w:b/>
          <w:bCs/>
        </w:rPr>
        <w:t>Non-assignment of the right to file a complaint to the Welfare Organization</w:t>
      </w:r>
    </w:p>
    <w:p w:rsidR="00D903C6" w:rsidRPr="00BE0F3A" w:rsidRDefault="00D903C6" w:rsidP="00D903C6">
      <w:pPr>
        <w:spacing w:after="0" w:line="360" w:lineRule="auto"/>
        <w:jc w:val="both"/>
        <w:rPr>
          <w:rFonts w:ascii="Palatino Linotype" w:hAnsi="Palatino Linotype"/>
        </w:rPr>
      </w:pPr>
      <w:r w:rsidRPr="00BE0F3A">
        <w:rPr>
          <w:rFonts w:ascii="Palatino Linotype" w:hAnsi="Palatino Linotype"/>
        </w:rPr>
        <w:t xml:space="preserve">One of the cases provided for in Article 5 note was: "In addition to the relevant judicial authorities, the Welfare Organization also has the right to appeal to the courts of justice." That the Guardian Council has found this note contrary to Articles 57 and 156 of the Constitution and it has also stated that because the right to welfare requires that it be able to </w:t>
      </w:r>
      <w:r w:rsidRPr="00BE0F3A">
        <w:rPr>
          <w:rFonts w:ascii="Palatino Linotype" w:hAnsi="Palatino Linotype"/>
        </w:rPr>
        <w:lastRenderedPageBreak/>
        <w:t>consent, so this is contrary to religious law and is contrary to Articles 57 and 156 of the Constitution. In order to eliminate the objections of the Council of Guardians, the note was also removed by members of the commission, and delegates voted in favor of the removal. One of the reasons the bidders had a plan to bring this note was that the Welfare Organization, as the only institution most concerned with the problems and problems of children affected, delivering such a right can therefore be effective in following up child abuse and child protection. The objections of the Guardian Council were that because the assignment of such a right also required the consent of the organization, it was against the constitution and the Shari'a. Unfortunately, the MPs, instead of eliminating this objection, "getting the right to consent" removed the whole note.</w:t>
      </w:r>
    </w:p>
    <w:p w:rsidR="00D903C6" w:rsidRPr="00BE0F3A" w:rsidRDefault="00D903C6" w:rsidP="00D903C6">
      <w:pPr>
        <w:spacing w:after="0" w:line="360" w:lineRule="auto"/>
        <w:jc w:val="both"/>
        <w:rPr>
          <w:rFonts w:ascii="Palatino Linotype" w:hAnsi="Palatino Linotype"/>
        </w:rPr>
      </w:pPr>
    </w:p>
    <w:p w:rsidR="00D903C6" w:rsidRPr="00BE0F3A" w:rsidRDefault="00D903C6" w:rsidP="00D903C6">
      <w:pPr>
        <w:spacing w:after="0" w:line="360" w:lineRule="auto"/>
        <w:jc w:val="both"/>
        <w:rPr>
          <w:rFonts w:ascii="Palatino Linotype" w:hAnsi="Palatino Linotype"/>
          <w:b/>
          <w:bCs/>
        </w:rPr>
      </w:pPr>
      <w:r w:rsidRPr="00BE0F3A">
        <w:rPr>
          <w:rFonts w:ascii="Palatino Linotype" w:hAnsi="Palatino Linotype"/>
          <w:b/>
          <w:bCs/>
        </w:rPr>
        <w:t>Ignoring the necessity of establishing a child-specific criminal justice system</w:t>
      </w:r>
    </w:p>
    <w:p w:rsidR="00D903C6" w:rsidRPr="00BE0F3A" w:rsidRDefault="00D903C6" w:rsidP="00D903C6">
      <w:pPr>
        <w:spacing w:after="0" w:line="360" w:lineRule="auto"/>
        <w:jc w:val="both"/>
        <w:rPr>
          <w:rFonts w:ascii="Palatino Linotype" w:hAnsi="Palatino Linotype"/>
        </w:rPr>
      </w:pPr>
      <w:r w:rsidRPr="00BE0F3A">
        <w:rPr>
          <w:rFonts w:ascii="Palatino Linotype" w:hAnsi="Palatino Linotype"/>
        </w:rPr>
        <w:t>Just as the attitude toward child labor in the criminal justice system is different from that of adults, victimized children also need a differentiated view of the criminal process and this is due to the specific mental and psychological state of the child (Abbachi, 2001, p. 210). Therefore, it is necessary for the legislator to facilitate the process of informing the criminal justice system of child abuse (child abuse) by prescribing mechanisms in the first stage, in this way, children who have been victimized will enter the criminal process and the proceeding. In the later stages, with specific rules provided, at other stages of the proceedings, not only will children be re-exposed within the criminal process, rather, by accelerating differential investigations, protections and legal aid, and repairing the material and psychological damages inflicted on these particular victims, formulate and set up a system for the (special) criminal justice system for children (Zinnali, same, p. 22). But despite this, the discriminatory support for children who have been victimized in the criminal process, both before and after, has been neglected at the legislative level and even at the level of research and studies in the field of child criminal law.</w:t>
      </w:r>
    </w:p>
    <w:p w:rsidR="00D903C6" w:rsidRPr="00BE0F3A" w:rsidRDefault="00D903C6" w:rsidP="00D903C6">
      <w:pPr>
        <w:spacing w:after="0" w:line="360" w:lineRule="auto"/>
        <w:jc w:val="both"/>
        <w:rPr>
          <w:rFonts w:ascii="Palatino Linotype" w:hAnsi="Palatino Linotype"/>
        </w:rPr>
      </w:pPr>
    </w:p>
    <w:p w:rsidR="00D903C6" w:rsidRPr="00BE0F3A" w:rsidRDefault="00D903C6" w:rsidP="00D903C6">
      <w:pPr>
        <w:spacing w:after="0" w:line="360" w:lineRule="auto"/>
        <w:jc w:val="both"/>
        <w:rPr>
          <w:rFonts w:ascii="Palatino Linotype" w:hAnsi="Palatino Linotype"/>
          <w:b/>
          <w:bCs/>
        </w:rPr>
      </w:pPr>
      <w:r w:rsidRPr="00BE0F3A">
        <w:rPr>
          <w:rFonts w:ascii="Palatino Linotype" w:hAnsi="Palatino Linotype"/>
          <w:b/>
          <w:bCs/>
        </w:rPr>
        <w:t xml:space="preserve">Supporting Victimized Children in trial process </w:t>
      </w:r>
    </w:p>
    <w:p w:rsidR="00D903C6" w:rsidRPr="00BE0F3A" w:rsidRDefault="00D903C6" w:rsidP="00D903C6">
      <w:pPr>
        <w:spacing w:after="0" w:line="360" w:lineRule="auto"/>
        <w:jc w:val="both"/>
        <w:rPr>
          <w:rFonts w:ascii="Palatino Linotype" w:hAnsi="Palatino Linotype"/>
        </w:rPr>
      </w:pPr>
      <w:r w:rsidRPr="00BE0F3A">
        <w:rPr>
          <w:rFonts w:ascii="Palatino Linotype" w:hAnsi="Palatino Linotype"/>
        </w:rPr>
        <w:lastRenderedPageBreak/>
        <w:t>As summarized in previous discussions, various principles have been put forward to support child victims. From philosophical and ideological foundations to issues such as the value basis, the failure of governments, non-judicial settlement, and the reduction of child abuse by various experts. But as mentioned earlier, it seems that the most important basis for a child protection victimization plan, aside from its value and ideological dimensions, it has a very effective and valuable role in reducing child abuse. According to this view, even if the victim's child is involved in his or her victimization, it is reasonable to support him / her. Because, on the other hand, this protection and damages make him immune from the frequent victimization that results from his childhood, weakness, isolation, helplessness and victimization and, on the other hand, it prevents children from being exposed to criminality and their perpetration. Therefore, protecting victims of child abuse, in addition to its value dimensions, has an effective role to play in preventing crime, because it both prevents their secondary victimization and prevents adult offspring from becoming a criminal. Considering the basics of victim protection plan, it is attempted to present the most important practical child protection strategies at different stages, from the time of the crime to the end of the trial. Support for child victimization is generally in three stages:</w:t>
      </w:r>
    </w:p>
    <w:p w:rsidR="00D903C6" w:rsidRPr="00BE0F3A" w:rsidRDefault="00D903C6" w:rsidP="00D903C6">
      <w:pPr>
        <w:spacing w:after="0" w:line="360" w:lineRule="auto"/>
        <w:jc w:val="both"/>
        <w:rPr>
          <w:rFonts w:ascii="Palatino Linotype" w:hAnsi="Palatino Linotype"/>
        </w:rPr>
      </w:pPr>
    </w:p>
    <w:p w:rsidR="00D903C6" w:rsidRPr="00BE0F3A" w:rsidRDefault="00D903C6" w:rsidP="00D903C6">
      <w:pPr>
        <w:pStyle w:val="ListParagraph"/>
        <w:numPr>
          <w:ilvl w:val="0"/>
          <w:numId w:val="9"/>
        </w:numPr>
        <w:spacing w:line="360" w:lineRule="auto"/>
        <w:ind w:firstLine="0"/>
        <w:rPr>
          <w:rFonts w:ascii="Palatino Linotype" w:hAnsi="Palatino Linotype"/>
          <w:b/>
          <w:bCs/>
        </w:rPr>
      </w:pPr>
      <w:r w:rsidRPr="00BE0F3A">
        <w:rPr>
          <w:rFonts w:ascii="Palatino Linotype" w:hAnsi="Palatino Linotype"/>
          <w:b/>
          <w:bCs/>
        </w:rPr>
        <w:t>Supporting Victimized Children Immediately after the crime</w:t>
      </w:r>
    </w:p>
    <w:p w:rsidR="00D903C6" w:rsidRPr="00BE0F3A" w:rsidRDefault="00D903C6" w:rsidP="00D903C6">
      <w:pPr>
        <w:spacing w:after="0" w:line="360" w:lineRule="auto"/>
        <w:jc w:val="both"/>
        <w:rPr>
          <w:rFonts w:ascii="Palatino Linotype" w:hAnsi="Palatino Linotype"/>
        </w:rPr>
      </w:pPr>
      <w:r w:rsidRPr="00BE0F3A">
        <w:rPr>
          <w:rFonts w:ascii="Palatino Linotype" w:hAnsi="Palatino Linotype"/>
        </w:rPr>
        <w:t xml:space="preserve">The victim is a weak human being who, at an early age, has made him a vulnerable human being and thus a potential victim. It is natural that such a child has many needs, so what's important is identifying needs and providing them based on rational priorities. It seems that the first need for children, who have been victims of crime against them, is the effort to alleviate and alleviate their physical and psychological harm. The most important of these efforts can be seen as medical assistance and the relief of mental illness. The most important of these efforts can be seen as medical assistance and the relief of mental illness. Providing emergency treatment for pediatric needy children, it takes precedence over their other needs. High human principles require that the basic needs of a child be treated, even if he or she is guilty of a crime, as soon as possible. Also, the mental state of the offspring affected by the crime is unbalanced and often depressed, anxious or upset. These situations vary </w:t>
      </w:r>
      <w:r w:rsidRPr="00BE0F3A">
        <w:rPr>
          <w:rFonts w:ascii="Palatino Linotype" w:hAnsi="Palatino Linotype"/>
        </w:rPr>
        <w:lastRenderedPageBreak/>
        <w:t>according to the type of victimization they are seeing (Beigi, p. 31). For example, because children of victims of moral crime have become spiritually defeated and typically suffer severe isolation and sadness, they may find themselves treating their pain as suicidal or in hiding from society. On the contrary, children who are victims of crimes such as abuses, slander or slander often seek to defend themselves and even take revenge after puberty. The purpose of these protections is to prevent them from becoming adults. In most cases, the absence of such care, in addition to their re-visitation, is also effective in committing crime on their part.</w:t>
      </w:r>
    </w:p>
    <w:p w:rsidR="00D903C6" w:rsidRPr="00BE0F3A" w:rsidRDefault="00D903C6" w:rsidP="00D903C6">
      <w:pPr>
        <w:spacing w:after="0" w:line="360" w:lineRule="auto"/>
        <w:jc w:val="both"/>
        <w:rPr>
          <w:rFonts w:ascii="Palatino Linotype" w:hAnsi="Palatino Linotype"/>
        </w:rPr>
      </w:pPr>
    </w:p>
    <w:p w:rsidR="00D903C6" w:rsidRPr="00BE0F3A" w:rsidRDefault="00D903C6" w:rsidP="00D903C6">
      <w:pPr>
        <w:pStyle w:val="ListParagraph"/>
        <w:numPr>
          <w:ilvl w:val="0"/>
          <w:numId w:val="9"/>
        </w:numPr>
        <w:spacing w:line="360" w:lineRule="auto"/>
        <w:ind w:firstLine="0"/>
        <w:rPr>
          <w:rFonts w:ascii="Palatino Linotype" w:hAnsi="Palatino Linotype"/>
          <w:b/>
          <w:bCs/>
        </w:rPr>
      </w:pPr>
      <w:r w:rsidRPr="00BE0F3A">
        <w:rPr>
          <w:rFonts w:ascii="Palatino Linotype" w:hAnsi="Palatino Linotype"/>
          <w:b/>
          <w:bCs/>
        </w:rPr>
        <w:t xml:space="preserve">Supporting Victimized Children in trial step </w:t>
      </w:r>
    </w:p>
    <w:p w:rsidR="00D903C6" w:rsidRPr="00BE0F3A" w:rsidRDefault="00D903C6" w:rsidP="00D903C6">
      <w:pPr>
        <w:spacing w:after="0" w:line="360" w:lineRule="auto"/>
        <w:jc w:val="both"/>
        <w:rPr>
          <w:rFonts w:ascii="Palatino Linotype" w:hAnsi="Palatino Linotype"/>
        </w:rPr>
      </w:pPr>
      <w:r w:rsidRPr="00BE0F3A">
        <w:rPr>
          <w:rFonts w:ascii="Palatino Linotype" w:hAnsi="Palatino Linotype"/>
        </w:rPr>
        <w:t>In principle, the victim is a human child whose rights have been violated by adults. Re-enforcing such a right and defending it often requires litigation and because most of the time the crime is committed against them by their parents and other legal guardians, they refuse to go to court for their own benefit and thus play an effective role in the recurrence of child victimization. Coming to the effect of not affecting the statements of the children of the victim, as a result of the fact that they are children and talk about emotions, aggravates the problem. Therefore, support for victimized children has several effects at the hearing that is for the sake of brevity dimensions such as: understanding the rights of children who have been victimized and trusting that their statements and complaints will be followed up or the use of a guardian to bring a lawsuit, especially in cases where the parents or other legal guardians have committed a crime against them.</w:t>
      </w:r>
    </w:p>
    <w:p w:rsidR="00D903C6" w:rsidRPr="00BE0F3A" w:rsidRDefault="00D903C6" w:rsidP="00D903C6">
      <w:pPr>
        <w:spacing w:after="0" w:line="360" w:lineRule="auto"/>
        <w:jc w:val="both"/>
        <w:rPr>
          <w:rFonts w:ascii="Palatino Linotype" w:hAnsi="Palatino Linotype"/>
        </w:rPr>
      </w:pPr>
    </w:p>
    <w:p w:rsidR="00D903C6" w:rsidRPr="00BE0F3A" w:rsidRDefault="00D903C6" w:rsidP="00D903C6">
      <w:pPr>
        <w:pStyle w:val="ListParagraph"/>
        <w:numPr>
          <w:ilvl w:val="0"/>
          <w:numId w:val="9"/>
        </w:numPr>
        <w:spacing w:line="360" w:lineRule="auto"/>
        <w:ind w:firstLine="0"/>
        <w:rPr>
          <w:rFonts w:ascii="Palatino Linotype" w:hAnsi="Palatino Linotype"/>
          <w:b/>
          <w:bCs/>
        </w:rPr>
      </w:pPr>
      <w:r w:rsidRPr="00BE0F3A">
        <w:rPr>
          <w:rFonts w:ascii="Palatino Linotype" w:hAnsi="Palatino Linotype"/>
          <w:b/>
          <w:bCs/>
        </w:rPr>
        <w:t>Supporting Victimized Children At the step of providing losses</w:t>
      </w:r>
    </w:p>
    <w:p w:rsidR="00D903C6" w:rsidRPr="00BE0F3A" w:rsidRDefault="00D903C6" w:rsidP="00D903C6">
      <w:pPr>
        <w:spacing w:after="0" w:line="360" w:lineRule="auto"/>
        <w:jc w:val="both"/>
        <w:rPr>
          <w:rFonts w:ascii="Palatino Linotype" w:hAnsi="Palatino Linotype"/>
        </w:rPr>
      </w:pPr>
      <w:r w:rsidRPr="00BE0F3A">
        <w:rPr>
          <w:rFonts w:ascii="Palatino Linotype" w:hAnsi="Palatino Linotype"/>
        </w:rPr>
        <w:t xml:space="preserve">Victimized children are of the "spiritual" type, but in many cases victims of direct and indirect child abuse suffer material damages. Losses to victimized children include a series of damages that they inflict on them when their crime is committed until their effects are partially resolved. Naturally, the costs of medical treatment will be added to the damage directly caused by the crime that the first and foremost person to respect for compensation is the adult offender. Of course, in some cases, the adult is not identified as a perpetrator, but </w:t>
      </w:r>
      <w:r w:rsidRPr="00BE0F3A">
        <w:rPr>
          <w:rFonts w:ascii="Palatino Linotype" w:hAnsi="Palatino Linotype"/>
        </w:rPr>
        <w:lastRenderedPageBreak/>
        <w:t>the child's peers commit the crime or, in some cases, the adult offender is hiding or hiding and is not allowed to access him long after the crime has occurred or even if the criminal is arrested, he or she is financially incapable of compensation. In these cases, the most important alternative sources are government, charity and insurance, these alternatives have been suggested by international conventions to compensate for child harm (Baseri, 2009, 128). In our country, unfortunately, these alternative sources have been considered in scattered formats. It is therefore imperative that their operation be organized and organized.</w:t>
      </w:r>
    </w:p>
    <w:p w:rsidR="00D903C6" w:rsidRPr="00BE0F3A" w:rsidRDefault="00D903C6" w:rsidP="00D903C6">
      <w:pPr>
        <w:spacing w:after="0" w:line="360" w:lineRule="auto"/>
        <w:jc w:val="both"/>
        <w:rPr>
          <w:rFonts w:ascii="Palatino Linotype" w:hAnsi="Palatino Linotype"/>
        </w:rPr>
      </w:pPr>
    </w:p>
    <w:p w:rsidR="00D903C6" w:rsidRPr="00BE0F3A" w:rsidRDefault="00D903C6" w:rsidP="00D903C6">
      <w:pPr>
        <w:spacing w:after="0" w:line="360" w:lineRule="auto"/>
        <w:jc w:val="both"/>
        <w:rPr>
          <w:rFonts w:ascii="Palatino Linotype" w:hAnsi="Palatino Linotype"/>
          <w:b/>
          <w:bCs/>
        </w:rPr>
      </w:pPr>
      <w:r w:rsidRPr="00BE0F3A">
        <w:rPr>
          <w:rFonts w:ascii="Palatino Linotype" w:hAnsi="Palatino Linotype"/>
          <w:b/>
          <w:bCs/>
        </w:rPr>
        <w:t>Conclusion</w:t>
      </w:r>
    </w:p>
    <w:p w:rsidR="00D903C6" w:rsidRPr="00BE0F3A" w:rsidRDefault="00D903C6" w:rsidP="00D903C6">
      <w:pPr>
        <w:spacing w:after="0" w:line="360" w:lineRule="auto"/>
        <w:jc w:val="both"/>
        <w:rPr>
          <w:rFonts w:ascii="Palatino Linotype" w:hAnsi="Palatino Linotype"/>
        </w:rPr>
      </w:pPr>
      <w:r w:rsidRPr="00BE0F3A">
        <w:rPr>
          <w:rFonts w:ascii="Palatino Linotype" w:hAnsi="Palatino Linotype"/>
        </w:rPr>
        <w:t xml:space="preserve">Children are referred to as "potentially vulnerable people" or "people with a prior victimization" or "potential victims" because of their physically, mentally, and socially vulnerable status and position. Because of this, they are more vulnerable than adults lawmakers have made special differential protections to prevent them from being victimized, both within the family and in the community. What our legislator seems to have largely overlooked. There is no doubt that such vulnerable victim's need more help and support. In addition to the support that can be exercised through civil society and civil society organizations, most notable are the mechanisms in place for substantive criminal law for special protection of children. Thus, criminal law uses its own mechanisms, namely the specific criminalization mechanism for certain behaviors and the intensification of the punishment of criminals who select children as their victims, it discriminates against children in order to reduce their vulnerability. It seems that the Child and Adolescent Protection Act was also adopted for this purpose, however, the mention of some of the provisions and provisions of this regulation made the above-mentioned law completely obsolete from its original purposes and unable to fulfill them. Of course, this law has created innovations in the area of children's rights, including: Incorporate the term child abuse in our legal literature, or set the age of eighteen for support as well as making reporting tasks compulsory for community members and to introduce some new criminals in this field that are all very commendable but there are a number of criticisms to the law that were raised during the debate. Examples are the exclusion of parents from the rule of law, the </w:t>
      </w:r>
      <w:r w:rsidRPr="00BE0F3A">
        <w:rPr>
          <w:rFonts w:ascii="Palatino Linotype" w:hAnsi="Palatino Linotype"/>
        </w:rPr>
        <w:lastRenderedPageBreak/>
        <w:t>incompatibility of the law, disregard for the Convention, and so on. But in general, the law is a major innovation, both in the process of drafting it and in the content of its drafting in parliament and in terms of its content, in general in Iranian penal law and in the criminal law of children in particular. Of course, the legislator should take the criticism into consideration when reviewing the law and correct the violations.</w:t>
      </w:r>
    </w:p>
    <w:p w:rsidR="00D903C6" w:rsidRPr="00BE0F3A" w:rsidRDefault="00D903C6" w:rsidP="00D903C6">
      <w:pPr>
        <w:spacing w:after="0" w:line="360" w:lineRule="auto"/>
        <w:jc w:val="both"/>
        <w:rPr>
          <w:rFonts w:ascii="Palatino Linotype" w:hAnsi="Palatino Linotype"/>
        </w:rPr>
      </w:pPr>
    </w:p>
    <w:p w:rsidR="00D903C6" w:rsidRPr="00BE0F3A" w:rsidRDefault="00D903C6" w:rsidP="00D903C6">
      <w:pPr>
        <w:spacing w:after="0" w:line="360" w:lineRule="auto"/>
        <w:jc w:val="both"/>
        <w:rPr>
          <w:rFonts w:ascii="Palatino Linotype" w:hAnsi="Palatino Linotype"/>
          <w:b/>
          <w:bCs/>
        </w:rPr>
      </w:pPr>
      <w:r w:rsidRPr="00BE0F3A">
        <w:rPr>
          <w:rFonts w:ascii="Palatino Linotype" w:hAnsi="Palatino Linotype"/>
          <w:b/>
          <w:bCs/>
        </w:rPr>
        <w:t>References</w:t>
      </w:r>
    </w:p>
    <w:p w:rsidR="00D903C6" w:rsidRPr="00BE0F3A" w:rsidRDefault="00D903C6" w:rsidP="00D903C6">
      <w:pPr>
        <w:pStyle w:val="ListParagraph"/>
        <w:numPr>
          <w:ilvl w:val="0"/>
          <w:numId w:val="10"/>
        </w:numPr>
        <w:spacing w:line="360" w:lineRule="auto"/>
        <w:ind w:firstLine="0"/>
        <w:rPr>
          <w:rFonts w:ascii="Palatino Linotype" w:hAnsi="Palatino Linotype"/>
        </w:rPr>
      </w:pPr>
      <w:r w:rsidRPr="00BE0F3A">
        <w:rPr>
          <w:rFonts w:ascii="Palatino Linotype" w:hAnsi="Palatino Linotype"/>
        </w:rPr>
        <w:t>Abachi, Maryam. (2001). Investigation Of Legal Gaps In The Prevention Of Child Abuse And Delinquency, Deputy Of Education And Judicial Research.</w:t>
      </w:r>
    </w:p>
    <w:p w:rsidR="00D903C6" w:rsidRPr="00BE0F3A" w:rsidRDefault="00D903C6" w:rsidP="00D903C6">
      <w:pPr>
        <w:pStyle w:val="ListParagraph"/>
        <w:numPr>
          <w:ilvl w:val="0"/>
          <w:numId w:val="10"/>
        </w:numPr>
        <w:spacing w:line="360" w:lineRule="auto"/>
        <w:ind w:firstLine="0"/>
        <w:rPr>
          <w:rFonts w:ascii="Palatino Linotype" w:hAnsi="Palatino Linotype"/>
        </w:rPr>
      </w:pPr>
      <w:r w:rsidRPr="00BE0F3A">
        <w:rPr>
          <w:rFonts w:ascii="Palatino Linotype" w:hAnsi="Palatino Linotype"/>
        </w:rPr>
        <w:t>Abbas Abadi Mills, Marzieh. (2008). Comparative Study Of The Convention On The Rights Of The Child With The Convention On The Rights Of The Child In Islam, Msc Thesis, University Of Tehran.</w:t>
      </w:r>
    </w:p>
    <w:p w:rsidR="00D903C6" w:rsidRPr="00BE0F3A" w:rsidRDefault="00D903C6" w:rsidP="00D903C6">
      <w:pPr>
        <w:pStyle w:val="ListParagraph"/>
        <w:numPr>
          <w:ilvl w:val="0"/>
          <w:numId w:val="10"/>
        </w:numPr>
        <w:spacing w:line="360" w:lineRule="auto"/>
        <w:ind w:firstLine="0"/>
        <w:rPr>
          <w:rFonts w:ascii="Palatino Linotype" w:hAnsi="Palatino Linotype"/>
        </w:rPr>
      </w:pPr>
      <w:r w:rsidRPr="00BE0F3A">
        <w:rPr>
          <w:rFonts w:ascii="Palatino Linotype" w:hAnsi="Palatino Linotype"/>
        </w:rPr>
        <w:t>Abroushan, Hooshang. (2008). Child Abuse And The Convention On The Rights Of The Child, Publication Of Thoughts, First Edition.</w:t>
      </w:r>
    </w:p>
    <w:p w:rsidR="00D903C6" w:rsidRPr="00BE0F3A" w:rsidRDefault="00D903C6" w:rsidP="00D903C6">
      <w:pPr>
        <w:pStyle w:val="ListParagraph"/>
        <w:numPr>
          <w:ilvl w:val="0"/>
          <w:numId w:val="10"/>
        </w:numPr>
        <w:spacing w:line="360" w:lineRule="auto"/>
        <w:ind w:firstLine="0"/>
        <w:rPr>
          <w:rFonts w:ascii="Palatino Linotype" w:hAnsi="Palatino Linotype"/>
        </w:rPr>
      </w:pPr>
      <w:r w:rsidRPr="00BE0F3A">
        <w:rPr>
          <w:rFonts w:ascii="Palatino Linotype" w:hAnsi="Palatino Linotype"/>
        </w:rPr>
        <w:t>Afrooz, Gholamali. (2005). Reopening A Case: Why He Was Dead ?, Tarbiat Publishing, First Edition.</w:t>
      </w:r>
    </w:p>
    <w:p w:rsidR="00D903C6" w:rsidRPr="00BE0F3A" w:rsidRDefault="00D903C6" w:rsidP="00D903C6">
      <w:pPr>
        <w:pStyle w:val="ListParagraph"/>
        <w:numPr>
          <w:ilvl w:val="0"/>
          <w:numId w:val="10"/>
        </w:numPr>
        <w:spacing w:line="360" w:lineRule="auto"/>
        <w:ind w:firstLine="0"/>
        <w:rPr>
          <w:rFonts w:ascii="Palatino Linotype" w:hAnsi="Palatino Linotype"/>
        </w:rPr>
      </w:pPr>
      <w:r w:rsidRPr="00BE0F3A">
        <w:rPr>
          <w:rFonts w:ascii="Palatino Linotype" w:hAnsi="Palatino Linotype"/>
        </w:rPr>
        <w:t>Akbari, Farnaz. (2000). An Introduction To Laws On Children, Law Journal Of Justice, No. 31.</w:t>
      </w:r>
    </w:p>
    <w:p w:rsidR="00D903C6" w:rsidRPr="00BE0F3A" w:rsidRDefault="00D903C6" w:rsidP="00D903C6">
      <w:pPr>
        <w:pStyle w:val="ListParagraph"/>
        <w:numPr>
          <w:ilvl w:val="0"/>
          <w:numId w:val="10"/>
        </w:numPr>
        <w:spacing w:line="360" w:lineRule="auto"/>
        <w:ind w:firstLine="0"/>
        <w:rPr>
          <w:rFonts w:ascii="Palatino Linotype" w:hAnsi="Palatino Linotype"/>
        </w:rPr>
      </w:pPr>
      <w:r w:rsidRPr="00BE0F3A">
        <w:rPr>
          <w:rFonts w:ascii="Palatino Linotype" w:hAnsi="Palatino Linotype"/>
        </w:rPr>
        <w:t>Baseri, Ali Akbar. (2009). Juvenile Justice Policy, Khorsandi Publications, First Edition.</w:t>
      </w:r>
    </w:p>
    <w:p w:rsidR="00D903C6" w:rsidRPr="00BE0F3A" w:rsidRDefault="00D903C6" w:rsidP="00D903C6">
      <w:pPr>
        <w:pStyle w:val="ListParagraph"/>
        <w:numPr>
          <w:ilvl w:val="0"/>
          <w:numId w:val="10"/>
        </w:numPr>
        <w:spacing w:line="360" w:lineRule="auto"/>
        <w:ind w:firstLine="0"/>
        <w:rPr>
          <w:rFonts w:ascii="Palatino Linotype" w:hAnsi="Palatino Linotype"/>
        </w:rPr>
      </w:pPr>
      <w:r w:rsidRPr="00BE0F3A">
        <w:rPr>
          <w:rFonts w:ascii="Palatino Linotype" w:hAnsi="Palatino Linotype"/>
        </w:rPr>
        <w:t>Beigi, Jamal. (2005). Child Abuse In Iranian Law, Publication Of The Case, First Edition.</w:t>
      </w:r>
    </w:p>
    <w:p w:rsidR="00D903C6" w:rsidRPr="00BE0F3A" w:rsidRDefault="00D903C6" w:rsidP="00D903C6">
      <w:pPr>
        <w:pStyle w:val="ListParagraph"/>
        <w:numPr>
          <w:ilvl w:val="0"/>
          <w:numId w:val="10"/>
        </w:numPr>
        <w:spacing w:line="360" w:lineRule="auto"/>
        <w:ind w:firstLine="0"/>
        <w:rPr>
          <w:rFonts w:ascii="Palatino Linotype" w:hAnsi="Palatino Linotype"/>
        </w:rPr>
      </w:pPr>
      <w:r w:rsidRPr="00BE0F3A">
        <w:rPr>
          <w:rFonts w:ascii="Palatino Linotype" w:hAnsi="Palatino Linotype"/>
        </w:rPr>
        <w:t>Clarkson, Cmv. (1992). Analysis Of The Principles Of Criminal Law, Translated By Hossein Mirmohammad Sadeghi, Journal Of Academic Jihad.</w:t>
      </w:r>
    </w:p>
    <w:p w:rsidR="00D903C6" w:rsidRPr="00BE0F3A" w:rsidRDefault="00D903C6" w:rsidP="00D903C6">
      <w:pPr>
        <w:pStyle w:val="ListParagraph"/>
        <w:numPr>
          <w:ilvl w:val="0"/>
          <w:numId w:val="10"/>
        </w:numPr>
        <w:spacing w:line="360" w:lineRule="auto"/>
        <w:ind w:firstLine="0"/>
        <w:rPr>
          <w:rFonts w:ascii="Palatino Linotype" w:hAnsi="Palatino Linotype"/>
        </w:rPr>
      </w:pPr>
      <w:r w:rsidRPr="00BE0F3A">
        <w:rPr>
          <w:rFonts w:ascii="Palatino Linotype" w:hAnsi="Palatino Linotype"/>
        </w:rPr>
        <w:t>Habibzadeh, Mohammad Jafar-Rooyin Tan, Mohammad Bagher. (2006). An Income On Criminal Protection Of Victimized Children In Iranian Law, Legal Journal, Volume 2, Number 1.</w:t>
      </w:r>
    </w:p>
    <w:p w:rsidR="00D903C6" w:rsidRPr="00BE0F3A" w:rsidRDefault="00D903C6" w:rsidP="00D903C6">
      <w:pPr>
        <w:pStyle w:val="ListParagraph"/>
        <w:numPr>
          <w:ilvl w:val="0"/>
          <w:numId w:val="10"/>
        </w:numPr>
        <w:spacing w:line="360" w:lineRule="auto"/>
        <w:ind w:firstLine="0"/>
        <w:rPr>
          <w:rFonts w:ascii="Palatino Linotype" w:hAnsi="Palatino Linotype"/>
        </w:rPr>
      </w:pPr>
      <w:r w:rsidRPr="00BE0F3A">
        <w:rPr>
          <w:rFonts w:ascii="Palatino Linotype" w:hAnsi="Palatino Linotype"/>
        </w:rPr>
        <w:t>Katoozian, Nasser. (1999). Civil Law In The Present Legal Order, Justice Publishing, Third Edition.</w:t>
      </w:r>
    </w:p>
    <w:p w:rsidR="00D903C6" w:rsidRPr="00BE0F3A" w:rsidRDefault="00D903C6" w:rsidP="00D903C6">
      <w:pPr>
        <w:pStyle w:val="ListParagraph"/>
        <w:numPr>
          <w:ilvl w:val="0"/>
          <w:numId w:val="10"/>
        </w:numPr>
        <w:spacing w:line="360" w:lineRule="auto"/>
        <w:ind w:firstLine="0"/>
        <w:rPr>
          <w:rFonts w:ascii="Palatino Linotype" w:hAnsi="Palatino Linotype"/>
        </w:rPr>
      </w:pPr>
      <w:r w:rsidRPr="00BE0F3A">
        <w:rPr>
          <w:rFonts w:ascii="Palatino Linotype" w:hAnsi="Palatino Linotype"/>
        </w:rPr>
        <w:lastRenderedPageBreak/>
        <w:t>Khadijah, Mohammadi. (2005). Child Protection In Iranian Criminal Justice Policy, Msc Thesis, Mofid University Of Qom.</w:t>
      </w:r>
    </w:p>
    <w:p w:rsidR="00D903C6" w:rsidRPr="00BE0F3A" w:rsidRDefault="00D903C6" w:rsidP="00D903C6">
      <w:pPr>
        <w:pStyle w:val="ListParagraph"/>
        <w:numPr>
          <w:ilvl w:val="0"/>
          <w:numId w:val="10"/>
        </w:numPr>
        <w:spacing w:line="360" w:lineRule="auto"/>
        <w:ind w:firstLine="0"/>
        <w:rPr>
          <w:rFonts w:ascii="Palatino Linotype" w:hAnsi="Palatino Linotype"/>
        </w:rPr>
      </w:pPr>
      <w:r w:rsidRPr="00BE0F3A">
        <w:rPr>
          <w:rFonts w:ascii="Palatino Linotype" w:hAnsi="Palatino Linotype"/>
        </w:rPr>
        <w:t>Mehrpour, Hussein. (1998). International Human Rights System, Information Publication, First Edition.</w:t>
      </w:r>
    </w:p>
    <w:p w:rsidR="00D903C6" w:rsidRPr="00BE0F3A" w:rsidRDefault="00D903C6" w:rsidP="00D903C6">
      <w:pPr>
        <w:pStyle w:val="ListParagraph"/>
        <w:numPr>
          <w:ilvl w:val="0"/>
          <w:numId w:val="10"/>
        </w:numPr>
        <w:spacing w:line="360" w:lineRule="auto"/>
        <w:ind w:firstLine="0"/>
        <w:rPr>
          <w:rFonts w:ascii="Palatino Linotype" w:hAnsi="Palatino Linotype"/>
        </w:rPr>
      </w:pPr>
      <w:r w:rsidRPr="00BE0F3A">
        <w:rPr>
          <w:rFonts w:ascii="Palatino Linotype" w:hAnsi="Palatino Linotype"/>
        </w:rPr>
        <w:t>Mohseni, Morteza. (1997). Public Penal Law, Vol. 3, Knowledge Treasure Publishing, First Edition.</w:t>
      </w:r>
    </w:p>
    <w:p w:rsidR="00D903C6" w:rsidRPr="00BE0F3A" w:rsidRDefault="00D903C6" w:rsidP="00D903C6">
      <w:pPr>
        <w:pStyle w:val="ListParagraph"/>
        <w:numPr>
          <w:ilvl w:val="0"/>
          <w:numId w:val="10"/>
        </w:numPr>
        <w:spacing w:line="360" w:lineRule="auto"/>
        <w:ind w:firstLine="0"/>
        <w:rPr>
          <w:rFonts w:ascii="Palatino Linotype" w:hAnsi="Palatino Linotype"/>
        </w:rPr>
      </w:pPr>
      <w:r w:rsidRPr="00BE0F3A">
        <w:rPr>
          <w:rFonts w:ascii="Palatino Linotype" w:hAnsi="Palatino Linotype"/>
        </w:rPr>
        <w:t>Naghati, Abdolali. (2008). Criminal Protection Policy For Victims, Journal Of Qom Higher Education Complex, No. 4.</w:t>
      </w:r>
    </w:p>
    <w:p w:rsidR="00D903C6" w:rsidRPr="00BE0F3A" w:rsidRDefault="00D903C6" w:rsidP="00D903C6">
      <w:pPr>
        <w:pStyle w:val="ListParagraph"/>
        <w:numPr>
          <w:ilvl w:val="0"/>
          <w:numId w:val="10"/>
        </w:numPr>
        <w:spacing w:line="360" w:lineRule="auto"/>
        <w:ind w:firstLine="0"/>
        <w:rPr>
          <w:rFonts w:ascii="Palatino Linotype" w:hAnsi="Palatino Linotype"/>
        </w:rPr>
      </w:pPr>
      <w:r w:rsidRPr="00BE0F3A">
        <w:rPr>
          <w:rFonts w:ascii="Palatino Linotype" w:hAnsi="Palatino Linotype"/>
        </w:rPr>
        <w:t>Pourkhermani, Babak. (2004). A Look At The Convention On The Rights Of The Child, Rogue Andisheh Journal, No. 38.</w:t>
      </w:r>
    </w:p>
    <w:p w:rsidR="00D903C6" w:rsidRPr="00BE0F3A" w:rsidRDefault="00D903C6" w:rsidP="00D903C6">
      <w:pPr>
        <w:pStyle w:val="ListParagraph"/>
        <w:numPr>
          <w:ilvl w:val="0"/>
          <w:numId w:val="10"/>
        </w:numPr>
        <w:spacing w:line="360" w:lineRule="auto"/>
        <w:ind w:firstLine="0"/>
        <w:rPr>
          <w:rFonts w:ascii="Palatino Linotype" w:hAnsi="Palatino Linotype"/>
        </w:rPr>
      </w:pPr>
      <w:r w:rsidRPr="00BE0F3A">
        <w:rPr>
          <w:rFonts w:ascii="Palatino Linotype" w:hAnsi="Palatino Linotype"/>
        </w:rPr>
        <w:t>Zeinali, Hamzeh. (2003). The Innovations Of The Law On Protection Of Children And Youth And Its Challenges, Social Welfare Quarterly, No. 7.</w:t>
      </w:r>
    </w:p>
    <w:p w:rsidR="00D903C6" w:rsidRPr="00BE0F3A" w:rsidRDefault="00D903C6" w:rsidP="00D903C6">
      <w:pPr>
        <w:pStyle w:val="ListParagraph"/>
        <w:numPr>
          <w:ilvl w:val="0"/>
          <w:numId w:val="10"/>
        </w:numPr>
        <w:spacing w:line="360" w:lineRule="auto"/>
        <w:ind w:firstLine="0"/>
        <w:rPr>
          <w:rFonts w:ascii="Palatino Linotype" w:hAnsi="Palatino Linotype"/>
        </w:rPr>
      </w:pPr>
      <w:r w:rsidRPr="00BE0F3A">
        <w:rPr>
          <w:rFonts w:ascii="Palatino Linotype" w:hAnsi="Palatino Linotype"/>
        </w:rPr>
        <w:t>Zinaali, Hamzeh. (2003). The Law On The Protection Of Children And Adolescents And Oppositions In It, Social Welfare Quarterly, Vol. 9, No. 9.</w:t>
      </w:r>
    </w:p>
    <w:p w:rsidR="00E4533D" w:rsidRPr="00AF655B" w:rsidRDefault="00E4533D" w:rsidP="00D903C6">
      <w:pPr>
        <w:spacing w:after="0" w:line="360" w:lineRule="auto"/>
        <w:jc w:val="both"/>
        <w:rPr>
          <w:rFonts w:ascii="Palatino Linotype" w:hAnsi="Palatino Linotype"/>
        </w:rPr>
      </w:pPr>
    </w:p>
    <w:sectPr w:rsidR="00E4533D" w:rsidRPr="00AF655B" w:rsidSect="00F43D3E">
      <w:headerReference w:type="default" r:id="rId8"/>
      <w:pgSz w:w="11906" w:h="16838"/>
      <w:pgMar w:top="241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251D" w:rsidRDefault="00BC251D" w:rsidP="001B28D3">
      <w:pPr>
        <w:spacing w:after="0" w:line="240" w:lineRule="auto"/>
      </w:pPr>
      <w:r>
        <w:separator/>
      </w:r>
    </w:p>
  </w:endnote>
  <w:endnote w:type="continuationSeparator" w:id="0">
    <w:p w:rsidR="00BC251D" w:rsidRDefault="00BC251D" w:rsidP="001B28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00022FF" w:usb1="C000205B" w:usb2="00000009" w:usb3="00000000" w:csb0="000001DF" w:csb1="00000000"/>
  </w:font>
  <w:font w:name="Palatino Linotype">
    <w:panose1 w:val="02040502050505030304"/>
    <w:charset w:val="00"/>
    <w:family w:val="roman"/>
    <w:pitch w:val="variable"/>
    <w:sig w:usb0="E0000387" w:usb1="40000013"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251D" w:rsidRDefault="00BC251D" w:rsidP="001B28D3">
      <w:pPr>
        <w:spacing w:after="0" w:line="240" w:lineRule="auto"/>
      </w:pPr>
      <w:r>
        <w:separator/>
      </w:r>
    </w:p>
  </w:footnote>
  <w:footnote w:type="continuationSeparator" w:id="0">
    <w:p w:rsidR="00BC251D" w:rsidRDefault="00BC251D" w:rsidP="001B28D3">
      <w:pPr>
        <w:spacing w:after="0" w:line="240" w:lineRule="auto"/>
      </w:pPr>
      <w:r>
        <w:continuationSeparator/>
      </w:r>
    </w:p>
  </w:footnote>
  <w:footnote w:id="1">
    <w:p w:rsidR="004872B9" w:rsidRPr="004872B9" w:rsidRDefault="004872B9" w:rsidP="004872B9">
      <w:pPr>
        <w:spacing w:after="0" w:line="240" w:lineRule="auto"/>
        <w:jc w:val="both"/>
        <w:rPr>
          <w:rFonts w:asciiTheme="majorBidi" w:hAnsiTheme="majorBidi" w:cstheme="majorBidi"/>
          <w:sz w:val="20"/>
          <w:szCs w:val="20"/>
          <w:lang w:val="en-US"/>
        </w:rPr>
      </w:pPr>
      <w:r w:rsidRPr="004872B9">
        <w:rPr>
          <w:rStyle w:val="FootnoteReference"/>
          <w:rFonts w:asciiTheme="majorBidi" w:hAnsiTheme="majorBidi" w:cstheme="majorBidi"/>
          <w:sz w:val="20"/>
          <w:szCs w:val="20"/>
        </w:rPr>
        <w:footnoteRef/>
      </w:r>
      <w:r w:rsidRPr="004872B9">
        <w:rPr>
          <w:rFonts w:asciiTheme="majorBidi" w:hAnsiTheme="majorBidi" w:cstheme="majorBidi"/>
          <w:sz w:val="20"/>
          <w:szCs w:val="20"/>
          <w:rtl/>
        </w:rPr>
        <w:t xml:space="preserve"> </w:t>
      </w:r>
      <w:r w:rsidRPr="004872B9">
        <w:rPr>
          <w:rFonts w:asciiTheme="majorBidi" w:hAnsiTheme="majorBidi" w:cstheme="majorBidi"/>
          <w:sz w:val="20"/>
          <w:szCs w:val="20"/>
        </w:rPr>
        <w:t xml:space="preserve">Assistant Professor, Malayer University, Malayer, Iran Corresponding Auther: </w:t>
      </w:r>
      <w:r>
        <w:rPr>
          <w:rFonts w:asciiTheme="majorBidi" w:hAnsiTheme="majorBidi" w:cstheme="majorBidi"/>
          <w:sz w:val="20"/>
          <w:szCs w:val="20"/>
          <w:lang w:val="en-US"/>
        </w:rPr>
        <w:t xml:space="preserve">Email: </w:t>
      </w:r>
      <w:hyperlink r:id="rId1" w:history="1">
        <w:r w:rsidRPr="004872B9">
          <w:rPr>
            <w:rStyle w:val="Hyperlink"/>
            <w:rFonts w:asciiTheme="majorBidi" w:hAnsiTheme="majorBidi" w:cstheme="majorBidi"/>
            <w:sz w:val="20"/>
            <w:szCs w:val="20"/>
          </w:rPr>
          <w:t>Sskazemi92@Malayeru.ac.ir</w:t>
        </w:r>
      </w:hyperlink>
      <w:r w:rsidRPr="004872B9">
        <w:rPr>
          <w:rFonts w:asciiTheme="majorBidi" w:hAnsiTheme="majorBidi" w:cstheme="majorBidi"/>
          <w:sz w:val="20"/>
          <w:szCs w:val="20"/>
          <w:lang w:val="en-US"/>
        </w:rPr>
        <w:t xml:space="preserve"> </w:t>
      </w:r>
      <w:r w:rsidRPr="004872B9">
        <w:rPr>
          <w:rFonts w:asciiTheme="majorBidi" w:hAnsiTheme="majorBidi" w:cstheme="majorBidi"/>
          <w:noProof/>
          <w:sz w:val="20"/>
          <w:szCs w:val="20"/>
          <w:lang w:val="en-US"/>
        </w:rPr>
        <w:drawing>
          <wp:inline distT="0" distB="0" distL="0" distR="0">
            <wp:extent cx="143705" cy="143705"/>
            <wp:effectExtent l="0" t="0" r="8890" b="8890"/>
            <wp:docPr id="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3705" cy="143705"/>
                    </a:xfrm>
                    <a:prstGeom prst="rect">
                      <a:avLst/>
                    </a:prstGeom>
                    <a:noFill/>
                    <a:ln>
                      <a:noFill/>
                    </a:ln>
                  </pic:spPr>
                </pic:pic>
              </a:graphicData>
            </a:graphic>
          </wp:inline>
        </w:drawing>
      </w:r>
      <w:r w:rsidRPr="004872B9">
        <w:rPr>
          <w:rStyle w:val="Hyperlink"/>
          <w:rFonts w:asciiTheme="majorBidi" w:hAnsiTheme="majorBidi" w:cstheme="majorBidi"/>
          <w:sz w:val="20"/>
          <w:szCs w:val="20"/>
        </w:rPr>
        <w:t xml:space="preserve"> </w:t>
      </w:r>
      <w:hyperlink r:id="rId3" w:history="1">
        <w:r w:rsidRPr="004872B9">
          <w:rPr>
            <w:rStyle w:val="Hyperlink"/>
            <w:rFonts w:asciiTheme="majorBidi" w:hAnsiTheme="majorBidi" w:cstheme="majorBidi"/>
            <w:sz w:val="20"/>
            <w:szCs w:val="20"/>
          </w:rPr>
          <w:t>orcid.org/</w:t>
        </w:r>
        <w:r w:rsidRPr="004872B9">
          <w:rPr>
            <w:rStyle w:val="orcid-id-https"/>
            <w:rFonts w:asciiTheme="majorBidi" w:hAnsiTheme="majorBidi" w:cstheme="majorBidi"/>
            <w:sz w:val="20"/>
            <w:szCs w:val="20"/>
          </w:rPr>
          <w:t>0000-0003-2198-0231</w:t>
        </w:r>
      </w:hyperlink>
    </w:p>
  </w:footnote>
  <w:footnote w:id="2">
    <w:p w:rsidR="004872B9" w:rsidRPr="00D903C6" w:rsidRDefault="004872B9" w:rsidP="00D903C6">
      <w:pPr>
        <w:spacing w:after="0" w:line="240" w:lineRule="auto"/>
        <w:jc w:val="both"/>
        <w:rPr>
          <w:rStyle w:val="Hyperlink"/>
          <w:rFonts w:ascii="Palatino Linotype" w:hAnsi="Palatino Linotype" w:hint="cs"/>
          <w:b/>
          <w:bCs/>
          <w:color w:val="auto"/>
          <w:sz w:val="20"/>
          <w:szCs w:val="20"/>
          <w:u w:val="none"/>
          <w:rtl/>
        </w:rPr>
      </w:pPr>
      <w:r w:rsidRPr="004872B9">
        <w:rPr>
          <w:rStyle w:val="FootnoteReference"/>
          <w:rFonts w:asciiTheme="majorBidi" w:hAnsiTheme="majorBidi" w:cstheme="majorBidi"/>
          <w:sz w:val="20"/>
          <w:szCs w:val="20"/>
        </w:rPr>
        <w:footnoteRef/>
      </w:r>
      <w:r w:rsidRPr="004872B9">
        <w:rPr>
          <w:rFonts w:asciiTheme="majorBidi" w:hAnsiTheme="majorBidi" w:cstheme="majorBidi"/>
          <w:sz w:val="20"/>
          <w:szCs w:val="20"/>
          <w:rtl/>
        </w:rPr>
        <w:t xml:space="preserve"> </w:t>
      </w:r>
      <w:r w:rsidRPr="004872B9">
        <w:rPr>
          <w:rFonts w:asciiTheme="majorBidi" w:hAnsiTheme="majorBidi" w:cstheme="majorBidi"/>
          <w:sz w:val="20"/>
          <w:szCs w:val="20"/>
        </w:rPr>
        <w:t xml:space="preserve">Department of Law, Hamadan Branch, Islamic Azad University, Hamadan, Iran </w:t>
      </w:r>
      <w:r w:rsidRPr="004872B9">
        <w:rPr>
          <w:rFonts w:asciiTheme="majorBidi" w:hAnsiTheme="majorBidi" w:cstheme="majorBidi"/>
          <w:sz w:val="20"/>
          <w:szCs w:val="20"/>
          <w:lang w:val="en-US"/>
        </w:rPr>
        <w:t xml:space="preserve"> </w:t>
      </w:r>
      <w:r w:rsidR="00D903C6">
        <w:rPr>
          <w:rFonts w:asciiTheme="majorBidi" w:hAnsiTheme="majorBidi" w:cstheme="majorBidi"/>
          <w:sz w:val="20"/>
          <w:szCs w:val="20"/>
          <w:lang w:val="en-US"/>
        </w:rPr>
        <w:t xml:space="preserve">Email: </w:t>
      </w:r>
      <w:hyperlink r:id="rId4" w:history="1">
        <w:r w:rsidR="00D903C6" w:rsidRPr="00D903C6">
          <w:rPr>
            <w:rStyle w:val="Hyperlink"/>
            <w:rFonts w:ascii="Palatino Linotype" w:eastAsia="Times New Roman" w:hAnsi="Palatino Linotype"/>
            <w:sz w:val="20"/>
            <w:szCs w:val="20"/>
          </w:rPr>
          <w:t>nedasobhani@gmail.com</w:t>
        </w:r>
      </w:hyperlink>
      <w:r w:rsidR="00D903C6">
        <w:rPr>
          <w:rFonts w:ascii="Palatino Linotype" w:hAnsi="Palatino Linotype"/>
          <w:b/>
          <w:bCs/>
          <w:sz w:val="20"/>
          <w:szCs w:val="20"/>
          <w:lang w:val="en-US"/>
        </w:rPr>
        <w:t xml:space="preserve"> </w:t>
      </w:r>
      <w:r w:rsidR="00D903C6" w:rsidRPr="00D903C6">
        <w:rPr>
          <w:rFonts w:ascii="Palatino Linotype" w:hAnsi="Palatino Linotype"/>
          <w:noProof/>
          <w:sz w:val="20"/>
          <w:szCs w:val="20"/>
        </w:rPr>
        <w:drawing>
          <wp:inline distT="0" distB="0" distL="0" distR="0">
            <wp:extent cx="142875" cy="142875"/>
            <wp:effectExtent l="19050" t="0" r="9525" b="0"/>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00D903C6" w:rsidRPr="00D903C6">
        <w:rPr>
          <w:rStyle w:val="Hyperlink"/>
          <w:rFonts w:ascii="Palatino Linotype" w:hAnsi="Palatino Linotype"/>
          <w:sz w:val="20"/>
          <w:szCs w:val="20"/>
        </w:rPr>
        <w:t xml:space="preserve"> </w:t>
      </w:r>
      <w:hyperlink r:id="rId5" w:history="1">
        <w:r w:rsidR="00D903C6" w:rsidRPr="00D903C6">
          <w:rPr>
            <w:rStyle w:val="Hyperlink"/>
            <w:rFonts w:ascii="Palatino Linotype" w:hAnsi="Palatino Linotype"/>
            <w:sz w:val="20"/>
            <w:szCs w:val="20"/>
          </w:rPr>
          <w:t>orcid.org/</w:t>
        </w:r>
        <w:r w:rsidR="00D903C6" w:rsidRPr="00D903C6">
          <w:rPr>
            <w:rStyle w:val="orcid-id-https"/>
            <w:rFonts w:ascii="Palatino Linotype" w:hAnsi="Palatino Linotype"/>
            <w:sz w:val="20"/>
            <w:szCs w:val="20"/>
          </w:rPr>
          <w:t>0000-0002-9704-4549</w:t>
        </w:r>
      </w:hyperlink>
    </w:p>
    <w:p w:rsidR="004872B9" w:rsidRPr="004872B9" w:rsidRDefault="004872B9" w:rsidP="004872B9">
      <w:pPr>
        <w:spacing w:after="0" w:line="240" w:lineRule="auto"/>
        <w:jc w:val="both"/>
        <w:rPr>
          <w:rFonts w:asciiTheme="majorBidi" w:hAnsiTheme="majorBidi" w:cstheme="majorBidi"/>
          <w:sz w:val="20"/>
          <w:szCs w:val="20"/>
          <w:lang w:val="en-US"/>
        </w:rPr>
      </w:pPr>
      <w:r w:rsidRPr="004872B9">
        <w:rPr>
          <w:rFonts w:asciiTheme="majorBidi" w:hAnsiTheme="majorBidi" w:cstheme="majorBidi"/>
          <w:sz w:val="20"/>
          <w:szCs w:val="20"/>
        </w:rPr>
        <w:t xml:space="preserve">Corresponding Auther: </w:t>
      </w:r>
      <w:r>
        <w:rPr>
          <w:rFonts w:asciiTheme="majorBidi" w:hAnsiTheme="majorBidi" w:cstheme="majorBidi"/>
          <w:sz w:val="20"/>
          <w:szCs w:val="20"/>
          <w:lang w:val="en-US"/>
        </w:rPr>
        <w:t xml:space="preserve">Email: </w:t>
      </w:r>
      <w:hyperlink r:id="rId6" w:history="1">
        <w:r w:rsidRPr="004872B9">
          <w:rPr>
            <w:rStyle w:val="Hyperlink"/>
            <w:rFonts w:asciiTheme="majorBidi" w:hAnsiTheme="majorBidi" w:cstheme="majorBidi"/>
            <w:sz w:val="20"/>
            <w:szCs w:val="20"/>
          </w:rPr>
          <w:t>Sskazemi92@Malayeru.ac.ir</w:t>
        </w:r>
      </w:hyperlink>
      <w:r w:rsidRPr="004872B9">
        <w:rPr>
          <w:rFonts w:asciiTheme="majorBidi" w:hAnsiTheme="majorBidi" w:cstheme="majorBidi"/>
          <w:sz w:val="20"/>
          <w:szCs w:val="20"/>
          <w:lang w:val="en-US"/>
        </w:rPr>
        <w:t xml:space="preserve"> </w:t>
      </w:r>
      <w:r w:rsidRPr="004872B9">
        <w:rPr>
          <w:rFonts w:asciiTheme="majorBidi" w:hAnsiTheme="majorBidi" w:cstheme="majorBidi"/>
          <w:noProof/>
          <w:sz w:val="20"/>
          <w:szCs w:val="20"/>
          <w:lang w:val="en-US"/>
        </w:rPr>
        <w:drawing>
          <wp:inline distT="0" distB="0" distL="0" distR="0">
            <wp:extent cx="143705" cy="143705"/>
            <wp:effectExtent l="0" t="0" r="8890" b="8890"/>
            <wp:docPr id="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3705" cy="143705"/>
                    </a:xfrm>
                    <a:prstGeom prst="rect">
                      <a:avLst/>
                    </a:prstGeom>
                    <a:noFill/>
                    <a:ln>
                      <a:noFill/>
                    </a:ln>
                  </pic:spPr>
                </pic:pic>
              </a:graphicData>
            </a:graphic>
          </wp:inline>
        </w:drawing>
      </w:r>
      <w:r w:rsidRPr="004872B9">
        <w:rPr>
          <w:rStyle w:val="Hyperlink"/>
          <w:rFonts w:asciiTheme="majorBidi" w:hAnsiTheme="majorBidi" w:cstheme="majorBidi"/>
          <w:sz w:val="20"/>
          <w:szCs w:val="20"/>
        </w:rPr>
        <w:t xml:space="preserve"> </w:t>
      </w:r>
      <w:hyperlink r:id="rId7" w:history="1">
        <w:r w:rsidRPr="004872B9">
          <w:rPr>
            <w:rStyle w:val="Hyperlink"/>
            <w:rFonts w:asciiTheme="majorBidi" w:hAnsiTheme="majorBidi" w:cstheme="majorBidi"/>
            <w:sz w:val="20"/>
            <w:szCs w:val="20"/>
          </w:rPr>
          <w:t>orcid.org/</w:t>
        </w:r>
        <w:r w:rsidRPr="004872B9">
          <w:rPr>
            <w:rStyle w:val="orcid-id-https"/>
            <w:rFonts w:asciiTheme="majorBidi" w:hAnsiTheme="majorBidi" w:cstheme="majorBidi"/>
            <w:sz w:val="20"/>
            <w:szCs w:val="20"/>
          </w:rPr>
          <w:t>0000-0003-2198-0231</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D3E" w:rsidRPr="00F43D3E" w:rsidRDefault="00F43D3E" w:rsidP="00F43D3E">
    <w:pPr>
      <w:pStyle w:val="Header"/>
      <w:rPr>
        <w:rFonts w:asciiTheme="minorBidi" w:hAnsiTheme="minorBidi"/>
      </w:rPr>
    </w:pPr>
    <w:r w:rsidRPr="00F43D3E">
      <w:rPr>
        <w:rFonts w:asciiTheme="minorBidi" w:hAnsiTheme="minorBidi"/>
        <w:b/>
        <w:bCs/>
      </w:rPr>
      <w:t>JURNAL CITA HUKUM</w:t>
    </w:r>
    <w:r w:rsidRPr="00F43D3E">
      <w:rPr>
        <w:rFonts w:asciiTheme="minorBidi" w:hAnsiTheme="minorBidi"/>
      </w:rPr>
      <w:t xml:space="preserve"> (Indonesian Law Journal) </w:t>
    </w:r>
  </w:p>
  <w:p w:rsidR="00F43D3E" w:rsidRPr="00F43D3E" w:rsidRDefault="00F43D3E" w:rsidP="00F43D3E">
    <w:pPr>
      <w:pStyle w:val="Header"/>
      <w:rPr>
        <w:rFonts w:asciiTheme="minorBidi" w:hAnsiTheme="minorBidi"/>
      </w:rPr>
    </w:pPr>
    <w:r w:rsidRPr="00F43D3E">
      <w:rPr>
        <w:rFonts w:asciiTheme="minorBidi" w:hAnsiTheme="minorBidi"/>
      </w:rPr>
      <w:t xml:space="preserve">FSH UIN Syarif Hidayatullah Jakarta </w:t>
    </w:r>
  </w:p>
  <w:p w:rsidR="00F43D3E" w:rsidRPr="00F43D3E" w:rsidRDefault="00F43D3E" w:rsidP="00F43D3E">
    <w:pPr>
      <w:pStyle w:val="Header"/>
      <w:rPr>
        <w:rFonts w:asciiTheme="minorBidi" w:hAnsiTheme="minorBidi"/>
        <w:lang w:val="en-ID"/>
      </w:rPr>
    </w:pPr>
    <w:r w:rsidRPr="00F43D3E">
      <w:rPr>
        <w:rFonts w:asciiTheme="minorBidi" w:hAnsiTheme="minorBidi"/>
      </w:rPr>
      <w:t>Vol.</w:t>
    </w:r>
    <w:r w:rsidRPr="00F43D3E">
      <w:rPr>
        <w:rFonts w:asciiTheme="minorBidi" w:hAnsiTheme="minorBidi"/>
        <w:lang w:val="en-ID"/>
      </w:rPr>
      <w:t xml:space="preserve">  </w:t>
    </w:r>
    <w:r w:rsidRPr="00F43D3E">
      <w:rPr>
        <w:rFonts w:asciiTheme="minorBidi" w:hAnsiTheme="minorBidi"/>
      </w:rPr>
      <w:t xml:space="preserve"> No. </w:t>
    </w:r>
    <w:r w:rsidRPr="00F43D3E">
      <w:rPr>
        <w:rFonts w:asciiTheme="minorBidi" w:hAnsiTheme="minorBidi"/>
        <w:lang w:val="en-ID"/>
      </w:rPr>
      <w:t xml:space="preserve">  </w:t>
    </w:r>
    <w:r w:rsidRPr="00F43D3E">
      <w:rPr>
        <w:rFonts w:asciiTheme="minorBidi" w:hAnsiTheme="minorBidi"/>
      </w:rPr>
      <w:t xml:space="preserve"> (20</w:t>
    </w:r>
    <w:r w:rsidRPr="00F43D3E">
      <w:rPr>
        <w:rFonts w:asciiTheme="minorBidi" w:hAnsiTheme="minorBidi"/>
        <w:lang w:val="en-ID"/>
      </w:rPr>
      <w:t>20</w:t>
    </w:r>
    <w:r w:rsidRPr="00F43D3E">
      <w:rPr>
        <w:rFonts w:asciiTheme="minorBidi" w:hAnsiTheme="minorBidi"/>
      </w:rPr>
      <w:t>), pp.</w:t>
    </w:r>
    <w:r w:rsidRPr="00F43D3E">
      <w:rPr>
        <w:rFonts w:asciiTheme="minorBidi" w:hAnsiTheme="minorBidi"/>
        <w:lang w:val="en-ID"/>
      </w:rPr>
      <w:t xml:space="preserve">       </w:t>
    </w:r>
    <w:r w:rsidRPr="00F43D3E">
      <w:rPr>
        <w:rFonts w:asciiTheme="minorBidi" w:hAnsiTheme="minorBidi"/>
      </w:rPr>
      <w:t xml:space="preserve">, DOI: </w:t>
    </w:r>
    <w:r w:rsidRPr="00F43D3E">
      <w:rPr>
        <w:rFonts w:asciiTheme="minorBidi" w:hAnsiTheme="minorBidi"/>
        <w:lang w:val="en-ID"/>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97DED"/>
    <w:multiLevelType w:val="multilevel"/>
    <w:tmpl w:val="EC3EA75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D4F41BC"/>
    <w:multiLevelType w:val="hybridMultilevel"/>
    <w:tmpl w:val="B18273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F56DFA"/>
    <w:multiLevelType w:val="hybridMultilevel"/>
    <w:tmpl w:val="F3DE37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AD4E82"/>
    <w:multiLevelType w:val="multilevel"/>
    <w:tmpl w:val="B422ED9E"/>
    <w:lvl w:ilvl="0">
      <w:start w:val="1"/>
      <w:numFmt w:val="decimal"/>
      <w:lvlText w:val="%1."/>
      <w:lvlJc w:val="left"/>
      <w:pPr>
        <w:tabs>
          <w:tab w:val="num" w:pos="1070"/>
        </w:tabs>
        <w:ind w:left="107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36F4EAE"/>
    <w:multiLevelType w:val="hybridMultilevel"/>
    <w:tmpl w:val="7EA8968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FF656E7"/>
    <w:multiLevelType w:val="hybridMultilevel"/>
    <w:tmpl w:val="3738F0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786785A"/>
    <w:multiLevelType w:val="hybridMultilevel"/>
    <w:tmpl w:val="AF90A0E6"/>
    <w:lvl w:ilvl="0" w:tplc="0409000F">
      <w:start w:val="1"/>
      <w:numFmt w:val="decimal"/>
      <w:lvlText w:val="%1."/>
      <w:lvlJc w:val="left"/>
      <w:pPr>
        <w:ind w:left="720" w:hanging="360"/>
      </w:pPr>
    </w:lvl>
    <w:lvl w:ilvl="1" w:tplc="491888A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8737D8C"/>
    <w:multiLevelType w:val="hybridMultilevel"/>
    <w:tmpl w:val="912A7C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DFE2212"/>
    <w:multiLevelType w:val="hybridMultilevel"/>
    <w:tmpl w:val="44A27AF0"/>
    <w:lvl w:ilvl="0" w:tplc="3E0EF0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7434650"/>
    <w:multiLevelType w:val="hybridMultilevel"/>
    <w:tmpl w:val="5CA6C8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 w:numId="5">
    <w:abstractNumId w:val="6"/>
  </w:num>
  <w:num w:numId="6">
    <w:abstractNumId w:val="7"/>
  </w:num>
  <w:num w:numId="7">
    <w:abstractNumId w:val="9"/>
  </w:num>
  <w:num w:numId="8">
    <w:abstractNumId w:val="4"/>
  </w:num>
  <w:num w:numId="9">
    <w:abstractNumId w:val="8"/>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7410"/>
  </w:hdrShapeDefaults>
  <w:footnotePr>
    <w:footnote w:id="-1"/>
    <w:footnote w:id="0"/>
  </w:footnotePr>
  <w:endnotePr>
    <w:endnote w:id="-1"/>
    <w:endnote w:id="0"/>
  </w:endnotePr>
  <w:compat/>
  <w:docVars>
    <w:docVar w:name="__Grammarly_42____i" w:val="H4sIAAAAAAAEAKtWckksSQxILCpxzi/NK1GyMqwFAAEhoTITAAAA"/>
    <w:docVar w:name="__Grammarly_42___1" w:val="H4sIAAAAAAAEAKtWcslP9kxRslIyNDY0NTU3NDYwMzAwMLM0sjBR0lEKTi0uzszPAykwqQUA/DNAsiwAAAA="/>
  </w:docVars>
  <w:rsids>
    <w:rsidRoot w:val="001B28D3"/>
    <w:rsid w:val="00057BA0"/>
    <w:rsid w:val="00063A7E"/>
    <w:rsid w:val="000B6E2A"/>
    <w:rsid w:val="00193CB0"/>
    <w:rsid w:val="001A1947"/>
    <w:rsid w:val="001B28D3"/>
    <w:rsid w:val="001C3160"/>
    <w:rsid w:val="001C615E"/>
    <w:rsid w:val="001D46FF"/>
    <w:rsid w:val="00240FA4"/>
    <w:rsid w:val="002571FD"/>
    <w:rsid w:val="00350268"/>
    <w:rsid w:val="003536BD"/>
    <w:rsid w:val="00382A30"/>
    <w:rsid w:val="003C6B69"/>
    <w:rsid w:val="00404315"/>
    <w:rsid w:val="00415E4E"/>
    <w:rsid w:val="00417606"/>
    <w:rsid w:val="00422A21"/>
    <w:rsid w:val="004550A8"/>
    <w:rsid w:val="00477D1B"/>
    <w:rsid w:val="004872B9"/>
    <w:rsid w:val="004B10DB"/>
    <w:rsid w:val="004B4508"/>
    <w:rsid w:val="004E5E00"/>
    <w:rsid w:val="00524A57"/>
    <w:rsid w:val="005337CF"/>
    <w:rsid w:val="005653EB"/>
    <w:rsid w:val="005A27AF"/>
    <w:rsid w:val="006027AE"/>
    <w:rsid w:val="00636EF0"/>
    <w:rsid w:val="00657D32"/>
    <w:rsid w:val="0066015D"/>
    <w:rsid w:val="006654B8"/>
    <w:rsid w:val="00692BED"/>
    <w:rsid w:val="006954B9"/>
    <w:rsid w:val="006B3066"/>
    <w:rsid w:val="006B32BD"/>
    <w:rsid w:val="006E0301"/>
    <w:rsid w:val="006E2916"/>
    <w:rsid w:val="006F6377"/>
    <w:rsid w:val="00741744"/>
    <w:rsid w:val="007830F6"/>
    <w:rsid w:val="00812016"/>
    <w:rsid w:val="0083727E"/>
    <w:rsid w:val="008704D1"/>
    <w:rsid w:val="008A3439"/>
    <w:rsid w:val="008A433B"/>
    <w:rsid w:val="00980497"/>
    <w:rsid w:val="0099424D"/>
    <w:rsid w:val="00997179"/>
    <w:rsid w:val="009C6EBB"/>
    <w:rsid w:val="009D7890"/>
    <w:rsid w:val="009F6B50"/>
    <w:rsid w:val="00A44857"/>
    <w:rsid w:val="00A469D7"/>
    <w:rsid w:val="00A5171B"/>
    <w:rsid w:val="00AF655B"/>
    <w:rsid w:val="00AF6D82"/>
    <w:rsid w:val="00B2099A"/>
    <w:rsid w:val="00B52E3A"/>
    <w:rsid w:val="00B87E63"/>
    <w:rsid w:val="00B95313"/>
    <w:rsid w:val="00BC251D"/>
    <w:rsid w:val="00C24A9A"/>
    <w:rsid w:val="00C279C1"/>
    <w:rsid w:val="00CA000B"/>
    <w:rsid w:val="00CC0406"/>
    <w:rsid w:val="00D04D9A"/>
    <w:rsid w:val="00D30CC0"/>
    <w:rsid w:val="00D4322A"/>
    <w:rsid w:val="00D441A7"/>
    <w:rsid w:val="00D869D3"/>
    <w:rsid w:val="00D903C6"/>
    <w:rsid w:val="00E03F52"/>
    <w:rsid w:val="00E23D3E"/>
    <w:rsid w:val="00E4533D"/>
    <w:rsid w:val="00EB78F4"/>
    <w:rsid w:val="00ED30DF"/>
    <w:rsid w:val="00EE35DD"/>
    <w:rsid w:val="00EF15C7"/>
    <w:rsid w:val="00F13BE9"/>
    <w:rsid w:val="00F1401D"/>
    <w:rsid w:val="00F32FCC"/>
    <w:rsid w:val="00F43D3E"/>
    <w:rsid w:val="00F56203"/>
    <w:rsid w:val="00F653D3"/>
    <w:rsid w:val="00FA537B"/>
    <w:rsid w:val="00FC181E"/>
    <w:rsid w:val="00FC4244"/>
    <w:rsid w:val="00FD6D1F"/>
    <w:rsid w:val="00FF605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A57"/>
  </w:style>
  <w:style w:type="paragraph" w:styleId="Heading2">
    <w:name w:val="heading 2"/>
    <w:aliases w:val="Chapter"/>
    <w:basedOn w:val="Normal"/>
    <w:next w:val="Normal"/>
    <w:link w:val="Heading2Char"/>
    <w:autoRedefine/>
    <w:uiPriority w:val="9"/>
    <w:semiHidden/>
    <w:unhideWhenUsed/>
    <w:qFormat/>
    <w:rsid w:val="00A44857"/>
    <w:pPr>
      <w:spacing w:before="360" w:after="240" w:line="240" w:lineRule="auto"/>
      <w:outlineLvl w:val="1"/>
    </w:pPr>
    <w:rPr>
      <w:rFonts w:ascii="Times New Roman" w:eastAsiaTheme="majorEastAsia" w:hAnsi="Times New Roman" w:cstheme="majorBidi"/>
      <w:iCs/>
      <w:caps/>
      <w:sz w:val="28"/>
      <w:szCs w:val="24"/>
      <w:lang w:eastAsia="id-ID" w:bidi="en-US"/>
    </w:rPr>
  </w:style>
  <w:style w:type="paragraph" w:styleId="Heading4">
    <w:name w:val="heading 4"/>
    <w:basedOn w:val="Normal"/>
    <w:next w:val="Normal"/>
    <w:link w:val="Heading4Char"/>
    <w:uiPriority w:val="9"/>
    <w:unhideWhenUsed/>
    <w:qFormat/>
    <w:rsid w:val="00063A7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1B28D3"/>
    <w:pPr>
      <w:spacing w:after="0" w:line="240" w:lineRule="auto"/>
    </w:pPr>
    <w:rPr>
      <w:sz w:val="20"/>
      <w:szCs w:val="20"/>
    </w:rPr>
  </w:style>
  <w:style w:type="character" w:customStyle="1" w:styleId="FootnoteTextChar">
    <w:name w:val="Footnote Text Char"/>
    <w:basedOn w:val="DefaultParagraphFont"/>
    <w:link w:val="FootnoteText"/>
    <w:uiPriority w:val="99"/>
    <w:rsid w:val="001B28D3"/>
    <w:rPr>
      <w:sz w:val="20"/>
      <w:szCs w:val="20"/>
    </w:rPr>
  </w:style>
  <w:style w:type="character" w:styleId="FootnoteReference">
    <w:name w:val="footnote reference"/>
    <w:aliases w:val="پاورقی,شماره زيرنويس,مرجع پاورقي"/>
    <w:basedOn w:val="DefaultParagraphFont"/>
    <w:uiPriority w:val="99"/>
    <w:unhideWhenUsed/>
    <w:rsid w:val="001B28D3"/>
    <w:rPr>
      <w:vertAlign w:val="superscript"/>
    </w:rPr>
  </w:style>
  <w:style w:type="paragraph" w:styleId="ListParagraph">
    <w:name w:val="List Paragraph"/>
    <w:basedOn w:val="Normal"/>
    <w:uiPriority w:val="34"/>
    <w:qFormat/>
    <w:rsid w:val="00E4533D"/>
    <w:pPr>
      <w:spacing w:after="0" w:line="240" w:lineRule="auto"/>
      <w:ind w:left="720"/>
      <w:contextualSpacing/>
      <w:jc w:val="both"/>
    </w:pPr>
    <w:rPr>
      <w:rFonts w:ascii="Calibri" w:eastAsia="Calibri" w:hAnsi="Calibri" w:cs="Times New Roman"/>
      <w:lang w:val="en-US"/>
    </w:rPr>
  </w:style>
  <w:style w:type="character" w:styleId="Strong">
    <w:name w:val="Strong"/>
    <w:basedOn w:val="DefaultParagraphFont"/>
    <w:uiPriority w:val="22"/>
    <w:qFormat/>
    <w:rsid w:val="00E4533D"/>
    <w:rPr>
      <w:b/>
      <w:bCs/>
    </w:rPr>
  </w:style>
  <w:style w:type="table" w:styleId="TableGrid">
    <w:name w:val="Table Grid"/>
    <w:basedOn w:val="TableNormal"/>
    <w:uiPriority w:val="39"/>
    <w:rsid w:val="003536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971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7179"/>
    <w:rPr>
      <w:rFonts w:ascii="Segoe UI" w:hAnsi="Segoe UI" w:cs="Segoe UI"/>
      <w:sz w:val="18"/>
      <w:szCs w:val="18"/>
    </w:rPr>
  </w:style>
  <w:style w:type="character" w:styleId="Hyperlink">
    <w:name w:val="Hyperlink"/>
    <w:basedOn w:val="DefaultParagraphFont"/>
    <w:uiPriority w:val="99"/>
    <w:unhideWhenUsed/>
    <w:rsid w:val="009D7890"/>
    <w:rPr>
      <w:color w:val="0563C1" w:themeColor="hyperlink"/>
      <w:u w:val="single"/>
    </w:rPr>
  </w:style>
  <w:style w:type="paragraph" w:styleId="NoSpacing">
    <w:name w:val="No Spacing"/>
    <w:aliases w:val="Abstract"/>
    <w:basedOn w:val="Normal"/>
    <w:uiPriority w:val="1"/>
    <w:qFormat/>
    <w:rsid w:val="001C3160"/>
    <w:pPr>
      <w:spacing w:before="120" w:after="240" w:line="240" w:lineRule="auto"/>
      <w:jc w:val="both"/>
    </w:pPr>
    <w:rPr>
      <w:rFonts w:ascii="Times New Roman" w:eastAsiaTheme="minorEastAsia" w:hAnsi="Times New Roman"/>
      <w:i/>
      <w:sz w:val="24"/>
      <w:lang w:val="en-US" w:bidi="en-US"/>
    </w:rPr>
  </w:style>
  <w:style w:type="character" w:customStyle="1" w:styleId="Heading2Char">
    <w:name w:val="Heading 2 Char"/>
    <w:aliases w:val="Chapter Char"/>
    <w:basedOn w:val="DefaultParagraphFont"/>
    <w:link w:val="Heading2"/>
    <w:uiPriority w:val="9"/>
    <w:semiHidden/>
    <w:rsid w:val="00A44857"/>
    <w:rPr>
      <w:rFonts w:ascii="Times New Roman" w:eastAsiaTheme="majorEastAsia" w:hAnsi="Times New Roman" w:cstheme="majorBidi"/>
      <w:iCs/>
      <w:caps/>
      <w:sz w:val="28"/>
      <w:szCs w:val="24"/>
      <w:lang w:eastAsia="id-ID" w:bidi="en-US"/>
    </w:rPr>
  </w:style>
  <w:style w:type="character" w:customStyle="1" w:styleId="Heading4Char">
    <w:name w:val="Heading 4 Char"/>
    <w:basedOn w:val="DefaultParagraphFont"/>
    <w:link w:val="Heading4"/>
    <w:uiPriority w:val="9"/>
    <w:rsid w:val="00063A7E"/>
    <w:rPr>
      <w:rFonts w:asciiTheme="majorHAnsi" w:eastAsiaTheme="majorEastAsia" w:hAnsiTheme="majorHAnsi" w:cstheme="majorBidi"/>
      <w:i/>
      <w:iCs/>
      <w:color w:val="2E74B5" w:themeColor="accent1" w:themeShade="BF"/>
    </w:rPr>
  </w:style>
  <w:style w:type="paragraph" w:styleId="Header">
    <w:name w:val="header"/>
    <w:basedOn w:val="Normal"/>
    <w:link w:val="HeaderChar"/>
    <w:uiPriority w:val="99"/>
    <w:unhideWhenUsed/>
    <w:rsid w:val="00F43D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3D3E"/>
  </w:style>
  <w:style w:type="paragraph" w:styleId="Footer">
    <w:name w:val="footer"/>
    <w:basedOn w:val="Normal"/>
    <w:link w:val="FooterChar"/>
    <w:uiPriority w:val="99"/>
    <w:unhideWhenUsed/>
    <w:rsid w:val="00F43D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3D3E"/>
  </w:style>
  <w:style w:type="character" w:customStyle="1" w:styleId="orcid-id-https">
    <w:name w:val="orcid-id-https"/>
    <w:basedOn w:val="DefaultParagraphFont"/>
    <w:rsid w:val="00FA537B"/>
  </w:style>
</w:styles>
</file>

<file path=word/webSettings.xml><?xml version="1.0" encoding="utf-8"?>
<w:webSettings xmlns:r="http://schemas.openxmlformats.org/officeDocument/2006/relationships" xmlns:w="http://schemas.openxmlformats.org/wordprocessingml/2006/main">
  <w:divs>
    <w:div w:id="76290915">
      <w:bodyDiv w:val="1"/>
      <w:marLeft w:val="0"/>
      <w:marRight w:val="0"/>
      <w:marTop w:val="0"/>
      <w:marBottom w:val="0"/>
      <w:divBdr>
        <w:top w:val="none" w:sz="0" w:space="0" w:color="auto"/>
        <w:left w:val="none" w:sz="0" w:space="0" w:color="auto"/>
        <w:bottom w:val="none" w:sz="0" w:space="0" w:color="auto"/>
        <w:right w:val="none" w:sz="0" w:space="0" w:color="auto"/>
      </w:divBdr>
    </w:div>
    <w:div w:id="151681479">
      <w:bodyDiv w:val="1"/>
      <w:marLeft w:val="0"/>
      <w:marRight w:val="0"/>
      <w:marTop w:val="0"/>
      <w:marBottom w:val="0"/>
      <w:divBdr>
        <w:top w:val="none" w:sz="0" w:space="0" w:color="auto"/>
        <w:left w:val="none" w:sz="0" w:space="0" w:color="auto"/>
        <w:bottom w:val="none" w:sz="0" w:space="0" w:color="auto"/>
        <w:right w:val="none" w:sz="0" w:space="0" w:color="auto"/>
      </w:divBdr>
    </w:div>
    <w:div w:id="691876891">
      <w:bodyDiv w:val="1"/>
      <w:marLeft w:val="0"/>
      <w:marRight w:val="0"/>
      <w:marTop w:val="0"/>
      <w:marBottom w:val="0"/>
      <w:divBdr>
        <w:top w:val="none" w:sz="0" w:space="0" w:color="auto"/>
        <w:left w:val="none" w:sz="0" w:space="0" w:color="auto"/>
        <w:bottom w:val="none" w:sz="0" w:space="0" w:color="auto"/>
        <w:right w:val="none" w:sz="0" w:space="0" w:color="auto"/>
      </w:divBdr>
    </w:div>
    <w:div w:id="825703889">
      <w:bodyDiv w:val="1"/>
      <w:marLeft w:val="0"/>
      <w:marRight w:val="0"/>
      <w:marTop w:val="0"/>
      <w:marBottom w:val="0"/>
      <w:divBdr>
        <w:top w:val="none" w:sz="0" w:space="0" w:color="auto"/>
        <w:left w:val="none" w:sz="0" w:space="0" w:color="auto"/>
        <w:bottom w:val="none" w:sz="0" w:space="0" w:color="auto"/>
        <w:right w:val="none" w:sz="0" w:space="0" w:color="auto"/>
      </w:divBdr>
    </w:div>
    <w:div w:id="966395568">
      <w:bodyDiv w:val="1"/>
      <w:marLeft w:val="0"/>
      <w:marRight w:val="0"/>
      <w:marTop w:val="0"/>
      <w:marBottom w:val="0"/>
      <w:divBdr>
        <w:top w:val="none" w:sz="0" w:space="0" w:color="auto"/>
        <w:left w:val="none" w:sz="0" w:space="0" w:color="auto"/>
        <w:bottom w:val="none" w:sz="0" w:space="0" w:color="auto"/>
        <w:right w:val="none" w:sz="0" w:space="0" w:color="auto"/>
      </w:divBdr>
    </w:div>
    <w:div w:id="1362054424">
      <w:bodyDiv w:val="1"/>
      <w:marLeft w:val="0"/>
      <w:marRight w:val="0"/>
      <w:marTop w:val="0"/>
      <w:marBottom w:val="0"/>
      <w:divBdr>
        <w:top w:val="none" w:sz="0" w:space="0" w:color="auto"/>
        <w:left w:val="none" w:sz="0" w:space="0" w:color="auto"/>
        <w:bottom w:val="none" w:sz="0" w:space="0" w:color="auto"/>
        <w:right w:val="none" w:sz="0" w:space="0" w:color="auto"/>
      </w:divBdr>
    </w:div>
    <w:div w:id="1451124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orcid.org/xxxx" TargetMode="External"/><Relationship Id="rId7" Type="http://schemas.openxmlformats.org/officeDocument/2006/relationships/hyperlink" Target="http://orcid.org/xxxx" TargetMode="External"/><Relationship Id="rId2" Type="http://schemas.openxmlformats.org/officeDocument/2006/relationships/image" Target="media/image1.png"/><Relationship Id="rId1" Type="http://schemas.openxmlformats.org/officeDocument/2006/relationships/hyperlink" Target="mailto:Sskazemi92@Malayeru.ac.ir" TargetMode="External"/><Relationship Id="rId6" Type="http://schemas.openxmlformats.org/officeDocument/2006/relationships/hyperlink" Target="mailto:Sskazemi92@Malayeru.ac.ir" TargetMode="External"/><Relationship Id="rId5" Type="http://schemas.openxmlformats.org/officeDocument/2006/relationships/hyperlink" Target="http://orcid.org/xxxx" TargetMode="External"/><Relationship Id="rId4" Type="http://schemas.openxmlformats.org/officeDocument/2006/relationships/hyperlink" Target="mailto:nedasobhani@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FFCE40-F0D3-4C16-BAAD-E2CB2703D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16</Pages>
  <Words>5139</Words>
  <Characters>29295</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JSP UGM</dc:creator>
  <cp:keywords/>
  <dc:description/>
  <cp:lastModifiedBy>itRoj</cp:lastModifiedBy>
  <cp:revision>23</cp:revision>
  <cp:lastPrinted>2017-11-21T04:35:00Z</cp:lastPrinted>
  <dcterms:created xsi:type="dcterms:W3CDTF">2017-08-25T05:48:00Z</dcterms:created>
  <dcterms:modified xsi:type="dcterms:W3CDTF">2020-06-03T19:10:00Z</dcterms:modified>
</cp:coreProperties>
</file>