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92C84" w14:textId="77777777" w:rsidR="003D71CD" w:rsidRDefault="00000000">
      <w:pPr>
        <w:jc w:val="center"/>
        <w:rPr>
          <w:rFonts w:ascii="Times New Roman" w:eastAsia="Times New Roman" w:hAnsi="Times New Roman" w:cs="Times New Roman"/>
          <w:sz w:val="36"/>
          <w:szCs w:val="36"/>
        </w:rPr>
      </w:pPr>
      <w:bookmarkStart w:id="0" w:name="_gjdgxs" w:colFirst="0" w:colLast="0"/>
      <w:bookmarkEnd w:id="0"/>
      <w:r>
        <w:rPr>
          <w:rFonts w:ascii="Times New Roman" w:eastAsia="Times New Roman" w:hAnsi="Times New Roman" w:cs="Times New Roman"/>
          <w:noProof/>
          <w:sz w:val="36"/>
          <w:szCs w:val="36"/>
        </w:rPr>
        <w:drawing>
          <wp:inline distT="114300" distB="114300" distL="114300" distR="114300" wp14:anchorId="3E380B88" wp14:editId="071F2F3C">
            <wp:extent cx="5792400" cy="1104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92400" cy="1104900"/>
                    </a:xfrm>
                    <a:prstGeom prst="rect">
                      <a:avLst/>
                    </a:prstGeom>
                    <a:ln/>
                  </pic:spPr>
                </pic:pic>
              </a:graphicData>
            </a:graphic>
          </wp:inline>
        </w:drawing>
      </w:r>
    </w:p>
    <w:p w14:paraId="6A2D9DCB" w14:textId="41170FDE" w:rsidR="003D71CD" w:rsidRDefault="00680073">
      <w:pPr>
        <w:jc w:val="center"/>
        <w:rPr>
          <w:rFonts w:ascii="Times New Roman" w:eastAsia="Times New Roman" w:hAnsi="Times New Roman" w:cs="Times New Roman"/>
          <w:sz w:val="36"/>
          <w:szCs w:val="36"/>
        </w:rPr>
      </w:pPr>
      <w:bookmarkStart w:id="1" w:name="_30j0zll" w:colFirst="0" w:colLast="0"/>
      <w:bookmarkEnd w:id="1"/>
      <w:r w:rsidRPr="00680073">
        <w:rPr>
          <w:rFonts w:ascii="Times New Roman" w:eastAsia="Times New Roman" w:hAnsi="Times New Roman" w:cs="Times New Roman"/>
          <w:sz w:val="36"/>
          <w:szCs w:val="36"/>
        </w:rPr>
        <w:t xml:space="preserve">Language of Resistance: Linguistic Landscape in the Protest of </w:t>
      </w:r>
      <w:proofErr w:type="spellStart"/>
      <w:r w:rsidRPr="00680073">
        <w:rPr>
          <w:rFonts w:ascii="Times New Roman" w:eastAsia="Times New Roman" w:hAnsi="Times New Roman" w:cs="Times New Roman"/>
          <w:sz w:val="36"/>
          <w:szCs w:val="36"/>
        </w:rPr>
        <w:t>Kanjuruan</w:t>
      </w:r>
      <w:proofErr w:type="spellEnd"/>
      <w:r w:rsidRPr="00680073">
        <w:rPr>
          <w:rFonts w:ascii="Times New Roman" w:eastAsia="Times New Roman" w:hAnsi="Times New Roman" w:cs="Times New Roman"/>
          <w:sz w:val="36"/>
          <w:szCs w:val="36"/>
        </w:rPr>
        <w:t xml:space="preserve"> Tragedy, Indonesia</w:t>
      </w:r>
    </w:p>
    <w:p w14:paraId="730B51E1" w14:textId="77777777" w:rsidR="003D71CD" w:rsidRDefault="003D71C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252380C2" w14:textId="77777777" w:rsidR="00F77390" w:rsidRDefault="00F77390" w:rsidP="00F77390">
      <w:pPr>
        <w:spacing w:after="0" w:line="240" w:lineRule="auto"/>
        <w:jc w:val="center"/>
        <w:rPr>
          <w:rFonts w:ascii="Times New Roman" w:eastAsia="Times New Roman" w:hAnsi="Times New Roman" w:cs="Times New Roman"/>
          <w:sz w:val="20"/>
          <w:szCs w:val="20"/>
        </w:rPr>
      </w:pPr>
      <w:proofErr w:type="spellStart"/>
      <w:r w:rsidRPr="00680073">
        <w:rPr>
          <w:rFonts w:ascii="Times New Roman" w:eastAsia="Times New Roman" w:hAnsi="Times New Roman" w:cs="Times New Roman"/>
          <w:sz w:val="20"/>
          <w:szCs w:val="20"/>
        </w:rPr>
        <w:t>Muassomah</w:t>
      </w:r>
      <w:proofErr w:type="spellEnd"/>
      <w:r w:rsidRPr="00680073">
        <w:rPr>
          <w:rFonts w:ascii="Times New Roman" w:eastAsia="Times New Roman" w:hAnsi="Times New Roman" w:cs="Times New Roman"/>
          <w:sz w:val="20"/>
          <w:szCs w:val="20"/>
        </w:rPr>
        <w:t xml:space="preserve"> Muassomah1</w:t>
      </w:r>
      <w:r>
        <w:rPr>
          <w:rFonts w:ascii="Times New Roman" w:eastAsia="Times New Roman" w:hAnsi="Times New Roman" w:cs="Times New Roman"/>
          <w:sz w:val="20"/>
          <w:szCs w:val="20"/>
        </w:rPr>
        <w:t xml:space="preserve"> 1</w:t>
      </w:r>
      <w:r>
        <w:rPr>
          <w:bCs/>
          <w:sz w:val="24"/>
          <w:szCs w:val="24"/>
          <w:lang w:val="en-GB"/>
        </w:rPr>
        <w:t>*</w:t>
      </w:r>
    </w:p>
    <w:p w14:paraId="5E0F4C8B" w14:textId="77777777" w:rsidR="00F77390" w:rsidRDefault="00F77390" w:rsidP="00F77390">
      <w:pPr>
        <w:spacing w:after="0" w:line="240" w:lineRule="auto"/>
        <w:jc w:val="center"/>
        <w:rPr>
          <w:rFonts w:ascii="Times New Roman" w:eastAsia="Times New Roman" w:hAnsi="Times New Roman" w:cs="Times New Roman"/>
          <w:i/>
          <w:sz w:val="20"/>
          <w:szCs w:val="20"/>
        </w:rPr>
      </w:pPr>
      <w:r w:rsidRPr="00680073">
        <w:rPr>
          <w:rFonts w:ascii="Times New Roman" w:eastAsia="Times New Roman" w:hAnsi="Times New Roman" w:cs="Times New Roman"/>
          <w:i/>
          <w:sz w:val="20"/>
          <w:szCs w:val="20"/>
        </w:rPr>
        <w:t>Universitas Islam Negeri Maulana Malik Ibrahim</w:t>
      </w:r>
    </w:p>
    <w:p w14:paraId="0BF867EF" w14:textId="77777777" w:rsidR="00F77390" w:rsidRDefault="00F77390" w:rsidP="00F77390">
      <w:pPr>
        <w:spacing w:after="0" w:line="240" w:lineRule="auto"/>
        <w:jc w:val="center"/>
        <w:rPr>
          <w:rFonts w:ascii="Times New Roman" w:eastAsia="Times New Roman" w:hAnsi="Times New Roman" w:cs="Times New Roman"/>
          <w:sz w:val="20"/>
          <w:szCs w:val="20"/>
        </w:rPr>
      </w:pPr>
      <w:r w:rsidRPr="00680073">
        <w:rPr>
          <w:rFonts w:ascii="Times New Roman" w:eastAsia="Times New Roman" w:hAnsi="Times New Roman" w:cs="Times New Roman"/>
          <w:sz w:val="20"/>
          <w:szCs w:val="20"/>
        </w:rPr>
        <w:t>Malan</w:t>
      </w:r>
      <w:r>
        <w:rPr>
          <w:rFonts w:ascii="Times New Roman" w:eastAsia="Times New Roman" w:hAnsi="Times New Roman" w:cs="Times New Roman"/>
          <w:sz w:val="20"/>
          <w:szCs w:val="20"/>
        </w:rPr>
        <w:t>g</w:t>
      </w:r>
      <w:r w:rsidRPr="00680073">
        <w:rPr>
          <w:rFonts w:ascii="Times New Roman" w:eastAsia="Times New Roman" w:hAnsi="Times New Roman" w:cs="Times New Roman"/>
          <w:sz w:val="20"/>
          <w:szCs w:val="20"/>
        </w:rPr>
        <w:t>, Indonesia</w:t>
      </w:r>
    </w:p>
    <w:bookmarkStart w:id="2" w:name="_Hlk166388186"/>
    <w:p w14:paraId="53B803D4" w14:textId="77777777" w:rsidR="00F77390" w:rsidRDefault="00F77390" w:rsidP="00F77390">
      <w:pPr>
        <w:spacing w:after="0" w:line="240" w:lineRule="auto"/>
        <w:jc w:val="center"/>
        <w:rPr>
          <w:rFonts w:ascii="Times New Roman" w:eastAsia="Times New Roman" w:hAnsi="Times New Roman" w:cs="Times New Roman"/>
          <w:sz w:val="20"/>
          <w:szCs w:val="20"/>
        </w:rPr>
      </w:pPr>
      <w:r>
        <w:fldChar w:fldCharType="begin"/>
      </w:r>
      <w:r>
        <w:instrText>HYPERLINK "mailto:muassomah@bsa.uin-malang.ac.id"</w:instrText>
      </w:r>
      <w:r>
        <w:fldChar w:fldCharType="separate"/>
      </w:r>
      <w:r w:rsidRPr="003F32A7">
        <w:rPr>
          <w:rStyle w:val="Hyperlink"/>
          <w:rFonts w:ascii="Times New Roman" w:eastAsia="Times New Roman" w:hAnsi="Times New Roman" w:cs="Times New Roman"/>
          <w:sz w:val="20"/>
          <w:szCs w:val="20"/>
        </w:rPr>
        <w:t>muassomah@bsa.uin-malang.ac.id</w:t>
      </w:r>
      <w:r>
        <w:rPr>
          <w:rStyle w:val="Hyperlink"/>
          <w:rFonts w:ascii="Times New Roman" w:eastAsia="Times New Roman" w:hAnsi="Times New Roman" w:cs="Times New Roman"/>
          <w:sz w:val="20"/>
          <w:szCs w:val="20"/>
        </w:rPr>
        <w:fldChar w:fldCharType="end"/>
      </w:r>
      <w:bookmarkEnd w:id="2"/>
      <w:r>
        <w:rPr>
          <w:rFonts w:ascii="Times New Roman" w:eastAsia="Times New Roman" w:hAnsi="Times New Roman" w:cs="Times New Roman"/>
          <w:sz w:val="20"/>
          <w:szCs w:val="20"/>
        </w:rPr>
        <w:t xml:space="preserve"> </w:t>
      </w:r>
    </w:p>
    <w:p w14:paraId="5577CB35" w14:textId="77777777" w:rsidR="00F77390" w:rsidRDefault="00F77390" w:rsidP="00F77390">
      <w:pPr>
        <w:spacing w:after="0" w:line="240" w:lineRule="auto"/>
        <w:jc w:val="center"/>
        <w:rPr>
          <w:rFonts w:ascii="Times New Roman" w:eastAsia="Times New Roman" w:hAnsi="Times New Roman" w:cs="Times New Roman"/>
          <w:sz w:val="20"/>
          <w:szCs w:val="20"/>
        </w:rPr>
      </w:pPr>
    </w:p>
    <w:p w14:paraId="6FBB9F5F" w14:textId="77777777" w:rsidR="00F77390" w:rsidRDefault="00F77390" w:rsidP="00F7739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 </w:t>
      </w:r>
      <w:proofErr w:type="spellStart"/>
      <w:r>
        <w:rPr>
          <w:rFonts w:ascii="Times New Roman" w:eastAsia="Times New Roman" w:hAnsi="Times New Roman" w:cs="Times New Roman"/>
          <w:sz w:val="20"/>
          <w:szCs w:val="20"/>
        </w:rPr>
        <w:t>Faisol</w:t>
      </w:r>
      <w:proofErr w:type="spellEnd"/>
      <w:r>
        <w:rPr>
          <w:rFonts w:ascii="Times New Roman" w:eastAsia="Times New Roman" w:hAnsi="Times New Roman" w:cs="Times New Roman"/>
          <w:sz w:val="20"/>
          <w:szCs w:val="20"/>
        </w:rPr>
        <w:t xml:space="preserve"> 2</w:t>
      </w:r>
    </w:p>
    <w:p w14:paraId="0BDDE7AA" w14:textId="77777777" w:rsidR="00F77390" w:rsidRPr="00680073" w:rsidRDefault="00F77390" w:rsidP="00F77390">
      <w:pPr>
        <w:spacing w:after="0" w:line="240" w:lineRule="auto"/>
        <w:jc w:val="center"/>
        <w:rPr>
          <w:rFonts w:ascii="Times New Roman" w:eastAsia="Times New Roman" w:hAnsi="Times New Roman" w:cs="Times New Roman"/>
          <w:i/>
          <w:sz w:val="20"/>
          <w:szCs w:val="20"/>
        </w:rPr>
      </w:pPr>
      <w:r w:rsidRPr="00680073">
        <w:rPr>
          <w:rFonts w:ascii="Times New Roman" w:eastAsia="Times New Roman" w:hAnsi="Times New Roman" w:cs="Times New Roman"/>
          <w:i/>
          <w:sz w:val="20"/>
          <w:szCs w:val="20"/>
        </w:rPr>
        <w:t>Universitas Islam Negeri Maulana Malik Ibrahim</w:t>
      </w:r>
    </w:p>
    <w:p w14:paraId="5B0D2AD0" w14:textId="77777777" w:rsidR="00F77390" w:rsidRPr="00680073" w:rsidRDefault="00F77390" w:rsidP="00F77390">
      <w:pPr>
        <w:spacing w:after="0" w:line="240" w:lineRule="auto"/>
        <w:jc w:val="center"/>
        <w:rPr>
          <w:rFonts w:ascii="Times New Roman" w:eastAsia="Times New Roman" w:hAnsi="Times New Roman" w:cs="Times New Roman"/>
          <w:iCs/>
          <w:sz w:val="20"/>
          <w:szCs w:val="20"/>
        </w:rPr>
      </w:pPr>
      <w:r w:rsidRPr="00680073">
        <w:rPr>
          <w:rFonts w:ascii="Times New Roman" w:eastAsia="Times New Roman" w:hAnsi="Times New Roman" w:cs="Times New Roman"/>
          <w:iCs/>
          <w:sz w:val="20"/>
          <w:szCs w:val="20"/>
        </w:rPr>
        <w:t>Malang, Indonesia</w:t>
      </w:r>
    </w:p>
    <w:p w14:paraId="23306766" w14:textId="77777777" w:rsidR="00F77390" w:rsidRPr="00924CD4" w:rsidRDefault="00F77390" w:rsidP="00F77390">
      <w:pPr>
        <w:spacing w:after="0" w:line="240" w:lineRule="auto"/>
        <w:jc w:val="center"/>
        <w:rPr>
          <w:rStyle w:val="Hyperlink"/>
          <w:rFonts w:ascii="Times New Roman" w:eastAsia="Times New Roman" w:hAnsi="Times New Roman" w:cs="Times New Roman"/>
          <w:sz w:val="20"/>
          <w:szCs w:val="20"/>
        </w:rPr>
      </w:pPr>
      <w:hyperlink r:id="rId7" w:history="1">
        <w:r w:rsidRPr="00924CD4">
          <w:rPr>
            <w:rStyle w:val="Hyperlink"/>
            <w:rFonts w:ascii="Times New Roman" w:hAnsi="Times New Roman" w:cs="Times New Roman"/>
            <w:sz w:val="20"/>
            <w:szCs w:val="20"/>
          </w:rPr>
          <w:t>faisol@bsa.uin-malang.ac.id</w:t>
        </w:r>
      </w:hyperlink>
      <w:r w:rsidRPr="00924CD4">
        <w:rPr>
          <w:rFonts w:ascii="Times New Roman" w:hAnsi="Times New Roman" w:cs="Times New Roman"/>
          <w:sz w:val="20"/>
          <w:szCs w:val="20"/>
        </w:rPr>
        <w:t xml:space="preserve"> </w:t>
      </w:r>
    </w:p>
    <w:p w14:paraId="12FB74DF" w14:textId="77777777" w:rsidR="00F77390" w:rsidRDefault="00F77390" w:rsidP="00F77390">
      <w:pPr>
        <w:spacing w:after="0" w:line="240" w:lineRule="auto"/>
        <w:jc w:val="center"/>
        <w:rPr>
          <w:rFonts w:ascii="Times New Roman" w:eastAsia="Times New Roman" w:hAnsi="Times New Roman" w:cs="Times New Roman"/>
          <w:sz w:val="20"/>
          <w:szCs w:val="20"/>
        </w:rPr>
      </w:pPr>
    </w:p>
    <w:p w14:paraId="53BF470F" w14:textId="77777777" w:rsidR="00F77390" w:rsidRDefault="00F77390" w:rsidP="00F77390">
      <w:pPr>
        <w:spacing w:after="0" w:line="240" w:lineRule="auto"/>
        <w:jc w:val="center"/>
        <w:rPr>
          <w:rFonts w:ascii="Times New Roman" w:eastAsia="Times New Roman" w:hAnsi="Times New Roman" w:cs="Times New Roman"/>
          <w:sz w:val="20"/>
          <w:szCs w:val="20"/>
        </w:rPr>
      </w:pPr>
      <w:r w:rsidRPr="00680073">
        <w:rPr>
          <w:rFonts w:ascii="Times New Roman" w:eastAsia="Times New Roman" w:hAnsi="Times New Roman" w:cs="Times New Roman"/>
          <w:sz w:val="20"/>
          <w:szCs w:val="20"/>
        </w:rPr>
        <w:t xml:space="preserve">Halimi </w:t>
      </w:r>
      <w:proofErr w:type="spellStart"/>
      <w:r w:rsidRPr="00680073">
        <w:rPr>
          <w:rFonts w:ascii="Times New Roman" w:eastAsia="Times New Roman" w:hAnsi="Times New Roman" w:cs="Times New Roman"/>
          <w:sz w:val="20"/>
          <w:szCs w:val="20"/>
        </w:rPr>
        <w:t>Halimi</w:t>
      </w:r>
      <w:proofErr w:type="spellEnd"/>
      <w:r>
        <w:rPr>
          <w:rFonts w:ascii="Times New Roman" w:eastAsia="Times New Roman" w:hAnsi="Times New Roman" w:cs="Times New Roman"/>
          <w:sz w:val="20"/>
          <w:szCs w:val="20"/>
        </w:rPr>
        <w:t xml:space="preserve"> 3</w:t>
      </w:r>
    </w:p>
    <w:p w14:paraId="6C15DF31" w14:textId="77777777" w:rsidR="00F77390" w:rsidRPr="00680073" w:rsidRDefault="00F77390" w:rsidP="00F77390">
      <w:pPr>
        <w:spacing w:after="0" w:line="240" w:lineRule="auto"/>
        <w:jc w:val="center"/>
        <w:rPr>
          <w:rFonts w:ascii="Times New Roman" w:eastAsia="Times New Roman" w:hAnsi="Times New Roman" w:cs="Times New Roman"/>
          <w:i/>
          <w:sz w:val="20"/>
          <w:szCs w:val="20"/>
        </w:rPr>
      </w:pPr>
      <w:r w:rsidRPr="00680073">
        <w:rPr>
          <w:rFonts w:ascii="Times New Roman" w:eastAsia="Times New Roman" w:hAnsi="Times New Roman" w:cs="Times New Roman"/>
          <w:i/>
          <w:sz w:val="20"/>
          <w:szCs w:val="20"/>
        </w:rPr>
        <w:t>Universitas Islam Negeri Maulana Malik Ibrahim</w:t>
      </w:r>
    </w:p>
    <w:p w14:paraId="1E20455A" w14:textId="77777777" w:rsidR="00F77390" w:rsidRPr="00680073" w:rsidRDefault="00F77390" w:rsidP="00F77390">
      <w:pPr>
        <w:spacing w:after="0" w:line="240" w:lineRule="auto"/>
        <w:jc w:val="center"/>
        <w:rPr>
          <w:rFonts w:ascii="Times New Roman" w:eastAsia="Times New Roman" w:hAnsi="Times New Roman" w:cs="Times New Roman"/>
          <w:iCs/>
          <w:sz w:val="20"/>
          <w:szCs w:val="20"/>
        </w:rPr>
      </w:pPr>
      <w:r w:rsidRPr="00680073">
        <w:rPr>
          <w:rFonts w:ascii="Times New Roman" w:eastAsia="Times New Roman" w:hAnsi="Times New Roman" w:cs="Times New Roman"/>
          <w:iCs/>
          <w:sz w:val="20"/>
          <w:szCs w:val="20"/>
        </w:rPr>
        <w:t>Malang, Indonesia</w:t>
      </w:r>
    </w:p>
    <w:p w14:paraId="57114C8F" w14:textId="77777777" w:rsidR="00F77390" w:rsidRDefault="00F77390" w:rsidP="00F77390">
      <w:pPr>
        <w:spacing w:after="0" w:line="240" w:lineRule="auto"/>
        <w:jc w:val="center"/>
        <w:rPr>
          <w:rFonts w:ascii="Times New Roman" w:eastAsia="Times New Roman" w:hAnsi="Times New Roman" w:cs="Times New Roman"/>
          <w:sz w:val="20"/>
          <w:szCs w:val="20"/>
        </w:rPr>
      </w:pPr>
      <w:hyperlink r:id="rId8" w:history="1">
        <w:r w:rsidRPr="003F32A7">
          <w:rPr>
            <w:rStyle w:val="Hyperlink"/>
            <w:rFonts w:ascii="Times New Roman" w:eastAsia="Times New Roman" w:hAnsi="Times New Roman" w:cs="Times New Roman"/>
            <w:sz w:val="20"/>
            <w:szCs w:val="20"/>
          </w:rPr>
          <w:t>halimizuhdy@uin-malang.ac.id</w:t>
        </w:r>
      </w:hyperlink>
      <w:r>
        <w:rPr>
          <w:rFonts w:ascii="Times New Roman" w:eastAsia="Times New Roman" w:hAnsi="Times New Roman" w:cs="Times New Roman"/>
          <w:sz w:val="20"/>
          <w:szCs w:val="20"/>
        </w:rPr>
        <w:t xml:space="preserve">  </w:t>
      </w:r>
    </w:p>
    <w:p w14:paraId="4DB2F300" w14:textId="77777777" w:rsidR="00F77390" w:rsidRDefault="00F77390" w:rsidP="00F7739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652113CD" w14:textId="77777777" w:rsidR="00F77390" w:rsidRDefault="00F77390" w:rsidP="00F77390">
      <w:pPr>
        <w:spacing w:after="0" w:line="240" w:lineRule="auto"/>
        <w:jc w:val="center"/>
        <w:rPr>
          <w:rFonts w:ascii="Times New Roman" w:eastAsia="Times New Roman" w:hAnsi="Times New Roman" w:cs="Times New Roman"/>
          <w:sz w:val="20"/>
          <w:szCs w:val="20"/>
        </w:rPr>
      </w:pPr>
      <w:proofErr w:type="spellStart"/>
      <w:r w:rsidRPr="00680073">
        <w:rPr>
          <w:rFonts w:ascii="Times New Roman" w:eastAsia="Times New Roman" w:hAnsi="Times New Roman" w:cs="Times New Roman"/>
          <w:sz w:val="20"/>
          <w:szCs w:val="20"/>
        </w:rPr>
        <w:t>Baedt</w:t>
      </w:r>
      <w:proofErr w:type="spellEnd"/>
      <w:r w:rsidRPr="00680073">
        <w:rPr>
          <w:rFonts w:ascii="Times New Roman" w:eastAsia="Times New Roman" w:hAnsi="Times New Roman" w:cs="Times New Roman"/>
          <w:sz w:val="20"/>
          <w:szCs w:val="20"/>
        </w:rPr>
        <w:t xml:space="preserve"> Giri </w:t>
      </w:r>
      <w:proofErr w:type="spellStart"/>
      <w:r w:rsidRPr="00680073">
        <w:rPr>
          <w:rFonts w:ascii="Times New Roman" w:eastAsia="Times New Roman" w:hAnsi="Times New Roman" w:cs="Times New Roman"/>
          <w:sz w:val="20"/>
          <w:szCs w:val="20"/>
        </w:rPr>
        <w:t>Mukhoddam</w:t>
      </w:r>
      <w:proofErr w:type="spellEnd"/>
      <w:r w:rsidRPr="00680073">
        <w:rPr>
          <w:rFonts w:ascii="Times New Roman" w:eastAsia="Times New Roman" w:hAnsi="Times New Roman" w:cs="Times New Roman"/>
          <w:sz w:val="20"/>
          <w:szCs w:val="20"/>
        </w:rPr>
        <w:t xml:space="preserve"> Billah</w:t>
      </w:r>
      <w:r>
        <w:rPr>
          <w:rFonts w:ascii="Times New Roman" w:eastAsia="Times New Roman" w:hAnsi="Times New Roman" w:cs="Times New Roman"/>
          <w:sz w:val="20"/>
          <w:szCs w:val="20"/>
        </w:rPr>
        <w:t xml:space="preserve"> 4</w:t>
      </w:r>
    </w:p>
    <w:p w14:paraId="41018048" w14:textId="77777777" w:rsidR="00F77390" w:rsidRPr="00680073" w:rsidRDefault="00F77390" w:rsidP="00F77390">
      <w:pPr>
        <w:spacing w:after="0" w:line="240" w:lineRule="auto"/>
        <w:jc w:val="center"/>
        <w:rPr>
          <w:rFonts w:ascii="Times New Roman" w:eastAsia="Times New Roman" w:hAnsi="Times New Roman" w:cs="Times New Roman"/>
          <w:i/>
          <w:sz w:val="20"/>
          <w:szCs w:val="20"/>
        </w:rPr>
      </w:pPr>
      <w:r w:rsidRPr="00680073">
        <w:rPr>
          <w:rFonts w:ascii="Times New Roman" w:eastAsia="Times New Roman" w:hAnsi="Times New Roman" w:cs="Times New Roman"/>
          <w:i/>
          <w:sz w:val="20"/>
          <w:szCs w:val="20"/>
        </w:rPr>
        <w:t>Universitas Islam Negeri Maulana Malik Ibrahim</w:t>
      </w:r>
    </w:p>
    <w:p w14:paraId="71A317B4" w14:textId="77777777" w:rsidR="00F77390" w:rsidRPr="00680073" w:rsidRDefault="00F77390" w:rsidP="00F77390">
      <w:pPr>
        <w:spacing w:after="0" w:line="240" w:lineRule="auto"/>
        <w:jc w:val="center"/>
        <w:rPr>
          <w:rFonts w:ascii="Times New Roman" w:eastAsia="Times New Roman" w:hAnsi="Times New Roman" w:cs="Times New Roman"/>
          <w:iCs/>
          <w:sz w:val="20"/>
          <w:szCs w:val="20"/>
        </w:rPr>
      </w:pPr>
      <w:r w:rsidRPr="00680073">
        <w:rPr>
          <w:rFonts w:ascii="Times New Roman" w:eastAsia="Times New Roman" w:hAnsi="Times New Roman" w:cs="Times New Roman"/>
          <w:iCs/>
          <w:sz w:val="20"/>
          <w:szCs w:val="20"/>
        </w:rPr>
        <w:t>Malang, Indonesia</w:t>
      </w:r>
    </w:p>
    <w:p w14:paraId="18D15485" w14:textId="77777777" w:rsidR="00F77390" w:rsidRPr="00504031" w:rsidRDefault="00F77390" w:rsidP="00F77390">
      <w:pPr>
        <w:pStyle w:val="Author"/>
        <w:spacing w:before="0" w:after="120"/>
        <w:rPr>
          <w:color w:val="000000"/>
          <w:sz w:val="20"/>
          <w:szCs w:val="20"/>
          <w:lang w:val="id-ID"/>
        </w:rPr>
      </w:pPr>
      <w:hyperlink r:id="rId9" w:history="1">
        <w:r w:rsidRPr="003F32A7">
          <w:rPr>
            <w:rStyle w:val="Hyperlink"/>
            <w:rFonts w:eastAsia="Times New Roman"/>
            <w:sz w:val="20"/>
            <w:szCs w:val="20"/>
          </w:rPr>
          <w:t>220301210005@student.uin-malang.ac.id</w:t>
        </w:r>
      </w:hyperlink>
    </w:p>
    <w:p w14:paraId="63CC38AD" w14:textId="0FD84896" w:rsidR="003D71CD" w:rsidRDefault="006800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CA73C49" w14:textId="77777777" w:rsidR="003D71CD" w:rsidRDefault="003D71CD">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26C08487" w14:textId="77777777" w:rsidR="003D71CD" w:rsidRDefault="003D71CD">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42A8F7E0" w14:textId="77777777" w:rsidR="003D71CD" w:rsidRDefault="00000000">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Abstract </w:t>
      </w:r>
    </w:p>
    <w:p w14:paraId="3A497B24" w14:textId="77777777" w:rsidR="003D71CD" w:rsidRDefault="003D71CD">
      <w:pPr>
        <w:pBdr>
          <w:top w:val="nil"/>
          <w:left w:val="nil"/>
          <w:bottom w:val="nil"/>
          <w:right w:val="nil"/>
          <w:between w:val="nil"/>
        </w:pBdr>
        <w:spacing w:after="0" w:line="240" w:lineRule="auto"/>
        <w:ind w:right="4"/>
        <w:jc w:val="both"/>
        <w:rPr>
          <w:rFonts w:ascii="Times New Roman" w:eastAsia="Times New Roman" w:hAnsi="Times New Roman" w:cs="Times New Roman"/>
          <w:b/>
          <w:i/>
          <w:color w:val="000000"/>
        </w:rPr>
      </w:pPr>
    </w:p>
    <w:p w14:paraId="3005D9FD" w14:textId="77777777" w:rsidR="003D71CD" w:rsidRDefault="00000000">
      <w:pPr>
        <w:pBdr>
          <w:top w:val="nil"/>
          <w:left w:val="nil"/>
          <w:bottom w:val="nil"/>
          <w:right w:val="nil"/>
          <w:between w:val="nil"/>
        </w:pBdr>
        <w:spacing w:after="0" w:line="240" w:lineRule="auto"/>
        <w:ind w:right="4"/>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Purpose</w:t>
      </w:r>
    </w:p>
    <w:p w14:paraId="6B888471" w14:textId="7E96D1B5" w:rsidR="003D71CD" w:rsidRDefault="009F10EC">
      <w:pPr>
        <w:pBdr>
          <w:top w:val="nil"/>
          <w:left w:val="nil"/>
          <w:bottom w:val="nil"/>
          <w:right w:val="nil"/>
          <w:between w:val="nil"/>
        </w:pBdr>
        <w:spacing w:after="0" w:line="240" w:lineRule="auto"/>
        <w:ind w:right="4"/>
        <w:jc w:val="both"/>
        <w:rPr>
          <w:rFonts w:ascii="Times New Roman" w:eastAsia="Times New Roman" w:hAnsi="Times New Roman" w:cs="Times New Roman"/>
        </w:rPr>
      </w:pPr>
      <w:r w:rsidRPr="009F10EC">
        <w:rPr>
          <w:rFonts w:ascii="Times New Roman" w:eastAsia="Times New Roman" w:hAnsi="Times New Roman" w:cs="Times New Roman"/>
        </w:rPr>
        <w:t xml:space="preserve">Linguistics landscape (LL) is not only a means of showing the identity of a language but also a constructive effort to fight for justice for society. Landscape in this study is a form of protest against security forces for the loss of life of 135 </w:t>
      </w:r>
      <w:proofErr w:type="spellStart"/>
      <w:r w:rsidRPr="009F10EC">
        <w:rPr>
          <w:rFonts w:ascii="Times New Roman" w:eastAsia="Times New Roman" w:hAnsi="Times New Roman" w:cs="Times New Roman"/>
        </w:rPr>
        <w:t>Aremania</w:t>
      </w:r>
      <w:proofErr w:type="spellEnd"/>
      <w:r w:rsidRPr="009F10EC">
        <w:rPr>
          <w:rFonts w:ascii="Times New Roman" w:eastAsia="Times New Roman" w:hAnsi="Times New Roman" w:cs="Times New Roman"/>
        </w:rPr>
        <w:t xml:space="preserve"> fans after watching a soccer match between </w:t>
      </w:r>
      <w:proofErr w:type="spellStart"/>
      <w:r w:rsidRPr="009F10EC">
        <w:rPr>
          <w:rFonts w:ascii="Times New Roman" w:eastAsia="Times New Roman" w:hAnsi="Times New Roman" w:cs="Times New Roman"/>
        </w:rPr>
        <w:t>Arema</w:t>
      </w:r>
      <w:proofErr w:type="spellEnd"/>
      <w:r w:rsidRPr="009F10EC">
        <w:rPr>
          <w:rFonts w:ascii="Times New Roman" w:eastAsia="Times New Roman" w:hAnsi="Times New Roman" w:cs="Times New Roman"/>
        </w:rPr>
        <w:t xml:space="preserve"> and </w:t>
      </w:r>
      <w:proofErr w:type="spellStart"/>
      <w:r w:rsidRPr="009F10EC">
        <w:rPr>
          <w:rFonts w:ascii="Times New Roman" w:eastAsia="Times New Roman" w:hAnsi="Times New Roman" w:cs="Times New Roman"/>
        </w:rPr>
        <w:t>Persebaya</w:t>
      </w:r>
      <w:proofErr w:type="spellEnd"/>
      <w:r w:rsidRPr="009F10EC">
        <w:rPr>
          <w:rFonts w:ascii="Times New Roman" w:eastAsia="Times New Roman" w:hAnsi="Times New Roman" w:cs="Times New Roman"/>
        </w:rPr>
        <w:t xml:space="preserve"> at the </w:t>
      </w:r>
      <w:proofErr w:type="spellStart"/>
      <w:r w:rsidRPr="009F10EC">
        <w:rPr>
          <w:rFonts w:ascii="Times New Roman" w:eastAsia="Times New Roman" w:hAnsi="Times New Roman" w:cs="Times New Roman"/>
        </w:rPr>
        <w:t>Kanjuruan</w:t>
      </w:r>
      <w:proofErr w:type="spellEnd"/>
      <w:r w:rsidRPr="009F10EC">
        <w:rPr>
          <w:rFonts w:ascii="Times New Roman" w:eastAsia="Times New Roman" w:hAnsi="Times New Roman" w:cs="Times New Roman"/>
        </w:rPr>
        <w:t xml:space="preserve"> stadium. This research aims, apart from mapping all signs from aspects of language use patterns, also to conduct a critical analysis of the language used.</w:t>
      </w:r>
    </w:p>
    <w:p w14:paraId="6F4DD277" w14:textId="77777777" w:rsidR="003D71CD" w:rsidRDefault="003D71CD">
      <w:pPr>
        <w:pBdr>
          <w:top w:val="nil"/>
          <w:left w:val="nil"/>
          <w:bottom w:val="nil"/>
          <w:right w:val="nil"/>
          <w:between w:val="nil"/>
        </w:pBdr>
        <w:spacing w:after="0" w:line="240" w:lineRule="auto"/>
        <w:ind w:right="4"/>
        <w:jc w:val="both"/>
        <w:rPr>
          <w:rFonts w:ascii="Times New Roman" w:eastAsia="Times New Roman" w:hAnsi="Times New Roman" w:cs="Times New Roman"/>
          <w:b/>
          <w:i/>
          <w:color w:val="000000"/>
        </w:rPr>
      </w:pPr>
    </w:p>
    <w:p w14:paraId="17902355" w14:textId="77777777" w:rsidR="003D71CD" w:rsidRDefault="00000000">
      <w:pPr>
        <w:pBdr>
          <w:top w:val="nil"/>
          <w:left w:val="nil"/>
          <w:bottom w:val="nil"/>
          <w:right w:val="nil"/>
          <w:between w:val="nil"/>
        </w:pBdr>
        <w:spacing w:after="0" w:line="240" w:lineRule="auto"/>
        <w:ind w:right="4"/>
        <w:jc w:val="both"/>
        <w:rPr>
          <w:rFonts w:ascii="Times New Roman" w:eastAsia="Times New Roman" w:hAnsi="Times New Roman" w:cs="Times New Roman"/>
          <w:color w:val="000000"/>
        </w:rPr>
      </w:pPr>
      <w:r>
        <w:rPr>
          <w:rFonts w:ascii="Times New Roman" w:eastAsia="Times New Roman" w:hAnsi="Times New Roman" w:cs="Times New Roman"/>
          <w:b/>
          <w:i/>
          <w:color w:val="000000"/>
        </w:rPr>
        <w:t>Method</w:t>
      </w:r>
    </w:p>
    <w:p w14:paraId="5F0E5A47" w14:textId="118436B4" w:rsidR="009F10EC" w:rsidRDefault="009F10EC" w:rsidP="009F10EC">
      <w:pPr>
        <w:pBdr>
          <w:top w:val="nil"/>
          <w:left w:val="nil"/>
          <w:bottom w:val="nil"/>
          <w:right w:val="nil"/>
          <w:between w:val="nil"/>
        </w:pBdr>
        <w:spacing w:after="0" w:line="240" w:lineRule="auto"/>
        <w:ind w:right="4"/>
        <w:jc w:val="both"/>
        <w:rPr>
          <w:rFonts w:ascii="Times New Roman" w:eastAsia="Times New Roman" w:hAnsi="Times New Roman" w:cs="Times New Roman"/>
        </w:rPr>
      </w:pPr>
      <w:r w:rsidRPr="009F10EC">
        <w:rPr>
          <w:rFonts w:ascii="Times New Roman" w:eastAsia="Times New Roman" w:hAnsi="Times New Roman" w:cs="Times New Roman"/>
        </w:rPr>
        <w:t xml:space="preserve">This study uses quantitative and qualitative methods based on documentation in the form of billboards, boards, and banners installed in various parts of Malang, Indonesia. Content analysis and critical analysis are used to analyze this research. </w:t>
      </w:r>
    </w:p>
    <w:p w14:paraId="1DFE8F9A" w14:textId="77777777" w:rsidR="009F10EC" w:rsidRDefault="009F10EC">
      <w:pPr>
        <w:pBdr>
          <w:top w:val="nil"/>
          <w:left w:val="nil"/>
          <w:bottom w:val="nil"/>
          <w:right w:val="nil"/>
          <w:between w:val="nil"/>
        </w:pBdr>
        <w:spacing w:after="0" w:line="240" w:lineRule="auto"/>
        <w:ind w:right="4"/>
        <w:jc w:val="both"/>
        <w:rPr>
          <w:rFonts w:ascii="Times New Roman" w:eastAsia="Times New Roman" w:hAnsi="Times New Roman" w:cs="Times New Roman"/>
          <w:b/>
          <w:i/>
          <w:color w:val="000000"/>
        </w:rPr>
      </w:pPr>
    </w:p>
    <w:p w14:paraId="1AD04535" w14:textId="3676EBC5" w:rsidR="003D71CD" w:rsidRDefault="00F77390">
      <w:pPr>
        <w:pBdr>
          <w:top w:val="nil"/>
          <w:left w:val="nil"/>
          <w:bottom w:val="nil"/>
          <w:right w:val="nil"/>
          <w:between w:val="nil"/>
        </w:pBdr>
        <w:spacing w:after="0" w:line="240" w:lineRule="auto"/>
        <w:ind w:right="4"/>
        <w:jc w:val="both"/>
        <w:rPr>
          <w:rFonts w:ascii="Times New Roman" w:eastAsia="Times New Roman" w:hAnsi="Times New Roman" w:cs="Times New Roman"/>
          <w:color w:val="000000"/>
        </w:rPr>
      </w:pPr>
      <w:r>
        <w:rPr>
          <w:rFonts w:ascii="Times New Roman" w:eastAsia="Times New Roman" w:hAnsi="Times New Roman" w:cs="Times New Roman"/>
          <w:b/>
          <w:i/>
          <w:color w:val="000000"/>
        </w:rPr>
        <w:t>F</w:t>
      </w:r>
      <w:r w:rsidR="00000000">
        <w:rPr>
          <w:rFonts w:ascii="Times New Roman" w:eastAsia="Times New Roman" w:hAnsi="Times New Roman" w:cs="Times New Roman"/>
          <w:b/>
          <w:i/>
          <w:color w:val="000000"/>
        </w:rPr>
        <w:t>indings</w:t>
      </w:r>
    </w:p>
    <w:p w14:paraId="42FBB0B6" w14:textId="26023442" w:rsidR="003D71CD" w:rsidRDefault="009F10EC">
      <w:pPr>
        <w:pBdr>
          <w:top w:val="nil"/>
          <w:left w:val="nil"/>
          <w:bottom w:val="nil"/>
          <w:right w:val="nil"/>
          <w:between w:val="nil"/>
        </w:pBdr>
        <w:spacing w:after="0" w:line="240" w:lineRule="auto"/>
        <w:ind w:right="4"/>
        <w:jc w:val="both"/>
        <w:rPr>
          <w:rFonts w:ascii="Times New Roman" w:eastAsia="Times New Roman" w:hAnsi="Times New Roman" w:cs="Times New Roman"/>
          <w:b/>
          <w:i/>
          <w:color w:val="000000"/>
        </w:rPr>
      </w:pPr>
      <w:r w:rsidRPr="009F10EC">
        <w:rPr>
          <w:rFonts w:ascii="Times New Roman" w:eastAsia="Times New Roman" w:hAnsi="Times New Roman" w:cs="Times New Roman"/>
        </w:rPr>
        <w:lastRenderedPageBreak/>
        <w:t xml:space="preserve">The findings of this study show that the language used in the landscape has two forms, monolingual and bilingual. In addition, it indicates that four languages are used in the sign. Indonesian has a higher quantity than English, Javanese, and Arabic. </w:t>
      </w:r>
    </w:p>
    <w:p w14:paraId="4CB70145" w14:textId="77777777" w:rsidR="003D71CD" w:rsidRDefault="003D71CD">
      <w:pPr>
        <w:pBdr>
          <w:top w:val="nil"/>
          <w:left w:val="nil"/>
          <w:bottom w:val="nil"/>
          <w:right w:val="nil"/>
          <w:between w:val="nil"/>
        </w:pBdr>
        <w:spacing w:after="0" w:line="240" w:lineRule="auto"/>
        <w:ind w:right="4"/>
        <w:jc w:val="both"/>
        <w:rPr>
          <w:rFonts w:ascii="Times New Roman" w:eastAsia="Times New Roman" w:hAnsi="Times New Roman" w:cs="Times New Roman"/>
          <w:b/>
          <w:i/>
          <w:color w:val="000000"/>
        </w:rPr>
      </w:pPr>
    </w:p>
    <w:p w14:paraId="23B89507" w14:textId="77777777" w:rsidR="003D71CD" w:rsidRDefault="00000000">
      <w:pPr>
        <w:pBdr>
          <w:top w:val="nil"/>
          <w:left w:val="nil"/>
          <w:bottom w:val="nil"/>
          <w:right w:val="nil"/>
          <w:between w:val="nil"/>
        </w:pBdr>
        <w:spacing w:after="0" w:line="240" w:lineRule="auto"/>
        <w:ind w:right="4"/>
        <w:jc w:val="both"/>
        <w:rPr>
          <w:rFonts w:ascii="Times New Roman" w:eastAsia="Times New Roman" w:hAnsi="Times New Roman" w:cs="Times New Roman"/>
        </w:rPr>
      </w:pPr>
      <w:r>
        <w:rPr>
          <w:rFonts w:ascii="Times New Roman" w:eastAsia="Times New Roman" w:hAnsi="Times New Roman" w:cs="Times New Roman"/>
          <w:b/>
          <w:i/>
          <w:color w:val="000000"/>
        </w:rPr>
        <w:t>Conclusion</w:t>
      </w:r>
    </w:p>
    <w:p w14:paraId="76B98BA4" w14:textId="1E9661F2" w:rsidR="003D71CD" w:rsidRDefault="009F10EC">
      <w:pPr>
        <w:pBdr>
          <w:top w:val="nil"/>
          <w:left w:val="nil"/>
          <w:bottom w:val="nil"/>
          <w:right w:val="nil"/>
          <w:between w:val="nil"/>
        </w:pBdr>
        <w:spacing w:after="0" w:line="240" w:lineRule="auto"/>
        <w:ind w:right="4"/>
        <w:jc w:val="both"/>
        <w:rPr>
          <w:rFonts w:ascii="Times New Roman" w:eastAsia="Times New Roman" w:hAnsi="Times New Roman" w:cs="Times New Roman"/>
        </w:rPr>
      </w:pPr>
      <w:r w:rsidRPr="009F10EC">
        <w:rPr>
          <w:rFonts w:ascii="Times New Roman" w:eastAsia="Times New Roman" w:hAnsi="Times New Roman" w:cs="Times New Roman"/>
        </w:rPr>
        <w:t xml:space="preserve">The language pattern used in the landscape tends to reflect sarcasm, cynicism, and rhetoric. This research suggests conducting a follow-up study that examines the same sign in the broader area, including Malang district and East Java region, to obtain varied data and various sign patterns. </w:t>
      </w:r>
      <w:proofErr w:type="gramStart"/>
      <w:r w:rsidRPr="009F10EC">
        <w:rPr>
          <w:rFonts w:ascii="Times New Roman" w:eastAsia="Times New Roman" w:hAnsi="Times New Roman" w:cs="Times New Roman"/>
        </w:rPr>
        <w:t>Thus</w:t>
      </w:r>
      <w:proofErr w:type="gramEnd"/>
      <w:r w:rsidRPr="009F10EC">
        <w:rPr>
          <w:rFonts w:ascii="Times New Roman" w:eastAsia="Times New Roman" w:hAnsi="Times New Roman" w:cs="Times New Roman"/>
        </w:rPr>
        <w:t xml:space="preserve"> the data information obtained is more comprehensive.</w:t>
      </w:r>
    </w:p>
    <w:p w14:paraId="2E4F17AD" w14:textId="77777777" w:rsidR="009F10EC" w:rsidRDefault="009F10EC">
      <w:pPr>
        <w:pBdr>
          <w:top w:val="nil"/>
          <w:left w:val="nil"/>
          <w:bottom w:val="nil"/>
          <w:right w:val="nil"/>
          <w:between w:val="nil"/>
        </w:pBdr>
        <w:spacing w:after="0" w:line="240" w:lineRule="auto"/>
        <w:ind w:right="4"/>
        <w:jc w:val="both"/>
        <w:rPr>
          <w:rFonts w:ascii="Times New Roman" w:eastAsia="Times New Roman" w:hAnsi="Times New Roman" w:cs="Times New Roman"/>
        </w:rPr>
      </w:pPr>
    </w:p>
    <w:p w14:paraId="472F0465" w14:textId="77777777" w:rsidR="003D71CD" w:rsidRDefault="00000000">
      <w:pPr>
        <w:pBdr>
          <w:top w:val="nil"/>
          <w:left w:val="nil"/>
          <w:bottom w:val="nil"/>
          <w:right w:val="nil"/>
          <w:between w:val="nil"/>
        </w:pBdr>
        <w:spacing w:after="0" w:line="240" w:lineRule="auto"/>
        <w:ind w:right="4"/>
        <w:rPr>
          <w:rFonts w:ascii="Times New Roman" w:eastAsia="Times New Roman" w:hAnsi="Times New Roman" w:cs="Times New Roman"/>
          <w:b/>
          <w:i/>
        </w:rPr>
      </w:pPr>
      <w:r>
        <w:rPr>
          <w:rFonts w:ascii="Times New Roman" w:eastAsia="Times New Roman" w:hAnsi="Times New Roman" w:cs="Times New Roman"/>
          <w:b/>
          <w:i/>
          <w:color w:val="000000"/>
        </w:rPr>
        <w:t>Keywords</w:t>
      </w:r>
    </w:p>
    <w:p w14:paraId="33777CA5" w14:textId="527CB726" w:rsidR="009F10EC" w:rsidRDefault="009F10EC" w:rsidP="009F10EC">
      <w:pPr>
        <w:pBdr>
          <w:top w:val="nil"/>
          <w:left w:val="nil"/>
          <w:bottom w:val="nil"/>
          <w:right w:val="nil"/>
          <w:between w:val="nil"/>
        </w:pBdr>
        <w:spacing w:after="0" w:line="240" w:lineRule="auto"/>
        <w:ind w:right="4"/>
        <w:rPr>
          <w:rFonts w:ascii="Times New Roman" w:eastAsia="Times New Roman" w:hAnsi="Times New Roman" w:cs="Times New Roman"/>
          <w:i/>
          <w:color w:val="000000"/>
        </w:rPr>
      </w:pPr>
      <w:r w:rsidRPr="009F10EC">
        <w:rPr>
          <w:rFonts w:ascii="Times New Roman" w:eastAsia="Times New Roman" w:hAnsi="Times New Roman" w:cs="Times New Roman"/>
          <w:i/>
          <w:color w:val="000000"/>
        </w:rPr>
        <w:t>Resistance;</w:t>
      </w:r>
      <w:r>
        <w:rPr>
          <w:rFonts w:ascii="Times New Roman" w:eastAsia="Times New Roman" w:hAnsi="Times New Roman" w:cs="Times New Roman"/>
          <w:i/>
          <w:color w:val="000000"/>
        </w:rPr>
        <w:t xml:space="preserve"> </w:t>
      </w:r>
      <w:r w:rsidRPr="009F10EC">
        <w:rPr>
          <w:rFonts w:ascii="Times New Roman" w:eastAsia="Times New Roman" w:hAnsi="Times New Roman" w:cs="Times New Roman"/>
          <w:i/>
          <w:color w:val="000000"/>
        </w:rPr>
        <w:t>language;</w:t>
      </w:r>
      <w:r>
        <w:rPr>
          <w:rFonts w:ascii="Times New Roman" w:eastAsia="Times New Roman" w:hAnsi="Times New Roman" w:cs="Times New Roman"/>
          <w:i/>
          <w:color w:val="000000"/>
        </w:rPr>
        <w:t xml:space="preserve"> </w:t>
      </w:r>
      <w:r w:rsidRPr="009F10EC">
        <w:rPr>
          <w:rFonts w:ascii="Times New Roman" w:eastAsia="Times New Roman" w:hAnsi="Times New Roman" w:cs="Times New Roman"/>
          <w:i/>
          <w:color w:val="000000"/>
        </w:rPr>
        <w:t>linguistic landscape;</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K</w:t>
      </w:r>
      <w:r w:rsidRPr="009F10EC">
        <w:rPr>
          <w:rFonts w:ascii="Times New Roman" w:eastAsia="Times New Roman" w:hAnsi="Times New Roman" w:cs="Times New Roman"/>
          <w:i/>
          <w:color w:val="000000"/>
        </w:rPr>
        <w:t>anjuruan</w:t>
      </w:r>
      <w:proofErr w:type="spellEnd"/>
      <w:r w:rsidRPr="009F10EC">
        <w:rPr>
          <w:rFonts w:ascii="Times New Roman" w:eastAsia="Times New Roman" w:hAnsi="Times New Roman" w:cs="Times New Roman"/>
          <w:i/>
          <w:color w:val="000000"/>
        </w:rPr>
        <w:t xml:space="preserve"> tragedy.</w:t>
      </w:r>
    </w:p>
    <w:p w14:paraId="2E0298B6" w14:textId="77777777" w:rsidR="009F10EC" w:rsidRDefault="009F10EC" w:rsidP="009F10EC">
      <w:pPr>
        <w:pBdr>
          <w:top w:val="nil"/>
          <w:left w:val="nil"/>
          <w:bottom w:val="nil"/>
          <w:right w:val="nil"/>
          <w:between w:val="nil"/>
        </w:pBdr>
        <w:spacing w:after="0" w:line="240" w:lineRule="auto"/>
        <w:ind w:right="4"/>
        <w:rPr>
          <w:rFonts w:ascii="Times New Roman" w:eastAsia="Times New Roman" w:hAnsi="Times New Roman" w:cs="Times New Roman"/>
          <w:i/>
          <w:color w:val="000000"/>
        </w:rPr>
      </w:pPr>
    </w:p>
    <w:p w14:paraId="00052370" w14:textId="3F42F9E8" w:rsidR="003D71CD" w:rsidRDefault="00000000">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roofErr w:type="spellStart"/>
      <w:r>
        <w:rPr>
          <w:rFonts w:ascii="Times New Roman" w:eastAsia="Times New Roman" w:hAnsi="Times New Roman" w:cs="Times New Roman"/>
          <w:b/>
          <w:i/>
          <w:color w:val="000000"/>
        </w:rPr>
        <w:t>Abstrak</w:t>
      </w:r>
      <w:proofErr w:type="spellEnd"/>
    </w:p>
    <w:p w14:paraId="602D2D78" w14:textId="740E4D88" w:rsidR="003D71CD" w:rsidRDefault="003D71CD">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40362DC3" w14:textId="77777777" w:rsidR="003D71CD" w:rsidRDefault="003D71CD">
      <w:pPr>
        <w:pBdr>
          <w:top w:val="nil"/>
          <w:left w:val="nil"/>
          <w:bottom w:val="nil"/>
          <w:right w:val="nil"/>
          <w:between w:val="nil"/>
        </w:pBdr>
        <w:spacing w:after="0" w:line="240" w:lineRule="auto"/>
        <w:ind w:right="4"/>
        <w:jc w:val="both"/>
        <w:rPr>
          <w:rFonts w:ascii="Times New Roman" w:eastAsia="Times New Roman" w:hAnsi="Times New Roman" w:cs="Times New Roman"/>
          <w:b/>
          <w:i/>
          <w:color w:val="000000"/>
        </w:rPr>
      </w:pPr>
    </w:p>
    <w:p w14:paraId="79865905" w14:textId="77777777" w:rsidR="003D71CD" w:rsidRDefault="00000000">
      <w:pPr>
        <w:pBdr>
          <w:top w:val="nil"/>
          <w:left w:val="nil"/>
          <w:bottom w:val="nil"/>
          <w:right w:val="nil"/>
          <w:between w:val="nil"/>
        </w:pBdr>
        <w:spacing w:after="0" w:line="240" w:lineRule="auto"/>
        <w:ind w:right="4"/>
        <w:jc w:val="both"/>
        <w:rPr>
          <w:rFonts w:ascii="Times New Roman" w:eastAsia="Times New Roman" w:hAnsi="Times New Roman" w:cs="Times New Roman"/>
          <w:color w:val="000000"/>
        </w:rPr>
      </w:pPr>
      <w:r>
        <w:rPr>
          <w:rFonts w:ascii="Times New Roman" w:eastAsia="Times New Roman" w:hAnsi="Times New Roman" w:cs="Times New Roman"/>
          <w:b/>
          <w:i/>
          <w:color w:val="000000"/>
        </w:rPr>
        <w:t>Tujuan</w:t>
      </w:r>
    </w:p>
    <w:p w14:paraId="49E7EFCB" w14:textId="2A056EC2" w:rsidR="007F0002" w:rsidRPr="007F0002" w:rsidRDefault="007F0002" w:rsidP="007F0002">
      <w:pPr>
        <w:pBdr>
          <w:top w:val="nil"/>
          <w:left w:val="nil"/>
          <w:bottom w:val="nil"/>
          <w:right w:val="nil"/>
          <w:between w:val="nil"/>
        </w:pBdr>
        <w:spacing w:after="0" w:line="240" w:lineRule="auto"/>
        <w:jc w:val="both"/>
        <w:rPr>
          <w:rFonts w:ascii="Times New Roman" w:eastAsia="Times New Roman" w:hAnsi="Times New Roman" w:cs="Times New Roman"/>
        </w:rPr>
      </w:pPr>
      <w:r w:rsidRPr="007F0002">
        <w:rPr>
          <w:rFonts w:asciiTheme="majorBidi" w:hAnsiTheme="majorBidi" w:cstheme="majorBidi"/>
          <w:lang w:val="id-ID"/>
        </w:rPr>
        <w:t>Landscape linguistik (LL) bukan hanya sebagai sarana menunjukkan identitas sebuah bahasa tetapi juga menjadi upaya kontruktif memperjuangkan keadilan bagi masyarakat. Landscape dalam penelitian ini sebagai bentuk protes kepada aparatur keamanan atas hilangnya nyawa 135 suporter Aremania setelah menyaksikan pertandingan sepak bola antara Arema dan Persebaya di stadion Kanjuruan. Penelitian ini bertujuan selain memetakan seluruh sign dari aspek pola penggunaan bahasa, juga melakukan analisis kritis terhadap bahasa yang digunakan.</w:t>
      </w:r>
    </w:p>
    <w:p w14:paraId="78338FCA" w14:textId="77777777" w:rsidR="003D71CD" w:rsidRPr="007F0002" w:rsidRDefault="003D71CD" w:rsidP="007F0002">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p w14:paraId="6D202361" w14:textId="77777777" w:rsidR="003D71CD" w:rsidRPr="007F0002" w:rsidRDefault="00000000" w:rsidP="007F0002">
      <w:pPr>
        <w:pBdr>
          <w:top w:val="nil"/>
          <w:left w:val="nil"/>
          <w:bottom w:val="nil"/>
          <w:right w:val="nil"/>
          <w:between w:val="nil"/>
        </w:pBdr>
        <w:spacing w:after="0" w:line="240" w:lineRule="auto"/>
        <w:jc w:val="both"/>
        <w:rPr>
          <w:rFonts w:ascii="Times New Roman" w:eastAsia="Times New Roman" w:hAnsi="Times New Roman" w:cs="Times New Roman"/>
        </w:rPr>
      </w:pPr>
      <w:r w:rsidRPr="007F0002">
        <w:rPr>
          <w:rFonts w:ascii="Times New Roman" w:eastAsia="Times New Roman" w:hAnsi="Times New Roman" w:cs="Times New Roman"/>
          <w:b/>
          <w:i/>
          <w:color w:val="000000"/>
        </w:rPr>
        <w:t>Metode</w:t>
      </w:r>
    </w:p>
    <w:p w14:paraId="3BDF9202" w14:textId="0AF11DD6" w:rsidR="007F0002" w:rsidRPr="007F0002" w:rsidRDefault="007F0002" w:rsidP="007F0002">
      <w:pPr>
        <w:pBdr>
          <w:top w:val="nil"/>
          <w:left w:val="nil"/>
          <w:bottom w:val="nil"/>
          <w:right w:val="nil"/>
          <w:between w:val="nil"/>
        </w:pBdr>
        <w:spacing w:after="0" w:line="240" w:lineRule="auto"/>
        <w:jc w:val="both"/>
        <w:rPr>
          <w:rFonts w:ascii="Times New Roman" w:eastAsia="Times New Roman" w:hAnsi="Times New Roman" w:cs="Times New Roman"/>
        </w:rPr>
      </w:pPr>
      <w:r w:rsidRPr="007F0002">
        <w:rPr>
          <w:rFonts w:asciiTheme="majorBidi" w:hAnsiTheme="majorBidi" w:cstheme="majorBidi"/>
          <w:lang w:val="id-ID"/>
        </w:rPr>
        <w:t>Penelitian ini menggunakan metode kuantitatif dan kualitatif yang berlandaskan pada dokumentasi yang berupa baliho, papan, dan benner yang telah dipasang di berbagai penjuru kota Malang, Indonesia. Analisis conten dan analisis kritis digunakan menganalisis dalam penenlitian ini.</w:t>
      </w:r>
    </w:p>
    <w:p w14:paraId="0BFAA9AB" w14:textId="77777777" w:rsidR="003D71CD" w:rsidRDefault="003D71CD">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p w14:paraId="2A4BBD05" w14:textId="2B20B23B" w:rsidR="003D71CD" w:rsidRDefault="00000000">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b/>
          <w:i/>
          <w:color w:val="000000"/>
        </w:rPr>
        <w:t>Hasil</w:t>
      </w:r>
      <w:r w:rsidR="007F0002">
        <w:rPr>
          <w:rFonts w:ascii="Times New Roman" w:eastAsia="Times New Roman" w:hAnsi="Times New Roman" w:cs="Times New Roman"/>
          <w:b/>
          <w:i/>
          <w:color w:val="000000"/>
        </w:rPr>
        <w:t>/</w:t>
      </w:r>
      <w:proofErr w:type="spellStart"/>
      <w:r w:rsidR="007F0002">
        <w:rPr>
          <w:rFonts w:ascii="Times New Roman" w:eastAsia="Times New Roman" w:hAnsi="Times New Roman" w:cs="Times New Roman"/>
          <w:b/>
          <w:i/>
          <w:color w:val="000000"/>
        </w:rPr>
        <w:t>temuan</w:t>
      </w:r>
      <w:proofErr w:type="spellEnd"/>
    </w:p>
    <w:p w14:paraId="36CD33BF" w14:textId="7946EB18" w:rsidR="007F0002" w:rsidRPr="007F0002" w:rsidRDefault="007F0002">
      <w:pPr>
        <w:pBdr>
          <w:top w:val="nil"/>
          <w:left w:val="nil"/>
          <w:bottom w:val="nil"/>
          <w:right w:val="nil"/>
          <w:between w:val="nil"/>
        </w:pBdr>
        <w:spacing w:after="0" w:line="240" w:lineRule="auto"/>
        <w:jc w:val="both"/>
        <w:rPr>
          <w:rFonts w:ascii="Times New Roman" w:eastAsia="Times New Roman" w:hAnsi="Times New Roman" w:cs="Times New Roman"/>
        </w:rPr>
      </w:pPr>
      <w:r w:rsidRPr="007F0002">
        <w:rPr>
          <w:rFonts w:asciiTheme="majorBidi" w:hAnsiTheme="majorBidi" w:cstheme="majorBidi"/>
          <w:lang w:val="id-ID"/>
        </w:rPr>
        <w:t>Temuan penelitian ini memperlihatkan bahwa bahasa yang digunakan dalam landscape memiliki dua bentuk, monolingual dan bilingual. Selain itu menunjukkan ada empat bahasa yang digunakan dalam sign. Bahasa Indonesia memiliki kuantitas lebih tinggi dibandingkan bahasa Inggris, Jawa, dan Arab.</w:t>
      </w:r>
    </w:p>
    <w:p w14:paraId="13F2D98E" w14:textId="77777777" w:rsidR="003D71CD" w:rsidRPr="007F0002" w:rsidRDefault="003D71CD">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p w14:paraId="6690DA8D" w14:textId="77777777" w:rsidR="003D71CD" w:rsidRPr="007F0002" w:rsidRDefault="00000000">
      <w:pPr>
        <w:pBdr>
          <w:top w:val="nil"/>
          <w:left w:val="nil"/>
          <w:bottom w:val="nil"/>
          <w:right w:val="nil"/>
          <w:between w:val="nil"/>
        </w:pBdr>
        <w:spacing w:after="0" w:line="240" w:lineRule="auto"/>
        <w:jc w:val="both"/>
        <w:rPr>
          <w:rFonts w:ascii="Times New Roman" w:eastAsia="Times New Roman" w:hAnsi="Times New Roman" w:cs="Times New Roman"/>
        </w:rPr>
      </w:pPr>
      <w:r w:rsidRPr="007F0002">
        <w:rPr>
          <w:rFonts w:ascii="Times New Roman" w:eastAsia="Times New Roman" w:hAnsi="Times New Roman" w:cs="Times New Roman"/>
          <w:b/>
          <w:i/>
          <w:color w:val="000000"/>
        </w:rPr>
        <w:t>Kesimpulan</w:t>
      </w:r>
    </w:p>
    <w:p w14:paraId="753A624C" w14:textId="5BD9E59C" w:rsidR="007F0002" w:rsidRPr="007F0002" w:rsidRDefault="007F0002">
      <w:pPr>
        <w:pBdr>
          <w:top w:val="nil"/>
          <w:left w:val="nil"/>
          <w:bottom w:val="nil"/>
          <w:right w:val="nil"/>
          <w:between w:val="nil"/>
        </w:pBdr>
        <w:spacing w:after="0" w:line="240" w:lineRule="auto"/>
        <w:jc w:val="both"/>
        <w:rPr>
          <w:rFonts w:ascii="Times New Roman" w:eastAsia="Times New Roman" w:hAnsi="Times New Roman" w:cs="Times New Roman"/>
        </w:rPr>
      </w:pPr>
      <w:r w:rsidRPr="007F0002">
        <w:rPr>
          <w:rFonts w:asciiTheme="majorBidi" w:hAnsiTheme="majorBidi" w:cstheme="majorBidi"/>
          <w:lang w:val="id-ID"/>
        </w:rPr>
        <w:t>Pola bahasa yang digunakan dalam landscape cenderung mencerminkan sarkasme, sinisme, dan retorikal. Penelitian ini menyarankan dilakukan studi lanjutan yang meniliti sign yang sama pada wilayah yang lebih luas mencakup kabupaten Malang, dan wilayah Jawa Timur untuk mendapatkan data yang variatif dan pola sign yang beragam. Dengan demikian informasi data yang didapatkan lebih komprehensif.</w:t>
      </w:r>
    </w:p>
    <w:p w14:paraId="2195A222" w14:textId="77777777" w:rsidR="003D71CD" w:rsidRPr="007F0002" w:rsidRDefault="003D71CD">
      <w:pPr>
        <w:pBdr>
          <w:top w:val="nil"/>
          <w:left w:val="nil"/>
          <w:bottom w:val="nil"/>
          <w:right w:val="nil"/>
          <w:between w:val="nil"/>
        </w:pBdr>
        <w:spacing w:after="0" w:line="240" w:lineRule="auto"/>
        <w:jc w:val="both"/>
        <w:rPr>
          <w:rFonts w:ascii="Times New Roman" w:eastAsia="Times New Roman" w:hAnsi="Times New Roman" w:cs="Times New Roman"/>
        </w:rPr>
      </w:pPr>
    </w:p>
    <w:p w14:paraId="0479A84E" w14:textId="77777777" w:rsidR="003D71CD" w:rsidRDefault="00000000">
      <w:pPr>
        <w:pBdr>
          <w:top w:val="nil"/>
          <w:left w:val="nil"/>
          <w:bottom w:val="nil"/>
          <w:right w:val="nil"/>
          <w:between w:val="nil"/>
        </w:pBdr>
        <w:spacing w:after="0" w:line="240" w:lineRule="auto"/>
        <w:rPr>
          <w:rFonts w:ascii="Times New Roman" w:eastAsia="Times New Roman" w:hAnsi="Times New Roman" w:cs="Times New Roman"/>
          <w:i/>
        </w:rPr>
      </w:pPr>
      <w:r>
        <w:rPr>
          <w:rFonts w:ascii="Times New Roman" w:eastAsia="Times New Roman" w:hAnsi="Times New Roman" w:cs="Times New Roman"/>
          <w:b/>
          <w:i/>
          <w:color w:val="000000"/>
        </w:rPr>
        <w:t xml:space="preserve">Kata </w:t>
      </w:r>
      <w:proofErr w:type="spellStart"/>
      <w:r>
        <w:rPr>
          <w:rFonts w:ascii="Times New Roman" w:eastAsia="Times New Roman" w:hAnsi="Times New Roman" w:cs="Times New Roman"/>
          <w:b/>
          <w:i/>
          <w:color w:val="000000"/>
        </w:rPr>
        <w:t>kunci</w:t>
      </w:r>
      <w:proofErr w:type="spellEnd"/>
    </w:p>
    <w:p w14:paraId="3D04EAB8" w14:textId="06A0EB17" w:rsidR="003D71CD" w:rsidRDefault="00C22559">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i/>
          <w:color w:val="000000"/>
        </w:rPr>
        <w:t>R</w:t>
      </w:r>
      <w:r w:rsidR="007F0002">
        <w:rPr>
          <w:rFonts w:ascii="Times New Roman" w:eastAsia="Times New Roman" w:hAnsi="Times New Roman" w:cs="Times New Roman"/>
          <w:i/>
          <w:color w:val="000000"/>
        </w:rPr>
        <w:t>esistensi</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bahasa</w:t>
      </w:r>
      <w:proofErr w:type="spellEnd"/>
      <w:r w:rsidR="007F0002" w:rsidRPr="007F0002">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lanskap</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linguistik</w:t>
      </w:r>
      <w:proofErr w:type="spellEnd"/>
      <w:r w:rsidR="007F0002" w:rsidRPr="007F0002">
        <w:rPr>
          <w:rFonts w:ascii="Times New Roman" w:eastAsia="Times New Roman" w:hAnsi="Times New Roman" w:cs="Times New Roman"/>
          <w:i/>
          <w:color w:val="000000"/>
        </w:rPr>
        <w:t xml:space="preserve">, </w:t>
      </w:r>
      <w:proofErr w:type="spellStart"/>
      <w:r w:rsidR="007F0002" w:rsidRPr="007F0002">
        <w:rPr>
          <w:rFonts w:ascii="Times New Roman" w:eastAsia="Times New Roman" w:hAnsi="Times New Roman" w:cs="Times New Roman"/>
          <w:i/>
          <w:color w:val="000000"/>
        </w:rPr>
        <w:t>tragedi</w:t>
      </w:r>
      <w:proofErr w:type="spellEnd"/>
      <w:r w:rsidR="007F0002" w:rsidRPr="007F0002">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K</w:t>
      </w:r>
      <w:r w:rsidR="007F0002" w:rsidRPr="007F0002">
        <w:rPr>
          <w:rFonts w:ascii="Times New Roman" w:eastAsia="Times New Roman" w:hAnsi="Times New Roman" w:cs="Times New Roman"/>
          <w:i/>
          <w:color w:val="000000"/>
        </w:rPr>
        <w:t>anjuruan</w:t>
      </w:r>
      <w:proofErr w:type="spellEnd"/>
      <w:r w:rsidR="007F0002" w:rsidRPr="007F0002">
        <w:rPr>
          <w:rFonts w:ascii="Times New Roman" w:eastAsia="Times New Roman" w:hAnsi="Times New Roman" w:cs="Times New Roman"/>
          <w:i/>
          <w:color w:val="000000"/>
        </w:rPr>
        <w:t>, Indonesia</w:t>
      </w:r>
    </w:p>
    <w:p w14:paraId="00AD6F70" w14:textId="77777777" w:rsidR="003D71CD" w:rsidRDefault="003D71CD">
      <w:pPr>
        <w:pBdr>
          <w:top w:val="nil"/>
          <w:left w:val="nil"/>
          <w:bottom w:val="nil"/>
          <w:right w:val="nil"/>
          <w:between w:val="nil"/>
        </w:pBdr>
        <w:spacing w:after="0" w:line="240" w:lineRule="auto"/>
        <w:ind w:right="4"/>
        <w:rPr>
          <w:rFonts w:ascii="Times New Roman" w:eastAsia="Times New Roman" w:hAnsi="Times New Roman" w:cs="Times New Roman"/>
          <w:color w:val="000000"/>
        </w:rPr>
      </w:pPr>
    </w:p>
    <w:p w14:paraId="008652DF" w14:textId="77777777" w:rsidR="003D71CD" w:rsidRDefault="003D71CD">
      <w:pPr>
        <w:tabs>
          <w:tab w:val="left" w:pos="5835"/>
        </w:tabs>
        <w:bidi/>
        <w:spacing w:before="240" w:after="240" w:line="240" w:lineRule="auto"/>
        <w:jc w:val="center"/>
        <w:rPr>
          <w:rFonts w:ascii="Times New Roman" w:eastAsia="Times New Roman" w:hAnsi="Times New Roman" w:cs="Times New Roman"/>
          <w:b/>
          <w:sz w:val="24"/>
          <w:szCs w:val="24"/>
        </w:rPr>
      </w:pPr>
    </w:p>
    <w:p w14:paraId="0967B843" w14:textId="5B6966B3" w:rsidR="003D71CD" w:rsidRDefault="00000000">
      <w:pPr>
        <w:keepNext/>
        <w:pBdr>
          <w:top w:val="nil"/>
          <w:left w:val="nil"/>
          <w:bottom w:val="nil"/>
          <w:right w:val="nil"/>
          <w:between w:val="nil"/>
        </w:pBdr>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INTRODUCTION</w:t>
      </w:r>
    </w:p>
    <w:p w14:paraId="5C3213E3" w14:textId="77777777" w:rsidR="00EF0D5C" w:rsidRP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Landscape linguistics (LL) is not only a medium for conveying people's inspiration in the public sphere but also an act of social and political protest (Kasanga, 2014). LL in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was used as a form of resistance from the community, especially the </w:t>
      </w:r>
      <w:proofErr w:type="spellStart"/>
      <w:r w:rsidRPr="00EF0D5C">
        <w:rPr>
          <w:rFonts w:ascii="Times New Roman" w:eastAsia="Times New Roman" w:hAnsi="Times New Roman" w:cs="Times New Roman"/>
          <w:sz w:val="24"/>
          <w:szCs w:val="24"/>
        </w:rPr>
        <w:t>Aremania</w:t>
      </w:r>
      <w:proofErr w:type="spellEnd"/>
      <w:r w:rsidRPr="00EF0D5C">
        <w:rPr>
          <w:rFonts w:ascii="Times New Roman" w:eastAsia="Times New Roman" w:hAnsi="Times New Roman" w:cs="Times New Roman"/>
          <w:sz w:val="24"/>
          <w:szCs w:val="24"/>
        </w:rPr>
        <w:t xml:space="preserve"> fans, for the use of tear gas, which the security forces misused. This misappropriation resulted in the deaths of 135 </w:t>
      </w:r>
      <w:proofErr w:type="spellStart"/>
      <w:r w:rsidRPr="00EF0D5C">
        <w:rPr>
          <w:rFonts w:ascii="Times New Roman" w:eastAsia="Times New Roman" w:hAnsi="Times New Roman" w:cs="Times New Roman"/>
          <w:sz w:val="24"/>
          <w:szCs w:val="24"/>
        </w:rPr>
        <w:t>Aremania</w:t>
      </w:r>
      <w:proofErr w:type="spellEnd"/>
      <w:r w:rsidRPr="00EF0D5C">
        <w:rPr>
          <w:rFonts w:ascii="Times New Roman" w:eastAsia="Times New Roman" w:hAnsi="Times New Roman" w:cs="Times New Roman"/>
          <w:sz w:val="24"/>
          <w:szCs w:val="24"/>
        </w:rPr>
        <w:t xml:space="preserve"> supporters and 575 injuries on October 1, 2022 (Mahfud MD, 2022) in the </w:t>
      </w:r>
      <w:proofErr w:type="spellStart"/>
      <w:r w:rsidRPr="00EF0D5C">
        <w:rPr>
          <w:rFonts w:ascii="Times New Roman" w:eastAsia="Times New Roman" w:hAnsi="Times New Roman" w:cs="Times New Roman"/>
          <w:sz w:val="24"/>
          <w:szCs w:val="24"/>
        </w:rPr>
        <w:t>Arema</w:t>
      </w:r>
      <w:proofErr w:type="spellEnd"/>
      <w:r w:rsidRPr="00EF0D5C">
        <w:rPr>
          <w:rFonts w:ascii="Times New Roman" w:eastAsia="Times New Roman" w:hAnsi="Times New Roman" w:cs="Times New Roman"/>
          <w:sz w:val="24"/>
          <w:szCs w:val="24"/>
        </w:rPr>
        <w:t xml:space="preserve"> vs </w:t>
      </w:r>
      <w:proofErr w:type="spellStart"/>
      <w:r w:rsidRPr="00EF0D5C">
        <w:rPr>
          <w:rFonts w:ascii="Times New Roman" w:eastAsia="Times New Roman" w:hAnsi="Times New Roman" w:cs="Times New Roman"/>
          <w:sz w:val="24"/>
          <w:szCs w:val="24"/>
        </w:rPr>
        <w:t>Persebaya</w:t>
      </w:r>
      <w:proofErr w:type="spellEnd"/>
      <w:r w:rsidRPr="00EF0D5C">
        <w:rPr>
          <w:rFonts w:ascii="Times New Roman" w:eastAsia="Times New Roman" w:hAnsi="Times New Roman" w:cs="Times New Roman"/>
          <w:sz w:val="24"/>
          <w:szCs w:val="24"/>
        </w:rPr>
        <w:t xml:space="preserve"> match at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stadium, Malang, Indonesia. This number is the second highest in world football tragedies after the Estadio Nacional Disaster tragedy in Lima, Peru, in the Peru match against Argentina in 1964, where 328 people died, and 500 were injured (Edwin Shri </w:t>
      </w:r>
      <w:proofErr w:type="spellStart"/>
      <w:r w:rsidRPr="00EF0D5C">
        <w:rPr>
          <w:rFonts w:ascii="Times New Roman" w:eastAsia="Times New Roman" w:hAnsi="Times New Roman" w:cs="Times New Roman"/>
          <w:sz w:val="24"/>
          <w:szCs w:val="24"/>
        </w:rPr>
        <w:t>Bimo</w:t>
      </w:r>
      <w:proofErr w:type="spellEnd"/>
      <w:r w:rsidRPr="00EF0D5C">
        <w:rPr>
          <w:rFonts w:ascii="Times New Roman" w:eastAsia="Times New Roman" w:hAnsi="Times New Roman" w:cs="Times New Roman"/>
          <w:sz w:val="24"/>
          <w:szCs w:val="24"/>
        </w:rPr>
        <w:t>, 2022). The symbols in LL are installed in various corners of the city, streets, public places, and even in front of the police station to ask for justice for fans, families who have been left behind, and the community. Thus, LL is a medium for voicing public dissatisfaction with government decisions and clarifying demands, and expressing feelings (Papen, 2012).</w:t>
      </w:r>
    </w:p>
    <w:p w14:paraId="0831C0D0" w14:textId="77777777" w:rsidR="00EF0D5C" w:rsidRP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So far, research related to LL can be mapped into four trends. First, LL's study explores religious identity (</w:t>
      </w:r>
      <w:proofErr w:type="spellStart"/>
      <w:r w:rsidRPr="00EF0D5C">
        <w:rPr>
          <w:rFonts w:ascii="Times New Roman" w:eastAsia="Times New Roman" w:hAnsi="Times New Roman" w:cs="Times New Roman"/>
          <w:sz w:val="24"/>
          <w:szCs w:val="24"/>
        </w:rPr>
        <w:t>Ardhian</w:t>
      </w:r>
      <w:proofErr w:type="spellEnd"/>
      <w:r w:rsidRPr="00EF0D5C">
        <w:rPr>
          <w:rFonts w:ascii="Times New Roman" w:eastAsia="Times New Roman" w:hAnsi="Times New Roman" w:cs="Times New Roman"/>
          <w:sz w:val="24"/>
          <w:szCs w:val="24"/>
        </w:rPr>
        <w:t xml:space="preserve"> et al., 2021; Begum &amp; Sinha, 2021; Inya, 2019). The use of Yoruba texts across items reveals </w:t>
      </w:r>
      <w:proofErr w:type="spellStart"/>
      <w:r w:rsidRPr="00EF0D5C">
        <w:rPr>
          <w:rFonts w:ascii="Times New Roman" w:eastAsia="Times New Roman" w:hAnsi="Times New Roman" w:cs="Times New Roman"/>
          <w:sz w:val="24"/>
          <w:szCs w:val="24"/>
        </w:rPr>
        <w:t>religio</w:t>
      </w:r>
      <w:proofErr w:type="spellEnd"/>
      <w:r w:rsidRPr="00EF0D5C">
        <w:rPr>
          <w:rFonts w:ascii="Times New Roman" w:eastAsia="Times New Roman" w:hAnsi="Times New Roman" w:cs="Times New Roman"/>
          <w:sz w:val="24"/>
          <w:szCs w:val="24"/>
        </w:rPr>
        <w:t xml:space="preserve">-cultural and loyalist reasons. In contrast, Arabic confirms the language's inherent attachment to the Islamic religion and fosters a religion-based collective identity between sign writers and sign readers (Inya, 2019). Second, LL studies can reflect social change and urban development (Papen, 2012; Baranova &amp; Fedorova, 2020; Sánchez-López, 2019). The once marginalized city has turned into a metropolis by showing a luxurious landscape on every street. Third, LL is used as a media protest against public dissatisfaction with the government and political system (Kasanga, 2014; Shiri, 2015; </w:t>
      </w:r>
      <w:proofErr w:type="spellStart"/>
      <w:r w:rsidRPr="00EF0D5C">
        <w:rPr>
          <w:rFonts w:ascii="Times New Roman" w:eastAsia="Times New Roman" w:hAnsi="Times New Roman" w:cs="Times New Roman"/>
          <w:sz w:val="24"/>
          <w:szCs w:val="24"/>
        </w:rPr>
        <w:t>Dabbour</w:t>
      </w:r>
      <w:proofErr w:type="spellEnd"/>
      <w:r w:rsidRPr="00EF0D5C">
        <w:rPr>
          <w:rFonts w:ascii="Times New Roman" w:eastAsia="Times New Roman" w:hAnsi="Times New Roman" w:cs="Times New Roman"/>
          <w:sz w:val="24"/>
          <w:szCs w:val="24"/>
        </w:rPr>
        <w:t xml:space="preserve">, 2017; Kull, 2002; Lintz &amp; </w:t>
      </w:r>
      <w:proofErr w:type="spellStart"/>
      <w:r w:rsidRPr="00EF0D5C">
        <w:rPr>
          <w:rFonts w:ascii="Times New Roman" w:eastAsia="Times New Roman" w:hAnsi="Times New Roman" w:cs="Times New Roman"/>
          <w:sz w:val="24"/>
          <w:szCs w:val="24"/>
        </w:rPr>
        <w:t>Leibenath</w:t>
      </w:r>
      <w:proofErr w:type="spellEnd"/>
      <w:r w:rsidRPr="00EF0D5C">
        <w:rPr>
          <w:rFonts w:ascii="Times New Roman" w:eastAsia="Times New Roman" w:hAnsi="Times New Roman" w:cs="Times New Roman"/>
          <w:sz w:val="24"/>
          <w:szCs w:val="24"/>
        </w:rPr>
        <w:t xml:space="preserve">, 2020; </w:t>
      </w:r>
      <w:proofErr w:type="spellStart"/>
      <w:r w:rsidRPr="00EF0D5C">
        <w:rPr>
          <w:rFonts w:ascii="Times New Roman" w:eastAsia="Times New Roman" w:hAnsi="Times New Roman" w:cs="Times New Roman"/>
          <w:sz w:val="24"/>
          <w:szCs w:val="24"/>
        </w:rPr>
        <w:t>Seloni</w:t>
      </w:r>
      <w:proofErr w:type="spellEnd"/>
      <w:r w:rsidRPr="00EF0D5C">
        <w:rPr>
          <w:rFonts w:ascii="Times New Roman" w:eastAsia="Times New Roman" w:hAnsi="Times New Roman" w:cs="Times New Roman"/>
          <w:sz w:val="24"/>
          <w:szCs w:val="24"/>
        </w:rPr>
        <w:t xml:space="preserve"> &amp; Sarfati, 2017). Each code is examined and given a symbolic meaning that reveals the mighty power of signs to provide cultural and political importance to protest (Kasanga, 2014). The language in protest demonstrations reveals a clear shift from monolingual LL, according to the rules of the official language, to multilingual, which refers to linguistic reporters (Shiri, 2015). Fourth, LL is a means of education (Burr, 2021; Sayer, 2009, 2020). LL is used as a medium for learning English by using public symbols to analyze the social meaning of English (Sayer, 2009).</w:t>
      </w:r>
    </w:p>
    <w:p w14:paraId="77BE9AC4" w14:textId="77777777" w:rsidR="00EF0D5C" w:rsidRP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This study aims to complement existing studies related to LL. Since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many signs have appeared in various parts of Malang City, Indonesia, with different shapes and patterns on the character. In line with that, this study aims, apart from mapping the languages used in the landscape from the type and number of languages used, it also conducts critical analysis. That is investigating the relationship between language and society to seek an understanding of the structure of language and how language functions.</w:t>
      </w:r>
    </w:p>
    <w:p w14:paraId="088DAE83" w14:textId="66443BAD" w:rsid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This research is based on the argument that the widespread landscape spread across Malang, Indonesia, has become a sign of public anxiety, restlessness, and anger toward the security forces and the state apparatus. This landscape is a form of open symbolic resistance to the perpetrators of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Those who are supposed to provide protection and guarantee the safety of the public, especially football fans, have caused fatalities and injuries.</w:t>
      </w:r>
    </w:p>
    <w:p w14:paraId="6A692B1B" w14:textId="77777777" w:rsidR="00EF0D5C" w:rsidRDefault="00EF0D5C" w:rsidP="00EF0D5C">
      <w:pPr>
        <w:spacing w:after="0" w:line="240" w:lineRule="auto"/>
        <w:jc w:val="both"/>
        <w:rPr>
          <w:rFonts w:ascii="Times New Roman" w:eastAsia="Times New Roman" w:hAnsi="Times New Roman" w:cs="Times New Roman"/>
          <w:sz w:val="24"/>
          <w:szCs w:val="24"/>
        </w:rPr>
      </w:pPr>
    </w:p>
    <w:p w14:paraId="3CF3F3CC" w14:textId="21FCCF65" w:rsidR="00EF0D5C" w:rsidRDefault="00EF0D5C" w:rsidP="00EF0D5C">
      <w:pPr>
        <w:spacing w:after="0" w:line="240" w:lineRule="auto"/>
        <w:jc w:val="both"/>
        <w:rPr>
          <w:rFonts w:asciiTheme="majorBidi" w:eastAsia="Arial" w:hAnsiTheme="majorBidi" w:cstheme="majorBidi"/>
          <w:b/>
          <w:bCs/>
          <w:color w:val="000000"/>
          <w:sz w:val="24"/>
          <w:szCs w:val="24"/>
        </w:rPr>
      </w:pPr>
      <w:r w:rsidRPr="00BE5FDF">
        <w:rPr>
          <w:rFonts w:asciiTheme="majorBidi" w:eastAsia="Arial" w:hAnsiTheme="majorBidi" w:cstheme="majorBidi"/>
          <w:b/>
          <w:bCs/>
          <w:color w:val="000000"/>
          <w:sz w:val="24"/>
          <w:szCs w:val="24"/>
        </w:rPr>
        <w:t>Language of Resistance</w:t>
      </w:r>
    </w:p>
    <w:p w14:paraId="778C5CD0" w14:textId="77777777" w:rsidR="00EF0D5C" w:rsidRDefault="00EF0D5C" w:rsidP="00EF0D5C">
      <w:pPr>
        <w:spacing w:after="0" w:line="240" w:lineRule="auto"/>
        <w:ind w:firstLine="426"/>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Resistance is defined as resistance, resistance carried out by a person or group of people openly or secretly to oppose or reject and to protest against the rules or actions of other people </w:t>
      </w:r>
      <w:r w:rsidRPr="00EF0D5C">
        <w:rPr>
          <w:rFonts w:ascii="Times New Roman" w:eastAsia="Times New Roman" w:hAnsi="Times New Roman" w:cs="Times New Roman"/>
          <w:sz w:val="24"/>
          <w:szCs w:val="24"/>
        </w:rPr>
        <w:lastRenderedPageBreak/>
        <w:t xml:space="preserve">deemed not in accordance with the prevailing ideology and provisions (Scott, 2000). Meanwhile, humans can use language as a medium to express everything, including freeing themselves from the problems and pressures of life they experience (Habashi, 2008). Language can also encourage a person to express himself to attract the attention of others (Minocha, 2020). Correspondingly, cultural and language resistance can be used as a conceptual approach to which the limits of the impact of hegemonic monolithic language policies on specific groups (Dube, 2020). Forms of resistance can be contained in landscapes oriented toward population movement, distribution, and connectivity (Peterman et al., 2019). </w:t>
      </w:r>
      <w:proofErr w:type="gramStart"/>
      <w:r w:rsidRPr="00EF0D5C">
        <w:rPr>
          <w:rFonts w:ascii="Times New Roman" w:eastAsia="Times New Roman" w:hAnsi="Times New Roman" w:cs="Times New Roman"/>
          <w:sz w:val="24"/>
          <w:szCs w:val="24"/>
        </w:rPr>
        <w:t>Thus</w:t>
      </w:r>
      <w:proofErr w:type="gramEnd"/>
      <w:r w:rsidRPr="00EF0D5C">
        <w:rPr>
          <w:rFonts w:ascii="Times New Roman" w:eastAsia="Times New Roman" w:hAnsi="Times New Roman" w:cs="Times New Roman"/>
          <w:sz w:val="24"/>
          <w:szCs w:val="24"/>
        </w:rPr>
        <w:t xml:space="preserve"> many people use various symbols and languages to protest (</w:t>
      </w:r>
      <w:proofErr w:type="spellStart"/>
      <w:r w:rsidRPr="00EF0D5C">
        <w:rPr>
          <w:rFonts w:ascii="Times New Roman" w:eastAsia="Times New Roman" w:hAnsi="Times New Roman" w:cs="Times New Roman"/>
          <w:sz w:val="24"/>
          <w:szCs w:val="24"/>
        </w:rPr>
        <w:t>Dabbour</w:t>
      </w:r>
      <w:proofErr w:type="spellEnd"/>
      <w:r w:rsidRPr="00EF0D5C">
        <w:rPr>
          <w:rFonts w:ascii="Times New Roman" w:eastAsia="Times New Roman" w:hAnsi="Times New Roman" w:cs="Times New Roman"/>
          <w:sz w:val="24"/>
          <w:szCs w:val="24"/>
        </w:rPr>
        <w:t>, 2017).</w:t>
      </w:r>
    </w:p>
    <w:p w14:paraId="6F1C07CF" w14:textId="63921DC1" w:rsidR="00EF0D5C" w:rsidRDefault="00EF0D5C" w:rsidP="00EF0D5C">
      <w:pPr>
        <w:spacing w:after="0" w:line="240" w:lineRule="auto"/>
        <w:ind w:firstLine="426"/>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The language used as a medium for protest has specific characteristics, such as the choice of sarcasm and convincing words (</w:t>
      </w:r>
      <w:proofErr w:type="spellStart"/>
      <w:r w:rsidRPr="00EF0D5C">
        <w:rPr>
          <w:rFonts w:ascii="Times New Roman" w:eastAsia="Times New Roman" w:hAnsi="Times New Roman" w:cs="Times New Roman"/>
          <w:sz w:val="24"/>
          <w:szCs w:val="24"/>
        </w:rPr>
        <w:t>Dabbour</w:t>
      </w:r>
      <w:proofErr w:type="spellEnd"/>
      <w:r w:rsidRPr="00EF0D5C">
        <w:rPr>
          <w:rFonts w:ascii="Times New Roman" w:eastAsia="Times New Roman" w:hAnsi="Times New Roman" w:cs="Times New Roman"/>
          <w:sz w:val="24"/>
          <w:szCs w:val="24"/>
        </w:rPr>
        <w:t xml:space="preserve">, 2017). Along with that (Christoph Steinhardt &amp; Wu, 2016) states that the form of protest carried out by the community can be mapped into four prominent cases, namely: 1) expanding protest constituencies, 2) mobilization for public goods, 3) proactive strategies to prevent government projects; and 4) mutually reinforcing street mobilization and policy advocacy (Christoph Steinhardt &amp; Wu, 2016). The use of specific languages also often arises from various motivations to protest government policies that reduce people's rights to live as a nation and state (Chamberlain &amp; Snyman, 2017). </w:t>
      </w:r>
      <w:proofErr w:type="gramStart"/>
      <w:r w:rsidRPr="00EF0D5C">
        <w:rPr>
          <w:rFonts w:ascii="Times New Roman" w:eastAsia="Times New Roman" w:hAnsi="Times New Roman" w:cs="Times New Roman"/>
          <w:sz w:val="24"/>
          <w:szCs w:val="24"/>
        </w:rPr>
        <w:t>Thus</w:t>
      </w:r>
      <w:proofErr w:type="gramEnd"/>
      <w:r w:rsidRPr="00EF0D5C">
        <w:rPr>
          <w:rFonts w:ascii="Times New Roman" w:eastAsia="Times New Roman" w:hAnsi="Times New Roman" w:cs="Times New Roman"/>
          <w:sz w:val="24"/>
          <w:szCs w:val="24"/>
        </w:rPr>
        <w:t xml:space="preserve"> language in the landscape becomes a unit of analysis for signs of protest to find dominant patterns representing national identity (</w:t>
      </w:r>
      <w:proofErr w:type="spellStart"/>
      <w:r w:rsidRPr="00EF0D5C">
        <w:rPr>
          <w:rFonts w:ascii="Times New Roman" w:eastAsia="Times New Roman" w:hAnsi="Times New Roman" w:cs="Times New Roman"/>
          <w:sz w:val="24"/>
          <w:szCs w:val="24"/>
        </w:rPr>
        <w:t>Dabbour</w:t>
      </w:r>
      <w:proofErr w:type="spellEnd"/>
      <w:r w:rsidRPr="00EF0D5C">
        <w:rPr>
          <w:rFonts w:ascii="Times New Roman" w:eastAsia="Times New Roman" w:hAnsi="Times New Roman" w:cs="Times New Roman"/>
          <w:sz w:val="24"/>
          <w:szCs w:val="24"/>
        </w:rPr>
        <w:t>, 2017).</w:t>
      </w:r>
    </w:p>
    <w:p w14:paraId="2637344D" w14:textId="77777777" w:rsidR="00EF0D5C" w:rsidRDefault="00EF0D5C" w:rsidP="00EF0D5C">
      <w:pPr>
        <w:spacing w:after="0" w:line="240" w:lineRule="auto"/>
        <w:jc w:val="both"/>
        <w:rPr>
          <w:rFonts w:ascii="Times New Roman" w:eastAsia="Times New Roman" w:hAnsi="Times New Roman" w:cs="Times New Roman"/>
          <w:sz w:val="24"/>
          <w:szCs w:val="24"/>
        </w:rPr>
      </w:pPr>
    </w:p>
    <w:p w14:paraId="1EA6FD0F" w14:textId="24722497" w:rsidR="00EF0D5C" w:rsidRPr="00EF0D5C" w:rsidRDefault="00EF0D5C" w:rsidP="00EF0D5C">
      <w:pPr>
        <w:spacing w:after="0" w:line="240" w:lineRule="auto"/>
        <w:jc w:val="both"/>
        <w:rPr>
          <w:rFonts w:ascii="Times New Roman" w:eastAsia="Times New Roman" w:hAnsi="Times New Roman" w:cs="Times New Roman"/>
          <w:b/>
          <w:bCs/>
          <w:sz w:val="24"/>
          <w:szCs w:val="24"/>
          <w:highlight w:val="yellow"/>
        </w:rPr>
      </w:pPr>
      <w:r w:rsidRPr="00EF0D5C">
        <w:rPr>
          <w:rFonts w:ascii="Times New Roman" w:eastAsia="Times New Roman" w:hAnsi="Times New Roman" w:cs="Times New Roman"/>
          <w:b/>
          <w:bCs/>
          <w:sz w:val="24"/>
          <w:szCs w:val="24"/>
        </w:rPr>
        <w:t>Landscape Linguistics</w:t>
      </w:r>
    </w:p>
    <w:p w14:paraId="75E29B05" w14:textId="77777777" w:rsidR="00EF0D5C" w:rsidRP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Linguistics landscape (LL) represents the visibility and salience of language in public and commercial signs (Landry &amp; </w:t>
      </w:r>
      <w:proofErr w:type="spellStart"/>
      <w:r w:rsidRPr="00EF0D5C">
        <w:rPr>
          <w:rFonts w:ascii="Times New Roman" w:eastAsia="Times New Roman" w:hAnsi="Times New Roman" w:cs="Times New Roman"/>
          <w:sz w:val="24"/>
          <w:szCs w:val="24"/>
        </w:rPr>
        <w:t>Bourhis</w:t>
      </w:r>
      <w:proofErr w:type="spellEnd"/>
      <w:r w:rsidRPr="00EF0D5C">
        <w:rPr>
          <w:rFonts w:ascii="Times New Roman" w:eastAsia="Times New Roman" w:hAnsi="Times New Roman" w:cs="Times New Roman"/>
          <w:sz w:val="24"/>
          <w:szCs w:val="24"/>
        </w:rPr>
        <w:t xml:space="preserve">, 1997). Furthermore, they define LL as the language of general street signs, billboards, street names, place names, commercial shop signs, and available signs that form the linguistic landscape of a particular area, region, or urban agglomeration (Landry &amp; </w:t>
      </w:r>
      <w:proofErr w:type="spellStart"/>
      <w:r w:rsidRPr="00EF0D5C">
        <w:rPr>
          <w:rFonts w:ascii="Times New Roman" w:eastAsia="Times New Roman" w:hAnsi="Times New Roman" w:cs="Times New Roman"/>
          <w:sz w:val="24"/>
          <w:szCs w:val="24"/>
        </w:rPr>
        <w:t>Bourhis</w:t>
      </w:r>
      <w:proofErr w:type="spellEnd"/>
      <w:r w:rsidRPr="00EF0D5C">
        <w:rPr>
          <w:rFonts w:ascii="Times New Roman" w:eastAsia="Times New Roman" w:hAnsi="Times New Roman" w:cs="Times New Roman"/>
          <w:sz w:val="24"/>
          <w:szCs w:val="24"/>
        </w:rPr>
        <w:t xml:space="preserve">, 1997). In short, LL is defined as using written language in public spaces' (Landry &amp; </w:t>
      </w:r>
      <w:proofErr w:type="spellStart"/>
      <w:r w:rsidRPr="00EF0D5C">
        <w:rPr>
          <w:rFonts w:ascii="Times New Roman" w:eastAsia="Times New Roman" w:hAnsi="Times New Roman" w:cs="Times New Roman"/>
          <w:sz w:val="24"/>
          <w:szCs w:val="24"/>
        </w:rPr>
        <w:t>Bourhis</w:t>
      </w:r>
      <w:proofErr w:type="spellEnd"/>
      <w:r w:rsidRPr="00EF0D5C">
        <w:rPr>
          <w:rFonts w:ascii="Times New Roman" w:eastAsia="Times New Roman" w:hAnsi="Times New Roman" w:cs="Times New Roman"/>
          <w:sz w:val="24"/>
          <w:szCs w:val="24"/>
        </w:rPr>
        <w:t xml:space="preserve">, 1997). This is in line with (Monje, 2017), which states that LL can be in the form of moving posters, placards, banners, and other signs, including text on bodies, t-shirts, umbrellas, and stones. In line with that, LL is a linguistic study that links language with the spatial structure of place and time, semiotics with mobility, and images of social interaction in an area (Nash, 2016). Furthermore, LL can be a basis for knowing the strength of local and foreign languages in a place (Dal Negro, 2009). </w:t>
      </w:r>
      <w:proofErr w:type="gramStart"/>
      <w:r w:rsidRPr="00EF0D5C">
        <w:rPr>
          <w:rFonts w:ascii="Times New Roman" w:eastAsia="Times New Roman" w:hAnsi="Times New Roman" w:cs="Times New Roman"/>
          <w:sz w:val="24"/>
          <w:szCs w:val="24"/>
        </w:rPr>
        <w:t>Thus</w:t>
      </w:r>
      <w:proofErr w:type="gramEnd"/>
      <w:r w:rsidRPr="00EF0D5C">
        <w:rPr>
          <w:rFonts w:ascii="Times New Roman" w:eastAsia="Times New Roman" w:hAnsi="Times New Roman" w:cs="Times New Roman"/>
          <w:sz w:val="24"/>
          <w:szCs w:val="24"/>
        </w:rPr>
        <w:t xml:space="preserve"> LL has proven to be a helpful approach for investigating various dimensions of society in the use of written language in public spaces (Orman, 2008).</w:t>
      </w:r>
    </w:p>
    <w:p w14:paraId="7A063ECA" w14:textId="116212EB" w:rsid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The LL study is a study that involves collaboration between applied linguists, sociolinguists, sociologists, psychologists, geographers, culturalists, and several other disciplines (Rafael et al., 2018). LL is also considered a means of developing globalization that conquers the world through world-spanning commercial networks and massive migration from underprivileged countries to privileged countries (Ben-Rafael, 2015). The collocations of "hidden agenda" and "implicit message" are commonly used to describe the influence of LL on language ideology and pedagogical decisions in specific environments (Przymus &amp; Kohler, 2018). Syrjälä adds that LL is almost exclusively composed of signs in the language of a particular country's identity, as in Sweden, functionally, a variety of different signals can be found on local business centers, bulletin boards, information boards, and general directions (Syrjälä, 2022). LL studies can also analyze and interpret the relationship between language and space, including in the growing field of sociolinguistics (</w:t>
      </w:r>
      <w:proofErr w:type="spellStart"/>
      <w:r w:rsidRPr="00EF0D5C">
        <w:rPr>
          <w:rFonts w:ascii="Times New Roman" w:eastAsia="Times New Roman" w:hAnsi="Times New Roman" w:cs="Times New Roman"/>
          <w:sz w:val="24"/>
          <w:szCs w:val="24"/>
        </w:rPr>
        <w:t>Hélot</w:t>
      </w:r>
      <w:proofErr w:type="spellEnd"/>
      <w:r w:rsidRPr="00EF0D5C">
        <w:rPr>
          <w:rFonts w:ascii="Times New Roman" w:eastAsia="Times New Roman" w:hAnsi="Times New Roman" w:cs="Times New Roman"/>
          <w:sz w:val="24"/>
          <w:szCs w:val="24"/>
        </w:rPr>
        <w:t xml:space="preserve">, C. et al., 2013). In all its </w:t>
      </w:r>
      <w:r w:rsidRPr="00EF0D5C">
        <w:rPr>
          <w:rFonts w:ascii="Times New Roman" w:eastAsia="Times New Roman" w:hAnsi="Times New Roman" w:cs="Times New Roman"/>
          <w:sz w:val="24"/>
          <w:szCs w:val="24"/>
        </w:rPr>
        <w:lastRenderedPageBreak/>
        <w:t>diversity, LL can be seen as a linguistic mirror of the dynamics of global society. Thus, LL can be analyzed linguistically and culturally to explore language, culture, politics, and power.</w:t>
      </w:r>
    </w:p>
    <w:p w14:paraId="14F46AFD" w14:textId="77777777" w:rsidR="00EF0D5C" w:rsidRDefault="00EF0D5C" w:rsidP="00EF0D5C">
      <w:pPr>
        <w:spacing w:after="0" w:line="240" w:lineRule="auto"/>
        <w:jc w:val="both"/>
        <w:rPr>
          <w:rFonts w:ascii="Times New Roman" w:eastAsia="Times New Roman" w:hAnsi="Times New Roman" w:cs="Times New Roman"/>
          <w:sz w:val="24"/>
          <w:szCs w:val="24"/>
        </w:rPr>
      </w:pPr>
    </w:p>
    <w:p w14:paraId="7C8B63E9" w14:textId="3B787E10" w:rsidR="00EF0D5C" w:rsidRPr="00EF0D5C" w:rsidRDefault="00EF0D5C" w:rsidP="00EF0D5C">
      <w:pPr>
        <w:spacing w:after="0" w:line="240" w:lineRule="auto"/>
        <w:jc w:val="both"/>
        <w:rPr>
          <w:rFonts w:ascii="Times New Roman" w:eastAsia="Times New Roman" w:hAnsi="Times New Roman" w:cs="Times New Roman"/>
          <w:b/>
          <w:bCs/>
          <w:sz w:val="24"/>
          <w:szCs w:val="24"/>
          <w:highlight w:val="yellow"/>
        </w:rPr>
      </w:pPr>
      <w:proofErr w:type="spellStart"/>
      <w:r w:rsidRPr="00EF0D5C">
        <w:rPr>
          <w:rFonts w:ascii="Times New Roman" w:eastAsia="Times New Roman" w:hAnsi="Times New Roman" w:cs="Times New Roman"/>
          <w:b/>
          <w:bCs/>
          <w:sz w:val="24"/>
          <w:szCs w:val="24"/>
        </w:rPr>
        <w:t>Kanjur</w:t>
      </w:r>
      <w:r w:rsidR="009A764C">
        <w:rPr>
          <w:rFonts w:ascii="Times New Roman" w:eastAsia="Times New Roman" w:hAnsi="Times New Roman" w:cs="Times New Roman"/>
          <w:b/>
          <w:bCs/>
          <w:sz w:val="24"/>
          <w:szCs w:val="24"/>
        </w:rPr>
        <w:t>u</w:t>
      </w:r>
      <w:r w:rsidRPr="00EF0D5C">
        <w:rPr>
          <w:rFonts w:ascii="Times New Roman" w:eastAsia="Times New Roman" w:hAnsi="Times New Roman" w:cs="Times New Roman"/>
          <w:b/>
          <w:bCs/>
          <w:sz w:val="24"/>
          <w:szCs w:val="24"/>
        </w:rPr>
        <w:t>an</w:t>
      </w:r>
      <w:proofErr w:type="spellEnd"/>
      <w:r w:rsidRPr="00EF0D5C">
        <w:rPr>
          <w:rFonts w:ascii="Times New Roman" w:eastAsia="Times New Roman" w:hAnsi="Times New Roman" w:cs="Times New Roman"/>
          <w:b/>
          <w:bCs/>
          <w:sz w:val="24"/>
          <w:szCs w:val="24"/>
        </w:rPr>
        <w:t xml:space="preserve"> Tragedy</w:t>
      </w:r>
    </w:p>
    <w:p w14:paraId="744A09E5" w14:textId="77777777" w:rsidR="00EF0D5C" w:rsidRPr="00EF0D5C" w:rsidRDefault="00EF0D5C" w:rsidP="00EF0D5C">
      <w:pPr>
        <w:spacing w:after="0" w:line="240" w:lineRule="auto"/>
        <w:ind w:firstLine="425"/>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Tragedy is sad (Badan </w:t>
      </w:r>
      <w:proofErr w:type="spellStart"/>
      <w:r w:rsidRPr="00EF0D5C">
        <w:rPr>
          <w:rFonts w:ascii="Times New Roman" w:eastAsia="Times New Roman" w:hAnsi="Times New Roman" w:cs="Times New Roman"/>
          <w:sz w:val="24"/>
          <w:szCs w:val="24"/>
        </w:rPr>
        <w:t>Pengembangan</w:t>
      </w:r>
      <w:proofErr w:type="spellEnd"/>
      <w:r w:rsidRPr="00EF0D5C">
        <w:rPr>
          <w:rFonts w:ascii="Times New Roman" w:eastAsia="Times New Roman" w:hAnsi="Times New Roman" w:cs="Times New Roman"/>
          <w:sz w:val="24"/>
          <w:szCs w:val="24"/>
        </w:rPr>
        <w:t xml:space="preserve"> dan </w:t>
      </w:r>
      <w:proofErr w:type="spellStart"/>
      <w:r w:rsidRPr="00EF0D5C">
        <w:rPr>
          <w:rFonts w:ascii="Times New Roman" w:eastAsia="Times New Roman" w:hAnsi="Times New Roman" w:cs="Times New Roman"/>
          <w:sz w:val="24"/>
          <w:szCs w:val="24"/>
        </w:rPr>
        <w:t>Pembinaan</w:t>
      </w:r>
      <w:proofErr w:type="spellEnd"/>
      <w:r w:rsidRPr="00EF0D5C">
        <w:rPr>
          <w:rFonts w:ascii="Times New Roman" w:eastAsia="Times New Roman" w:hAnsi="Times New Roman" w:cs="Times New Roman"/>
          <w:sz w:val="24"/>
          <w:szCs w:val="24"/>
        </w:rPr>
        <w:t xml:space="preserve"> Bahasa, 2016). Tragedy is a word that has a negative connotation, which is a description of events that were not expected to occur but have occurred (Ikhwan, 2020). Furthermore, Ikhwan explained that the negativity of tragedy is always seen from the physical aspect, such as damage, destruction, death, injury, and deep disappointment (Ikhwan, 2020). Tragedy can also be interpreted as friction that arises from different dichotomies, namely art that emphasize the beauty of appearance, and art that prioritizes self-expression, between the world of dreams and the fundamental nature (Friedrich Nietzsche, 2015). The emergence of a tragedy cannot be avoided because tragedy is a dialogue process between two different camps (</w:t>
      </w:r>
      <w:proofErr w:type="spellStart"/>
      <w:r w:rsidRPr="00EF0D5C">
        <w:rPr>
          <w:rFonts w:ascii="Times New Roman" w:eastAsia="Times New Roman" w:hAnsi="Times New Roman" w:cs="Times New Roman"/>
          <w:sz w:val="24"/>
          <w:szCs w:val="24"/>
        </w:rPr>
        <w:t>Liawati</w:t>
      </w:r>
      <w:proofErr w:type="spellEnd"/>
      <w:r w:rsidRPr="00EF0D5C">
        <w:rPr>
          <w:rFonts w:ascii="Times New Roman" w:eastAsia="Times New Roman" w:hAnsi="Times New Roman" w:cs="Times New Roman"/>
          <w:sz w:val="24"/>
          <w:szCs w:val="24"/>
        </w:rPr>
        <w:t>, 2019). Ebrahimi, M., &amp; Taheri, A. (2017) state that tragedy is a struggle with fate that cannot be won. A tragedy never goes away because its events are always remembered and can develop into lessons that can be found over time.</w:t>
      </w:r>
    </w:p>
    <w:p w14:paraId="004271DE" w14:textId="576A9A37" w:rsidR="00EF0D5C" w:rsidRDefault="00EF0D5C" w:rsidP="00EF0D5C">
      <w:pPr>
        <w:spacing w:after="0" w:line="240" w:lineRule="auto"/>
        <w:ind w:firstLine="425"/>
        <w:jc w:val="both"/>
        <w:rPr>
          <w:rFonts w:ascii="Times New Roman" w:eastAsia="Times New Roman" w:hAnsi="Times New Roman" w:cs="Times New Roman"/>
          <w:sz w:val="24"/>
          <w:szCs w:val="24"/>
          <w:highlight w:val="yellow"/>
        </w:rPr>
      </w:pPr>
      <w:r w:rsidRPr="00EF0D5C">
        <w:rPr>
          <w:rFonts w:ascii="Times New Roman" w:eastAsia="Times New Roman" w:hAnsi="Times New Roman" w:cs="Times New Roman"/>
          <w:sz w:val="24"/>
          <w:szCs w:val="24"/>
        </w:rPr>
        <w:t xml:space="preserve">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was a chaotic incident on October 1, 2022, which occurred after the match between </w:t>
      </w:r>
      <w:proofErr w:type="spellStart"/>
      <w:r w:rsidRPr="00EF0D5C">
        <w:rPr>
          <w:rFonts w:ascii="Times New Roman" w:eastAsia="Times New Roman" w:hAnsi="Times New Roman" w:cs="Times New Roman"/>
          <w:sz w:val="24"/>
          <w:szCs w:val="24"/>
        </w:rPr>
        <w:t>Arema</w:t>
      </w:r>
      <w:proofErr w:type="spellEnd"/>
      <w:r w:rsidRPr="00EF0D5C">
        <w:rPr>
          <w:rFonts w:ascii="Times New Roman" w:eastAsia="Times New Roman" w:hAnsi="Times New Roman" w:cs="Times New Roman"/>
          <w:sz w:val="24"/>
          <w:szCs w:val="24"/>
        </w:rPr>
        <w:t xml:space="preserve"> FC and </w:t>
      </w:r>
      <w:proofErr w:type="spellStart"/>
      <w:r w:rsidRPr="00EF0D5C">
        <w:rPr>
          <w:rFonts w:ascii="Times New Roman" w:eastAsia="Times New Roman" w:hAnsi="Times New Roman" w:cs="Times New Roman"/>
          <w:sz w:val="24"/>
          <w:szCs w:val="24"/>
        </w:rPr>
        <w:t>Persebaya</w:t>
      </w:r>
      <w:proofErr w:type="spellEnd"/>
      <w:r w:rsidRPr="00EF0D5C">
        <w:rPr>
          <w:rFonts w:ascii="Times New Roman" w:eastAsia="Times New Roman" w:hAnsi="Times New Roman" w:cs="Times New Roman"/>
          <w:sz w:val="24"/>
          <w:szCs w:val="24"/>
        </w:rPr>
        <w:t xml:space="preserve"> with a score of 2-3 at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stadium, Malang Regency, Indonesia (Mahfud MD, 2022). As a result of this defeat, several fans invaded the field area (Rahayu, 2022). Joint security officers from the police and the Indonesian National Army (TNI) tried to drive away the masses using tear gas (Eka </w:t>
      </w:r>
      <w:proofErr w:type="spellStart"/>
      <w:r w:rsidRPr="00EF0D5C">
        <w:rPr>
          <w:rFonts w:ascii="Times New Roman" w:eastAsia="Times New Roman" w:hAnsi="Times New Roman" w:cs="Times New Roman"/>
          <w:sz w:val="24"/>
          <w:szCs w:val="24"/>
        </w:rPr>
        <w:t>Yudha</w:t>
      </w:r>
      <w:proofErr w:type="spellEnd"/>
      <w:r w:rsidRPr="00EF0D5C">
        <w:rPr>
          <w:rFonts w:ascii="Times New Roman" w:eastAsia="Times New Roman" w:hAnsi="Times New Roman" w:cs="Times New Roman"/>
          <w:sz w:val="24"/>
          <w:szCs w:val="24"/>
        </w:rPr>
        <w:t xml:space="preserve"> Saputra, 2022). This tragedy has claimed the lives of hundreds of supporters, reaching 135 people, and 575 injured who were treated in hospitals (</w:t>
      </w:r>
      <w:proofErr w:type="spellStart"/>
      <w:r w:rsidRPr="00EF0D5C">
        <w:rPr>
          <w:rFonts w:ascii="Times New Roman" w:eastAsia="Times New Roman" w:hAnsi="Times New Roman" w:cs="Times New Roman"/>
          <w:sz w:val="24"/>
          <w:szCs w:val="24"/>
        </w:rPr>
        <w:t>Komnas</w:t>
      </w:r>
      <w:proofErr w:type="spellEnd"/>
      <w:r w:rsidRPr="00EF0D5C">
        <w:rPr>
          <w:rFonts w:ascii="Times New Roman" w:eastAsia="Times New Roman" w:hAnsi="Times New Roman" w:cs="Times New Roman"/>
          <w:sz w:val="24"/>
          <w:szCs w:val="24"/>
        </w:rPr>
        <w:t xml:space="preserve"> HAM, 2022). This tragedy was a deadly disaster and made Indonesia second in football riots with the most significant number of victims after the tragedy at the National Stadium in Lima, Peru, on May 24, 1964, which claimed 328 lives and 500 people were injured (Eduard Lukman, 2022).</w:t>
      </w:r>
    </w:p>
    <w:p w14:paraId="298A666F" w14:textId="2FAB0BEB" w:rsidR="003D71CD" w:rsidRDefault="003D71CD">
      <w:pPr>
        <w:spacing w:after="0" w:line="240" w:lineRule="auto"/>
        <w:ind w:firstLine="357"/>
        <w:jc w:val="both"/>
        <w:rPr>
          <w:rFonts w:ascii="Times New Roman" w:eastAsia="Times New Roman" w:hAnsi="Times New Roman" w:cs="Times New Roman"/>
          <w:sz w:val="24"/>
          <w:szCs w:val="24"/>
        </w:rPr>
      </w:pPr>
    </w:p>
    <w:p w14:paraId="3D888512" w14:textId="77777777" w:rsidR="003D71CD" w:rsidRDefault="003D71CD">
      <w:pPr>
        <w:spacing w:after="0" w:line="240" w:lineRule="auto"/>
        <w:ind w:firstLine="357"/>
        <w:jc w:val="both"/>
        <w:rPr>
          <w:rFonts w:ascii="Times New Roman" w:eastAsia="Times New Roman" w:hAnsi="Times New Roman" w:cs="Times New Roman"/>
          <w:sz w:val="24"/>
          <w:szCs w:val="24"/>
        </w:rPr>
      </w:pPr>
    </w:p>
    <w:p w14:paraId="3965C7B9" w14:textId="6006B955" w:rsidR="003D71CD" w:rsidRDefault="00000000">
      <w:pPr>
        <w:spacing w:after="12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w:t>
      </w:r>
    </w:p>
    <w:p w14:paraId="07B1DE21" w14:textId="77777777" w:rsidR="00EF0D5C" w:rsidRPr="00EF0D5C" w:rsidRDefault="00EF0D5C" w:rsidP="00EF0D5C">
      <w:pPr>
        <w:spacing w:after="0" w:line="240" w:lineRule="auto"/>
        <w:ind w:firstLine="357"/>
        <w:jc w:val="both"/>
        <w:rPr>
          <w:rFonts w:ascii="Times New Roman" w:eastAsia="Times New Roman" w:hAnsi="Times New Roman" w:cs="Times New Roman"/>
          <w:sz w:val="24"/>
          <w:szCs w:val="24"/>
        </w:rPr>
      </w:pPr>
      <w:bookmarkStart w:id="3" w:name="_1fob9te" w:colFirst="0" w:colLast="0"/>
      <w:bookmarkEnd w:id="3"/>
      <w:r w:rsidRPr="00EF0D5C">
        <w:rPr>
          <w:rFonts w:ascii="Times New Roman" w:eastAsia="Times New Roman" w:hAnsi="Times New Roman" w:cs="Times New Roman"/>
          <w:sz w:val="24"/>
          <w:szCs w:val="24"/>
        </w:rPr>
        <w:t xml:space="preserve">This study uses a qualitative descriptive research method based on a sign showing the protest of Malang City's people over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This Linguistic Landscape was chosen based on the proliferation of signs posted in various parts of Malang. Pictures were taken on signs posted in public places, on roads, bridges, city halls, squares, and stations, in front of police offices, educational institutions, and in front of shops. The unit of analysis in this study is each language they write in the sign. Starting from the variety of languages, the font size of the letters written, and the color of the writing on the sign.</w:t>
      </w:r>
    </w:p>
    <w:p w14:paraId="4DA3591A" w14:textId="77777777" w:rsidR="00EF0D5C" w:rsidRPr="00EF0D5C" w:rsidRDefault="00EF0D5C" w:rsidP="00EF0D5C">
      <w:pPr>
        <w:spacing w:after="0" w:line="240" w:lineRule="auto"/>
        <w:ind w:firstLine="357"/>
        <w:jc w:val="both"/>
        <w:rPr>
          <w:rFonts w:ascii="Times New Roman" w:eastAsia="Times New Roman" w:hAnsi="Times New Roman" w:cs="Times New Roman"/>
          <w:sz w:val="24"/>
          <w:szCs w:val="24"/>
        </w:rPr>
      </w:pPr>
      <w:r w:rsidRPr="00EF0D5C">
        <w:rPr>
          <w:rFonts w:ascii="Times New Roman" w:eastAsia="Times New Roman" w:hAnsi="Times New Roman" w:cs="Times New Roman"/>
          <w:sz w:val="24"/>
          <w:szCs w:val="24"/>
        </w:rPr>
        <w:t xml:space="preserve">This study uses documentation techniques in collecting data. Documents in the form of signs in various public places are photographed using the camera tool from </w:t>
      </w:r>
      <w:proofErr w:type="spellStart"/>
      <w:r w:rsidRPr="00EF0D5C">
        <w:rPr>
          <w:rFonts w:ascii="Times New Roman" w:eastAsia="Times New Roman" w:hAnsi="Times New Roman" w:cs="Times New Roman"/>
          <w:sz w:val="24"/>
          <w:szCs w:val="24"/>
        </w:rPr>
        <w:t>HandPone</w:t>
      </w:r>
      <w:proofErr w:type="spellEnd"/>
      <w:r w:rsidRPr="00EF0D5C">
        <w:rPr>
          <w:rFonts w:ascii="Times New Roman" w:eastAsia="Times New Roman" w:hAnsi="Times New Roman" w:cs="Times New Roman"/>
          <w:sz w:val="24"/>
          <w:szCs w:val="24"/>
        </w:rPr>
        <w:t xml:space="preserve">, which has a rear camera resolution of 108 MP, a front camera resolution of 20 MP, and another main camera resolution of 8.2 MP. Data collection was carried out during October-December 2022. It has been three months since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started, and the people of Malang are currently installing landscaping as a sign of protest. Another reason was that that month the city courts of Malang and East Java had issued criminal decisions against the perpetrators of the </w:t>
      </w:r>
      <w:proofErr w:type="spellStart"/>
      <w:r w:rsidRPr="00EF0D5C">
        <w:rPr>
          <w:rFonts w:ascii="Times New Roman" w:eastAsia="Times New Roman" w:hAnsi="Times New Roman" w:cs="Times New Roman"/>
          <w:sz w:val="24"/>
          <w:szCs w:val="24"/>
        </w:rPr>
        <w:t>Kanjuruan</w:t>
      </w:r>
      <w:proofErr w:type="spellEnd"/>
      <w:r w:rsidRPr="00EF0D5C">
        <w:rPr>
          <w:rFonts w:ascii="Times New Roman" w:eastAsia="Times New Roman" w:hAnsi="Times New Roman" w:cs="Times New Roman"/>
          <w:sz w:val="24"/>
          <w:szCs w:val="24"/>
        </w:rPr>
        <w:t xml:space="preserve"> tragedy. The landscape is installed as a form of open resistance to dissatisfaction and unfair punishment for the perpetrators, which resulted in the loss of more than one hundred lives and hundreds of injuries.</w:t>
      </w:r>
    </w:p>
    <w:p w14:paraId="4F737B96" w14:textId="0E9E0E5E" w:rsidR="00EF0D5C" w:rsidRDefault="00EF0D5C" w:rsidP="00EF0D5C">
      <w:pPr>
        <w:spacing w:after="0" w:line="240" w:lineRule="auto"/>
        <w:ind w:firstLine="357"/>
        <w:jc w:val="both"/>
        <w:rPr>
          <w:rFonts w:ascii="Times New Roman" w:eastAsia="Times New Roman" w:hAnsi="Times New Roman" w:cs="Times New Roman"/>
          <w:sz w:val="24"/>
          <w:szCs w:val="24"/>
          <w:highlight w:val="yellow"/>
        </w:rPr>
      </w:pPr>
      <w:r w:rsidRPr="00EF0D5C">
        <w:rPr>
          <w:rFonts w:ascii="Times New Roman" w:eastAsia="Times New Roman" w:hAnsi="Times New Roman" w:cs="Times New Roman"/>
          <w:sz w:val="24"/>
          <w:szCs w:val="24"/>
        </w:rPr>
        <w:lastRenderedPageBreak/>
        <w:t>The collected data is then analyzed according to the stages of analysis initiated by Miles and Huberman (Miles &amp; Huberman, 2016), namely data reduction, data display, data statement, and conclusion. The collected data were mapped and selected thematically (monolingual and bilingual signs). Then display data in the form of tables and figures. Data tables are needed to show the quantity and processing of each character. The image is a sample to show the language used in the sign. Data restatement is done through content analysis and critical analysis. Content analysis calculates the number and percentage of languages used in each character. Language is mapped on the type of language and language patterns used. To know which language is dominant and which is minimally used by the community. Critical analysis was conducted to determine the tendencies of the language patterns they wrote. Furthermore, a relevant conclusion can be drawn</w:t>
      </w:r>
    </w:p>
    <w:p w14:paraId="2E2170A2" w14:textId="77777777" w:rsidR="003D71CD" w:rsidRDefault="003D71CD">
      <w:pPr>
        <w:spacing w:after="0" w:line="240" w:lineRule="auto"/>
        <w:ind w:firstLine="357"/>
        <w:jc w:val="both"/>
        <w:rPr>
          <w:rFonts w:ascii="Times New Roman" w:eastAsia="Times New Roman" w:hAnsi="Times New Roman" w:cs="Times New Roman"/>
          <w:sz w:val="24"/>
          <w:szCs w:val="24"/>
        </w:rPr>
      </w:pPr>
    </w:p>
    <w:p w14:paraId="2389C726" w14:textId="77777777" w:rsidR="00EF0D5C" w:rsidRDefault="00EF0D5C">
      <w:pPr>
        <w:spacing w:after="0" w:line="240" w:lineRule="auto"/>
        <w:ind w:firstLine="357"/>
        <w:jc w:val="both"/>
        <w:rPr>
          <w:rFonts w:ascii="Times New Roman" w:eastAsia="Times New Roman" w:hAnsi="Times New Roman" w:cs="Times New Roman"/>
          <w:sz w:val="24"/>
          <w:szCs w:val="24"/>
        </w:rPr>
      </w:pPr>
    </w:p>
    <w:p w14:paraId="53EACBE5" w14:textId="1B604C9E" w:rsidR="003D71CD" w:rsidRDefault="00000000">
      <w:pPr>
        <w:spacing w:after="12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FINDING</w:t>
      </w:r>
      <w:r w:rsidR="00516BEA">
        <w:rPr>
          <w:rFonts w:ascii="Times New Roman" w:eastAsia="Times New Roman" w:hAnsi="Times New Roman" w:cs="Times New Roman"/>
          <w:b/>
          <w:sz w:val="24"/>
          <w:szCs w:val="24"/>
        </w:rPr>
        <w:t xml:space="preserve"> AND DISCUSSION</w:t>
      </w:r>
    </w:p>
    <w:p w14:paraId="02F2B0D4" w14:textId="2DF88576" w:rsidR="00CC6DD5" w:rsidRDefault="00CC6DD5" w:rsidP="00CC6DD5">
      <w:pPr>
        <w:spacing w:after="0" w:line="240" w:lineRule="auto"/>
        <w:ind w:firstLine="426"/>
        <w:jc w:val="both"/>
        <w:rPr>
          <w:rFonts w:ascii="Times New Roman" w:eastAsia="Times New Roman" w:hAnsi="Times New Roman" w:cs="Times New Roman"/>
          <w:bCs/>
          <w:sz w:val="24"/>
          <w:szCs w:val="24"/>
        </w:rPr>
      </w:pPr>
      <w:r w:rsidRPr="00CC6DD5">
        <w:rPr>
          <w:rFonts w:ascii="Times New Roman" w:eastAsia="Times New Roman" w:hAnsi="Times New Roman" w:cs="Times New Roman"/>
          <w:bCs/>
          <w:sz w:val="24"/>
          <w:szCs w:val="24"/>
        </w:rPr>
        <w:t>After the data in photo documents is mapped thematically, the data is displayed as follows.</w:t>
      </w:r>
    </w:p>
    <w:p w14:paraId="7B00F832" w14:textId="77777777" w:rsidR="00CC6DD5" w:rsidRDefault="00CC6DD5" w:rsidP="00CC6DD5">
      <w:pPr>
        <w:spacing w:after="0" w:line="240" w:lineRule="auto"/>
        <w:ind w:firstLine="426"/>
        <w:jc w:val="both"/>
        <w:rPr>
          <w:rFonts w:ascii="Times New Roman" w:eastAsia="Times New Roman" w:hAnsi="Times New Roman" w:cs="Times New Roman"/>
          <w:bCs/>
          <w:sz w:val="24"/>
          <w:szCs w:val="24"/>
        </w:rPr>
      </w:pPr>
    </w:p>
    <w:p w14:paraId="63EE53EE" w14:textId="41FD9462" w:rsidR="00CC6DD5" w:rsidRDefault="00CC6DD5" w:rsidP="00CC6D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Table 1</w:t>
      </w:r>
      <w:r>
        <w:rPr>
          <w:rFonts w:ascii="Times New Roman" w:eastAsia="Times New Roman" w:hAnsi="Times New Roman" w:cs="Times New Roman"/>
          <w:sz w:val="20"/>
          <w:szCs w:val="20"/>
        </w:rPr>
        <w:t xml:space="preserve">. </w:t>
      </w:r>
      <w:r w:rsidRPr="00CC6DD5">
        <w:rPr>
          <w:rFonts w:ascii="Times New Roman" w:eastAsia="Times New Roman" w:hAnsi="Times New Roman" w:cs="Times New Roman"/>
          <w:sz w:val="20"/>
          <w:szCs w:val="20"/>
        </w:rPr>
        <w:t>Places placed landscape</w:t>
      </w:r>
    </w:p>
    <w:p w14:paraId="6ABFD412" w14:textId="77777777" w:rsidR="00CC6DD5" w:rsidRDefault="00CC6DD5" w:rsidP="00CC6DD5">
      <w:pPr>
        <w:spacing w:after="0" w:line="240" w:lineRule="auto"/>
        <w:jc w:val="center"/>
        <w:rPr>
          <w:rFonts w:ascii="Times New Roman" w:eastAsia="Times New Roman" w:hAnsi="Times New Roman" w:cs="Times New Roman"/>
          <w:sz w:val="24"/>
          <w:szCs w:val="24"/>
        </w:rPr>
      </w:pPr>
    </w:p>
    <w:tbl>
      <w:tblPr>
        <w:tblStyle w:val="a"/>
        <w:tblW w:w="91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3555"/>
        <w:gridCol w:w="2280"/>
        <w:gridCol w:w="2280"/>
      </w:tblGrid>
      <w:tr w:rsidR="00CC6DD5" w14:paraId="096D561B" w14:textId="77777777" w:rsidTr="005368B1">
        <w:trPr>
          <w:jc w:val="center"/>
        </w:trPr>
        <w:tc>
          <w:tcPr>
            <w:tcW w:w="1005" w:type="dxa"/>
            <w:tcBorders>
              <w:left w:val="nil"/>
              <w:right w:val="nil"/>
            </w:tcBorders>
            <w:shd w:val="clear" w:color="auto" w:fill="auto"/>
            <w:tcMar>
              <w:top w:w="100" w:type="dxa"/>
              <w:left w:w="100" w:type="dxa"/>
              <w:bottom w:w="100" w:type="dxa"/>
              <w:right w:w="100" w:type="dxa"/>
            </w:tcMar>
          </w:tcPr>
          <w:p w14:paraId="1F311509" w14:textId="77777777" w:rsidR="00CC6DD5" w:rsidRDefault="00CC6DD5" w:rsidP="005368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w:t>
            </w:r>
          </w:p>
        </w:tc>
        <w:tc>
          <w:tcPr>
            <w:tcW w:w="3555" w:type="dxa"/>
            <w:tcBorders>
              <w:left w:val="nil"/>
              <w:right w:val="nil"/>
            </w:tcBorders>
            <w:shd w:val="clear" w:color="auto" w:fill="auto"/>
            <w:tcMar>
              <w:top w:w="100" w:type="dxa"/>
              <w:left w:w="100" w:type="dxa"/>
              <w:bottom w:w="100" w:type="dxa"/>
              <w:right w:w="100" w:type="dxa"/>
            </w:tcMar>
          </w:tcPr>
          <w:p w14:paraId="3900BE9B" w14:textId="6AF11D95" w:rsidR="00CC6DD5" w:rsidRDefault="00CC6DD5" w:rsidP="005368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Places</w:t>
            </w:r>
          </w:p>
        </w:tc>
        <w:tc>
          <w:tcPr>
            <w:tcW w:w="2280" w:type="dxa"/>
            <w:tcBorders>
              <w:left w:val="nil"/>
              <w:right w:val="nil"/>
            </w:tcBorders>
            <w:shd w:val="clear" w:color="auto" w:fill="auto"/>
            <w:tcMar>
              <w:top w:w="100" w:type="dxa"/>
              <w:left w:w="100" w:type="dxa"/>
              <w:bottom w:w="100" w:type="dxa"/>
              <w:right w:w="100" w:type="dxa"/>
            </w:tcMar>
          </w:tcPr>
          <w:p w14:paraId="6C9D0CF5" w14:textId="2A5C3180" w:rsidR="00CC6DD5" w:rsidRDefault="00CC6DD5" w:rsidP="005368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Monolingual</w:t>
            </w:r>
          </w:p>
        </w:tc>
        <w:tc>
          <w:tcPr>
            <w:tcW w:w="2280" w:type="dxa"/>
            <w:tcBorders>
              <w:left w:val="nil"/>
              <w:right w:val="nil"/>
            </w:tcBorders>
            <w:shd w:val="clear" w:color="auto" w:fill="auto"/>
            <w:tcMar>
              <w:top w:w="100" w:type="dxa"/>
              <w:left w:w="100" w:type="dxa"/>
              <w:bottom w:w="100" w:type="dxa"/>
              <w:right w:w="100" w:type="dxa"/>
            </w:tcMar>
          </w:tcPr>
          <w:p w14:paraId="60070C3C" w14:textId="44C09C8B" w:rsidR="00CC6DD5" w:rsidRDefault="00CC6DD5" w:rsidP="005368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Bilingual</w:t>
            </w:r>
          </w:p>
        </w:tc>
      </w:tr>
      <w:tr w:rsidR="00CC6DD5" w14:paraId="5CEAAFF1" w14:textId="77777777" w:rsidTr="005368B1">
        <w:trPr>
          <w:jc w:val="center"/>
        </w:trPr>
        <w:tc>
          <w:tcPr>
            <w:tcW w:w="1005" w:type="dxa"/>
            <w:tcBorders>
              <w:left w:val="nil"/>
              <w:bottom w:val="nil"/>
              <w:right w:val="nil"/>
            </w:tcBorders>
            <w:shd w:val="clear" w:color="auto" w:fill="auto"/>
            <w:tcMar>
              <w:top w:w="100" w:type="dxa"/>
              <w:left w:w="100" w:type="dxa"/>
              <w:bottom w:w="100" w:type="dxa"/>
              <w:right w:w="100" w:type="dxa"/>
            </w:tcMar>
          </w:tcPr>
          <w:p w14:paraId="428D0A66" w14:textId="77777777"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555" w:type="dxa"/>
            <w:tcBorders>
              <w:left w:val="nil"/>
              <w:bottom w:val="nil"/>
              <w:right w:val="nil"/>
            </w:tcBorders>
            <w:shd w:val="clear" w:color="auto" w:fill="auto"/>
            <w:tcMar>
              <w:top w:w="100" w:type="dxa"/>
              <w:left w:w="100" w:type="dxa"/>
              <w:bottom w:w="100" w:type="dxa"/>
              <w:right w:w="100" w:type="dxa"/>
            </w:tcMar>
          </w:tcPr>
          <w:p w14:paraId="37D4B48F" w14:textId="20749AFF" w:rsidR="00CC6DD5" w:rsidRDefault="00CC6DD5" w:rsidP="00CC6DD5">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BF4777">
              <w:t>Highway</w:t>
            </w:r>
          </w:p>
        </w:tc>
        <w:tc>
          <w:tcPr>
            <w:tcW w:w="2280" w:type="dxa"/>
            <w:tcBorders>
              <w:left w:val="nil"/>
              <w:bottom w:val="nil"/>
              <w:right w:val="nil"/>
            </w:tcBorders>
            <w:shd w:val="clear" w:color="auto" w:fill="auto"/>
            <w:tcMar>
              <w:top w:w="100" w:type="dxa"/>
              <w:left w:w="100" w:type="dxa"/>
              <w:bottom w:w="100" w:type="dxa"/>
              <w:right w:w="100" w:type="dxa"/>
            </w:tcMar>
          </w:tcPr>
          <w:p w14:paraId="761FB30E" w14:textId="04797FF8"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57</w:t>
            </w:r>
          </w:p>
        </w:tc>
        <w:tc>
          <w:tcPr>
            <w:tcW w:w="2280" w:type="dxa"/>
            <w:tcBorders>
              <w:left w:val="nil"/>
              <w:bottom w:val="nil"/>
              <w:right w:val="nil"/>
            </w:tcBorders>
            <w:shd w:val="clear" w:color="auto" w:fill="auto"/>
            <w:tcMar>
              <w:top w:w="100" w:type="dxa"/>
              <w:left w:w="100" w:type="dxa"/>
              <w:bottom w:w="100" w:type="dxa"/>
              <w:right w:w="100" w:type="dxa"/>
            </w:tcMar>
          </w:tcPr>
          <w:p w14:paraId="39250983" w14:textId="5767130B"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34</w:t>
            </w:r>
          </w:p>
        </w:tc>
      </w:tr>
      <w:tr w:rsidR="00CC6DD5" w14:paraId="48E36380" w14:textId="77777777" w:rsidTr="005368B1">
        <w:trPr>
          <w:jc w:val="center"/>
        </w:trPr>
        <w:tc>
          <w:tcPr>
            <w:tcW w:w="1005" w:type="dxa"/>
            <w:tcBorders>
              <w:top w:val="nil"/>
              <w:left w:val="nil"/>
              <w:bottom w:val="nil"/>
              <w:right w:val="nil"/>
            </w:tcBorders>
            <w:shd w:val="clear" w:color="auto" w:fill="auto"/>
            <w:tcMar>
              <w:top w:w="100" w:type="dxa"/>
              <w:left w:w="100" w:type="dxa"/>
              <w:bottom w:w="100" w:type="dxa"/>
              <w:right w:w="100" w:type="dxa"/>
            </w:tcMar>
          </w:tcPr>
          <w:p w14:paraId="326CAA16" w14:textId="77777777"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3555" w:type="dxa"/>
            <w:tcBorders>
              <w:top w:val="nil"/>
              <w:left w:val="nil"/>
              <w:bottom w:val="nil"/>
              <w:right w:val="nil"/>
            </w:tcBorders>
            <w:shd w:val="clear" w:color="auto" w:fill="auto"/>
            <w:tcMar>
              <w:top w:w="100" w:type="dxa"/>
              <w:left w:w="100" w:type="dxa"/>
              <w:bottom w:w="100" w:type="dxa"/>
              <w:right w:w="100" w:type="dxa"/>
            </w:tcMar>
          </w:tcPr>
          <w:p w14:paraId="0DC5D94C" w14:textId="7B59FBC2" w:rsidR="00CC6DD5" w:rsidRDefault="00CC6DD5" w:rsidP="00CC6DD5">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BF4777">
              <w:t>Bridge</w:t>
            </w:r>
          </w:p>
        </w:tc>
        <w:tc>
          <w:tcPr>
            <w:tcW w:w="2280" w:type="dxa"/>
            <w:tcBorders>
              <w:top w:val="nil"/>
              <w:left w:val="nil"/>
              <w:bottom w:val="nil"/>
              <w:right w:val="nil"/>
            </w:tcBorders>
            <w:shd w:val="clear" w:color="auto" w:fill="auto"/>
            <w:tcMar>
              <w:top w:w="100" w:type="dxa"/>
              <w:left w:w="100" w:type="dxa"/>
              <w:bottom w:w="100" w:type="dxa"/>
              <w:right w:w="100" w:type="dxa"/>
            </w:tcMar>
          </w:tcPr>
          <w:p w14:paraId="7A2E0123" w14:textId="42A95DA2"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13</w:t>
            </w:r>
          </w:p>
        </w:tc>
        <w:tc>
          <w:tcPr>
            <w:tcW w:w="2280" w:type="dxa"/>
            <w:tcBorders>
              <w:top w:val="nil"/>
              <w:left w:val="nil"/>
              <w:bottom w:val="nil"/>
              <w:right w:val="nil"/>
            </w:tcBorders>
            <w:shd w:val="clear" w:color="auto" w:fill="auto"/>
            <w:tcMar>
              <w:top w:w="100" w:type="dxa"/>
              <w:left w:w="100" w:type="dxa"/>
              <w:bottom w:w="100" w:type="dxa"/>
              <w:right w:w="100" w:type="dxa"/>
            </w:tcMar>
          </w:tcPr>
          <w:p w14:paraId="51EE9553" w14:textId="3EEFD27F"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8</w:t>
            </w:r>
          </w:p>
        </w:tc>
      </w:tr>
      <w:tr w:rsidR="00CC6DD5" w14:paraId="492A6782" w14:textId="77777777" w:rsidTr="005368B1">
        <w:trPr>
          <w:jc w:val="center"/>
        </w:trPr>
        <w:tc>
          <w:tcPr>
            <w:tcW w:w="1005" w:type="dxa"/>
            <w:tcBorders>
              <w:top w:val="nil"/>
              <w:left w:val="nil"/>
              <w:bottom w:val="nil"/>
              <w:right w:val="nil"/>
            </w:tcBorders>
            <w:shd w:val="clear" w:color="auto" w:fill="auto"/>
            <w:tcMar>
              <w:top w:w="100" w:type="dxa"/>
              <w:left w:w="100" w:type="dxa"/>
              <w:bottom w:w="100" w:type="dxa"/>
              <w:right w:w="100" w:type="dxa"/>
            </w:tcMar>
          </w:tcPr>
          <w:p w14:paraId="566CF0E0" w14:textId="77777777"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3555" w:type="dxa"/>
            <w:tcBorders>
              <w:top w:val="nil"/>
              <w:left w:val="nil"/>
              <w:bottom w:val="nil"/>
              <w:right w:val="nil"/>
            </w:tcBorders>
            <w:shd w:val="clear" w:color="auto" w:fill="auto"/>
            <w:tcMar>
              <w:top w:w="100" w:type="dxa"/>
              <w:left w:w="100" w:type="dxa"/>
              <w:bottom w:w="100" w:type="dxa"/>
              <w:right w:w="100" w:type="dxa"/>
            </w:tcMar>
          </w:tcPr>
          <w:p w14:paraId="2C61B73D" w14:textId="592C545A" w:rsidR="00CC6DD5" w:rsidRDefault="00CC6DD5" w:rsidP="00CC6DD5">
            <w:pPr>
              <w:widowControl w:val="0"/>
              <w:spacing w:after="0" w:line="240" w:lineRule="auto"/>
              <w:rPr>
                <w:rFonts w:ascii="Times New Roman" w:eastAsia="Times New Roman" w:hAnsi="Times New Roman" w:cs="Times New Roman"/>
                <w:sz w:val="18"/>
                <w:szCs w:val="18"/>
              </w:rPr>
            </w:pPr>
            <w:r w:rsidRPr="00BF4777">
              <w:t>Police station</w:t>
            </w:r>
          </w:p>
        </w:tc>
        <w:tc>
          <w:tcPr>
            <w:tcW w:w="2280" w:type="dxa"/>
            <w:tcBorders>
              <w:top w:val="nil"/>
              <w:left w:val="nil"/>
              <w:bottom w:val="nil"/>
              <w:right w:val="nil"/>
            </w:tcBorders>
            <w:shd w:val="clear" w:color="auto" w:fill="auto"/>
            <w:tcMar>
              <w:top w:w="100" w:type="dxa"/>
              <w:left w:w="100" w:type="dxa"/>
              <w:bottom w:w="100" w:type="dxa"/>
              <w:right w:w="100" w:type="dxa"/>
            </w:tcMar>
          </w:tcPr>
          <w:p w14:paraId="3BBF6E49" w14:textId="46CCC57E"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11</w:t>
            </w:r>
          </w:p>
        </w:tc>
        <w:tc>
          <w:tcPr>
            <w:tcW w:w="2280" w:type="dxa"/>
            <w:tcBorders>
              <w:top w:val="nil"/>
              <w:left w:val="nil"/>
              <w:bottom w:val="nil"/>
              <w:right w:val="nil"/>
            </w:tcBorders>
            <w:shd w:val="clear" w:color="auto" w:fill="auto"/>
            <w:tcMar>
              <w:top w:w="100" w:type="dxa"/>
              <w:left w:w="100" w:type="dxa"/>
              <w:bottom w:w="100" w:type="dxa"/>
              <w:right w:w="100" w:type="dxa"/>
            </w:tcMar>
          </w:tcPr>
          <w:p w14:paraId="39F6B92B" w14:textId="6AE9F19A"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6</w:t>
            </w:r>
          </w:p>
        </w:tc>
      </w:tr>
      <w:tr w:rsidR="00CC6DD5" w14:paraId="693A8266" w14:textId="77777777" w:rsidTr="005368B1">
        <w:trPr>
          <w:jc w:val="center"/>
        </w:trPr>
        <w:tc>
          <w:tcPr>
            <w:tcW w:w="1005" w:type="dxa"/>
            <w:tcBorders>
              <w:top w:val="nil"/>
              <w:left w:val="nil"/>
              <w:bottom w:val="nil"/>
              <w:right w:val="nil"/>
            </w:tcBorders>
            <w:shd w:val="clear" w:color="auto" w:fill="auto"/>
            <w:tcMar>
              <w:top w:w="100" w:type="dxa"/>
              <w:left w:w="100" w:type="dxa"/>
              <w:bottom w:w="100" w:type="dxa"/>
              <w:right w:w="100" w:type="dxa"/>
            </w:tcMar>
          </w:tcPr>
          <w:p w14:paraId="7AD1CB9A" w14:textId="77777777"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555" w:type="dxa"/>
            <w:tcBorders>
              <w:top w:val="nil"/>
              <w:left w:val="nil"/>
              <w:bottom w:val="nil"/>
              <w:right w:val="nil"/>
            </w:tcBorders>
            <w:shd w:val="clear" w:color="auto" w:fill="auto"/>
            <w:tcMar>
              <w:top w:w="100" w:type="dxa"/>
              <w:left w:w="100" w:type="dxa"/>
              <w:bottom w:w="100" w:type="dxa"/>
              <w:right w:w="100" w:type="dxa"/>
            </w:tcMar>
          </w:tcPr>
          <w:p w14:paraId="5D7CC9EE" w14:textId="465CE79C" w:rsidR="00CC6DD5" w:rsidRDefault="00CC6DD5" w:rsidP="00CC6DD5">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BF4777">
              <w:t>Town square</w:t>
            </w:r>
          </w:p>
        </w:tc>
        <w:tc>
          <w:tcPr>
            <w:tcW w:w="2280" w:type="dxa"/>
            <w:tcBorders>
              <w:top w:val="nil"/>
              <w:left w:val="nil"/>
              <w:bottom w:val="nil"/>
              <w:right w:val="nil"/>
            </w:tcBorders>
            <w:shd w:val="clear" w:color="auto" w:fill="auto"/>
            <w:tcMar>
              <w:top w:w="100" w:type="dxa"/>
              <w:left w:w="100" w:type="dxa"/>
              <w:bottom w:w="100" w:type="dxa"/>
              <w:right w:w="100" w:type="dxa"/>
            </w:tcMar>
          </w:tcPr>
          <w:p w14:paraId="175B9A63" w14:textId="0425DE00"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7</w:t>
            </w:r>
          </w:p>
        </w:tc>
        <w:tc>
          <w:tcPr>
            <w:tcW w:w="2280" w:type="dxa"/>
            <w:tcBorders>
              <w:top w:val="nil"/>
              <w:left w:val="nil"/>
              <w:bottom w:val="nil"/>
              <w:right w:val="nil"/>
            </w:tcBorders>
            <w:shd w:val="clear" w:color="auto" w:fill="auto"/>
            <w:tcMar>
              <w:top w:w="100" w:type="dxa"/>
              <w:left w:w="100" w:type="dxa"/>
              <w:bottom w:w="100" w:type="dxa"/>
              <w:right w:w="100" w:type="dxa"/>
            </w:tcMar>
          </w:tcPr>
          <w:p w14:paraId="303E8329" w14:textId="2C0BD6AE"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1</w:t>
            </w:r>
          </w:p>
        </w:tc>
      </w:tr>
      <w:tr w:rsidR="00CC6DD5" w14:paraId="2B9AAA51" w14:textId="77777777" w:rsidTr="005368B1">
        <w:trPr>
          <w:jc w:val="center"/>
        </w:trPr>
        <w:tc>
          <w:tcPr>
            <w:tcW w:w="1005" w:type="dxa"/>
            <w:tcBorders>
              <w:top w:val="nil"/>
              <w:left w:val="nil"/>
              <w:bottom w:val="nil"/>
              <w:right w:val="nil"/>
            </w:tcBorders>
            <w:shd w:val="clear" w:color="auto" w:fill="auto"/>
            <w:tcMar>
              <w:top w:w="100" w:type="dxa"/>
              <w:left w:w="100" w:type="dxa"/>
              <w:bottom w:w="100" w:type="dxa"/>
              <w:right w:w="100" w:type="dxa"/>
            </w:tcMar>
          </w:tcPr>
          <w:p w14:paraId="53913E8D" w14:textId="36EE8720"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3555" w:type="dxa"/>
            <w:tcBorders>
              <w:top w:val="nil"/>
              <w:left w:val="nil"/>
              <w:bottom w:val="nil"/>
              <w:right w:val="nil"/>
            </w:tcBorders>
            <w:shd w:val="clear" w:color="auto" w:fill="auto"/>
            <w:tcMar>
              <w:top w:w="100" w:type="dxa"/>
              <w:left w:w="100" w:type="dxa"/>
              <w:bottom w:w="100" w:type="dxa"/>
              <w:right w:w="100" w:type="dxa"/>
            </w:tcMar>
          </w:tcPr>
          <w:p w14:paraId="06199C31" w14:textId="5D37A31B" w:rsidR="00CC6DD5" w:rsidRDefault="00CC6DD5" w:rsidP="00CC6DD5">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BF4777">
              <w:t>Town Hall</w:t>
            </w:r>
          </w:p>
        </w:tc>
        <w:tc>
          <w:tcPr>
            <w:tcW w:w="2280" w:type="dxa"/>
            <w:tcBorders>
              <w:top w:val="nil"/>
              <w:left w:val="nil"/>
              <w:bottom w:val="nil"/>
              <w:right w:val="nil"/>
            </w:tcBorders>
            <w:shd w:val="clear" w:color="auto" w:fill="auto"/>
            <w:tcMar>
              <w:top w:w="100" w:type="dxa"/>
              <w:left w:w="100" w:type="dxa"/>
              <w:bottom w:w="100" w:type="dxa"/>
              <w:right w:w="100" w:type="dxa"/>
            </w:tcMar>
          </w:tcPr>
          <w:p w14:paraId="1F89A5AC" w14:textId="3A79311B"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24</w:t>
            </w:r>
          </w:p>
        </w:tc>
        <w:tc>
          <w:tcPr>
            <w:tcW w:w="2280" w:type="dxa"/>
            <w:tcBorders>
              <w:top w:val="nil"/>
              <w:left w:val="nil"/>
              <w:bottom w:val="nil"/>
              <w:right w:val="nil"/>
            </w:tcBorders>
            <w:shd w:val="clear" w:color="auto" w:fill="auto"/>
            <w:tcMar>
              <w:top w:w="100" w:type="dxa"/>
              <w:left w:w="100" w:type="dxa"/>
              <w:bottom w:w="100" w:type="dxa"/>
              <w:right w:w="100" w:type="dxa"/>
            </w:tcMar>
          </w:tcPr>
          <w:p w14:paraId="7EA56EDA" w14:textId="565D9AAB"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21</w:t>
            </w:r>
          </w:p>
        </w:tc>
      </w:tr>
      <w:tr w:rsidR="00CC6DD5" w14:paraId="594CF5EE" w14:textId="77777777" w:rsidTr="00CC6DD5">
        <w:trPr>
          <w:jc w:val="center"/>
        </w:trPr>
        <w:tc>
          <w:tcPr>
            <w:tcW w:w="1005" w:type="dxa"/>
            <w:tcBorders>
              <w:top w:val="nil"/>
              <w:left w:val="nil"/>
              <w:bottom w:val="nil"/>
              <w:right w:val="nil"/>
            </w:tcBorders>
            <w:shd w:val="clear" w:color="auto" w:fill="auto"/>
            <w:tcMar>
              <w:top w:w="100" w:type="dxa"/>
              <w:left w:w="100" w:type="dxa"/>
              <w:bottom w:w="100" w:type="dxa"/>
              <w:right w:w="100" w:type="dxa"/>
            </w:tcMar>
          </w:tcPr>
          <w:p w14:paraId="04A98057" w14:textId="031DF53A"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3555" w:type="dxa"/>
            <w:tcBorders>
              <w:top w:val="nil"/>
              <w:left w:val="nil"/>
              <w:bottom w:val="nil"/>
              <w:right w:val="nil"/>
            </w:tcBorders>
            <w:shd w:val="clear" w:color="auto" w:fill="auto"/>
            <w:tcMar>
              <w:top w:w="100" w:type="dxa"/>
              <w:left w:w="100" w:type="dxa"/>
              <w:bottom w:w="100" w:type="dxa"/>
              <w:right w:w="100" w:type="dxa"/>
            </w:tcMar>
          </w:tcPr>
          <w:p w14:paraId="75AD31B0" w14:textId="02200234" w:rsidR="00CC6DD5" w:rsidRDefault="00CC6DD5" w:rsidP="00CC6DD5">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BF4777">
              <w:t>Station</w:t>
            </w:r>
          </w:p>
        </w:tc>
        <w:tc>
          <w:tcPr>
            <w:tcW w:w="2280" w:type="dxa"/>
            <w:tcBorders>
              <w:top w:val="nil"/>
              <w:left w:val="nil"/>
              <w:bottom w:val="nil"/>
              <w:right w:val="nil"/>
            </w:tcBorders>
            <w:shd w:val="clear" w:color="auto" w:fill="auto"/>
            <w:tcMar>
              <w:top w:w="100" w:type="dxa"/>
              <w:left w:w="100" w:type="dxa"/>
              <w:bottom w:w="100" w:type="dxa"/>
              <w:right w:w="100" w:type="dxa"/>
            </w:tcMar>
          </w:tcPr>
          <w:p w14:paraId="105833F6" w14:textId="4466BC25"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15</w:t>
            </w:r>
          </w:p>
        </w:tc>
        <w:tc>
          <w:tcPr>
            <w:tcW w:w="2280" w:type="dxa"/>
            <w:tcBorders>
              <w:top w:val="nil"/>
              <w:left w:val="nil"/>
              <w:bottom w:val="nil"/>
              <w:right w:val="nil"/>
            </w:tcBorders>
            <w:shd w:val="clear" w:color="auto" w:fill="auto"/>
            <w:tcMar>
              <w:top w:w="100" w:type="dxa"/>
              <w:left w:w="100" w:type="dxa"/>
              <w:bottom w:w="100" w:type="dxa"/>
              <w:right w:w="100" w:type="dxa"/>
            </w:tcMar>
          </w:tcPr>
          <w:p w14:paraId="22CE2422" w14:textId="7DE0A153"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12</w:t>
            </w:r>
          </w:p>
        </w:tc>
      </w:tr>
      <w:tr w:rsidR="00CC6DD5" w14:paraId="598D9B98" w14:textId="77777777" w:rsidTr="00CC6DD5">
        <w:trPr>
          <w:jc w:val="center"/>
        </w:trPr>
        <w:tc>
          <w:tcPr>
            <w:tcW w:w="1005" w:type="dxa"/>
            <w:tcBorders>
              <w:top w:val="nil"/>
              <w:left w:val="nil"/>
              <w:bottom w:val="nil"/>
              <w:right w:val="nil"/>
            </w:tcBorders>
            <w:shd w:val="clear" w:color="auto" w:fill="auto"/>
            <w:tcMar>
              <w:top w:w="100" w:type="dxa"/>
              <w:left w:w="100" w:type="dxa"/>
              <w:bottom w:w="100" w:type="dxa"/>
              <w:right w:w="100" w:type="dxa"/>
            </w:tcMar>
          </w:tcPr>
          <w:p w14:paraId="1829110B" w14:textId="2F5555F6"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3555" w:type="dxa"/>
            <w:tcBorders>
              <w:top w:val="nil"/>
              <w:left w:val="nil"/>
              <w:bottom w:val="nil"/>
              <w:right w:val="nil"/>
            </w:tcBorders>
            <w:shd w:val="clear" w:color="auto" w:fill="auto"/>
            <w:tcMar>
              <w:top w:w="100" w:type="dxa"/>
              <w:left w:w="100" w:type="dxa"/>
              <w:bottom w:w="100" w:type="dxa"/>
              <w:right w:w="100" w:type="dxa"/>
            </w:tcMar>
          </w:tcPr>
          <w:p w14:paraId="7A7F8379" w14:textId="2D99E411" w:rsidR="00CC6DD5" w:rsidRDefault="00CC6DD5" w:rsidP="00CC6DD5">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BF4777">
              <w:t>Shop</w:t>
            </w:r>
          </w:p>
        </w:tc>
        <w:tc>
          <w:tcPr>
            <w:tcW w:w="2280" w:type="dxa"/>
            <w:tcBorders>
              <w:top w:val="nil"/>
              <w:left w:val="nil"/>
              <w:bottom w:val="nil"/>
              <w:right w:val="nil"/>
            </w:tcBorders>
            <w:shd w:val="clear" w:color="auto" w:fill="auto"/>
            <w:tcMar>
              <w:top w:w="100" w:type="dxa"/>
              <w:left w:w="100" w:type="dxa"/>
              <w:bottom w:w="100" w:type="dxa"/>
              <w:right w:w="100" w:type="dxa"/>
            </w:tcMar>
          </w:tcPr>
          <w:p w14:paraId="08E3A6CE" w14:textId="03CF1DD9"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21</w:t>
            </w:r>
          </w:p>
        </w:tc>
        <w:tc>
          <w:tcPr>
            <w:tcW w:w="2280" w:type="dxa"/>
            <w:tcBorders>
              <w:top w:val="nil"/>
              <w:left w:val="nil"/>
              <w:bottom w:val="nil"/>
              <w:right w:val="nil"/>
            </w:tcBorders>
            <w:shd w:val="clear" w:color="auto" w:fill="auto"/>
            <w:tcMar>
              <w:top w:w="100" w:type="dxa"/>
              <w:left w:w="100" w:type="dxa"/>
              <w:bottom w:w="100" w:type="dxa"/>
              <w:right w:w="100" w:type="dxa"/>
            </w:tcMar>
          </w:tcPr>
          <w:p w14:paraId="2082EB67" w14:textId="3BB8ADC1" w:rsidR="00CC6DD5" w:rsidRDefault="00CC6DD5" w:rsidP="00CC6DD5">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sidRPr="00BF4777">
              <w:t>7</w:t>
            </w:r>
          </w:p>
        </w:tc>
      </w:tr>
      <w:tr w:rsidR="00CC6DD5" w:rsidRPr="00CC6DD5" w14:paraId="5ABC8973" w14:textId="77777777" w:rsidTr="00C8631F">
        <w:trPr>
          <w:jc w:val="center"/>
        </w:trPr>
        <w:tc>
          <w:tcPr>
            <w:tcW w:w="4560" w:type="dxa"/>
            <w:gridSpan w:val="2"/>
            <w:tcBorders>
              <w:top w:val="nil"/>
              <w:left w:val="nil"/>
              <w:right w:val="nil"/>
            </w:tcBorders>
            <w:shd w:val="clear" w:color="auto" w:fill="auto"/>
            <w:tcMar>
              <w:top w:w="100" w:type="dxa"/>
              <w:left w:w="100" w:type="dxa"/>
              <w:bottom w:w="100" w:type="dxa"/>
              <w:right w:w="100" w:type="dxa"/>
            </w:tcMar>
          </w:tcPr>
          <w:p w14:paraId="5FB442F6" w14:textId="3B3E6577" w:rsidR="00CC6DD5" w:rsidRPr="00CC6DD5" w:rsidRDefault="00CC6DD5" w:rsidP="00CC6DD5">
            <w:pPr>
              <w:widowControl w:val="0"/>
              <w:pBdr>
                <w:top w:val="nil"/>
                <w:left w:val="nil"/>
                <w:bottom w:val="nil"/>
                <w:right w:val="nil"/>
                <w:between w:val="nil"/>
              </w:pBdr>
              <w:spacing w:after="0" w:line="240" w:lineRule="auto"/>
              <w:jc w:val="center"/>
              <w:rPr>
                <w:b/>
                <w:bCs/>
              </w:rPr>
            </w:pPr>
            <w:r w:rsidRPr="00CC6DD5">
              <w:rPr>
                <w:b/>
                <w:bCs/>
              </w:rPr>
              <w:t>Total</w:t>
            </w:r>
          </w:p>
        </w:tc>
        <w:tc>
          <w:tcPr>
            <w:tcW w:w="2280" w:type="dxa"/>
            <w:tcBorders>
              <w:top w:val="nil"/>
              <w:left w:val="nil"/>
              <w:right w:val="nil"/>
            </w:tcBorders>
            <w:shd w:val="clear" w:color="auto" w:fill="auto"/>
            <w:tcMar>
              <w:top w:w="100" w:type="dxa"/>
              <w:left w:w="100" w:type="dxa"/>
              <w:bottom w:w="100" w:type="dxa"/>
              <w:right w:w="100" w:type="dxa"/>
            </w:tcMar>
          </w:tcPr>
          <w:p w14:paraId="2179C25E" w14:textId="23C0D1CE" w:rsidR="00CC6DD5" w:rsidRPr="00CC6DD5" w:rsidRDefault="00CC6DD5" w:rsidP="00CC6DD5">
            <w:pPr>
              <w:widowControl w:val="0"/>
              <w:pBdr>
                <w:top w:val="nil"/>
                <w:left w:val="nil"/>
                <w:bottom w:val="nil"/>
                <w:right w:val="nil"/>
                <w:between w:val="nil"/>
              </w:pBdr>
              <w:spacing w:after="0" w:line="240" w:lineRule="auto"/>
              <w:jc w:val="center"/>
              <w:rPr>
                <w:b/>
                <w:bCs/>
              </w:rPr>
            </w:pPr>
            <w:r w:rsidRPr="00CC6DD5">
              <w:rPr>
                <w:b/>
                <w:bCs/>
              </w:rPr>
              <w:t>148</w:t>
            </w:r>
          </w:p>
        </w:tc>
        <w:tc>
          <w:tcPr>
            <w:tcW w:w="2280" w:type="dxa"/>
            <w:tcBorders>
              <w:top w:val="nil"/>
              <w:left w:val="nil"/>
              <w:right w:val="nil"/>
            </w:tcBorders>
            <w:shd w:val="clear" w:color="auto" w:fill="auto"/>
            <w:tcMar>
              <w:top w:w="100" w:type="dxa"/>
              <w:left w:w="100" w:type="dxa"/>
              <w:bottom w:w="100" w:type="dxa"/>
              <w:right w:w="100" w:type="dxa"/>
            </w:tcMar>
          </w:tcPr>
          <w:p w14:paraId="5722524F" w14:textId="51EA3C74" w:rsidR="00CC6DD5" w:rsidRPr="00CC6DD5" w:rsidRDefault="00CC6DD5" w:rsidP="00CC6DD5">
            <w:pPr>
              <w:widowControl w:val="0"/>
              <w:pBdr>
                <w:top w:val="nil"/>
                <w:left w:val="nil"/>
                <w:bottom w:val="nil"/>
                <w:right w:val="nil"/>
                <w:between w:val="nil"/>
              </w:pBdr>
              <w:spacing w:after="0" w:line="240" w:lineRule="auto"/>
              <w:jc w:val="center"/>
              <w:rPr>
                <w:b/>
                <w:bCs/>
              </w:rPr>
            </w:pPr>
            <w:r w:rsidRPr="00CC6DD5">
              <w:rPr>
                <w:b/>
                <w:bCs/>
              </w:rPr>
              <w:t>89</w:t>
            </w:r>
          </w:p>
        </w:tc>
      </w:tr>
    </w:tbl>
    <w:p w14:paraId="1B1DDE85" w14:textId="77777777" w:rsidR="00CC6DD5" w:rsidRDefault="00CC6DD5" w:rsidP="00CC6DD5">
      <w:pPr>
        <w:spacing w:after="0" w:line="240" w:lineRule="auto"/>
        <w:ind w:firstLine="426"/>
        <w:jc w:val="both"/>
        <w:rPr>
          <w:rFonts w:ascii="Times New Roman" w:eastAsia="Times New Roman" w:hAnsi="Times New Roman" w:cs="Times New Roman"/>
          <w:bCs/>
          <w:sz w:val="24"/>
          <w:szCs w:val="24"/>
        </w:rPr>
      </w:pPr>
    </w:p>
    <w:p w14:paraId="0E7C6F6E" w14:textId="77777777" w:rsidR="00CC6DD5" w:rsidRPr="00CC6DD5" w:rsidRDefault="00CC6DD5" w:rsidP="00CC6DD5">
      <w:pPr>
        <w:spacing w:after="0" w:line="240" w:lineRule="auto"/>
        <w:ind w:firstLine="426"/>
        <w:jc w:val="both"/>
        <w:rPr>
          <w:rFonts w:ascii="Times New Roman" w:eastAsia="Times New Roman" w:hAnsi="Times New Roman" w:cs="Times New Roman"/>
          <w:bCs/>
          <w:sz w:val="24"/>
          <w:szCs w:val="24"/>
        </w:rPr>
      </w:pPr>
      <w:r w:rsidRPr="00CC6DD5">
        <w:rPr>
          <w:rFonts w:ascii="Times New Roman" w:eastAsia="Times New Roman" w:hAnsi="Times New Roman" w:cs="Times New Roman"/>
          <w:bCs/>
          <w:sz w:val="24"/>
          <w:szCs w:val="24"/>
        </w:rPr>
        <w:t xml:space="preserve">Table 2 shows the distribution of signs related to the </w:t>
      </w:r>
      <w:proofErr w:type="spellStart"/>
      <w:r w:rsidRPr="00CC6DD5">
        <w:rPr>
          <w:rFonts w:ascii="Times New Roman" w:eastAsia="Times New Roman" w:hAnsi="Times New Roman" w:cs="Times New Roman"/>
          <w:bCs/>
          <w:sz w:val="24"/>
          <w:szCs w:val="24"/>
        </w:rPr>
        <w:t>Kanjuruan</w:t>
      </w:r>
      <w:proofErr w:type="spellEnd"/>
      <w:r w:rsidRPr="00CC6DD5">
        <w:rPr>
          <w:rFonts w:ascii="Times New Roman" w:eastAsia="Times New Roman" w:hAnsi="Times New Roman" w:cs="Times New Roman"/>
          <w:bCs/>
          <w:sz w:val="24"/>
          <w:szCs w:val="24"/>
        </w:rPr>
        <w:t xml:space="preserve"> tragedy installed in Malang, Indonesia. The quantity of signs installed on the highway is more significant than in other places, with monolingual signs with 57 symbols and bilingual signs with 34 characters. Around the town square of Malang, there are signs with the minimum number of monolingual seven and bilingual 1. Meanwhile, in the offices of government officials, namely Malang city hall, there a large number, monolingual there are 24 signs, and bilingual there are 21 signs. In front of the police station, a place for people involved in securing the city, there are 11 monolingual signs and six bilingual signs. At the station for people to go in and out of Malang City and vice versa, there are 15 monolingual signs and seven bilingual signs.</w:t>
      </w:r>
    </w:p>
    <w:p w14:paraId="73984BB3" w14:textId="56CB7E2A" w:rsidR="00CC6DD5" w:rsidRDefault="00CC6DD5" w:rsidP="00CC6DD5">
      <w:pPr>
        <w:spacing w:after="0" w:line="240" w:lineRule="auto"/>
        <w:ind w:firstLine="426"/>
        <w:jc w:val="both"/>
        <w:rPr>
          <w:rFonts w:ascii="Times New Roman" w:eastAsia="Times New Roman" w:hAnsi="Times New Roman" w:cs="Times New Roman"/>
          <w:bCs/>
          <w:sz w:val="24"/>
          <w:szCs w:val="24"/>
        </w:rPr>
      </w:pPr>
      <w:r w:rsidRPr="00CC6DD5">
        <w:rPr>
          <w:rFonts w:ascii="Times New Roman" w:eastAsia="Times New Roman" w:hAnsi="Times New Roman" w:cs="Times New Roman"/>
          <w:bCs/>
          <w:sz w:val="24"/>
          <w:szCs w:val="24"/>
        </w:rPr>
        <w:t xml:space="preserve">Meanwhile, in front of the shop are 21 monolingual signs and seven bilingual signs. The signs hung on several bridges and reached 13 monolingual and eight bilingual signs. </w:t>
      </w:r>
      <w:r w:rsidRPr="00CC6DD5">
        <w:rPr>
          <w:rFonts w:ascii="Times New Roman" w:eastAsia="Times New Roman" w:hAnsi="Times New Roman" w:cs="Times New Roman"/>
          <w:bCs/>
          <w:sz w:val="24"/>
          <w:szCs w:val="24"/>
        </w:rPr>
        <w:lastRenderedPageBreak/>
        <w:t>Furthermore, the place where the character of each form and domain is placed can be seen in Figure 1.</w:t>
      </w:r>
    </w:p>
    <w:p w14:paraId="436FF476" w14:textId="77777777" w:rsidR="00CC6DD5" w:rsidRDefault="00CC6DD5" w:rsidP="00CC6DD5">
      <w:pPr>
        <w:spacing w:after="0" w:line="240" w:lineRule="auto"/>
        <w:ind w:firstLine="426"/>
        <w:jc w:val="both"/>
        <w:rPr>
          <w:rFonts w:ascii="Times New Roman" w:eastAsia="Times New Roman" w:hAnsi="Times New Roman" w:cs="Times New Roman"/>
          <w:bCs/>
          <w:sz w:val="24"/>
          <w:szCs w:val="24"/>
        </w:rPr>
      </w:pPr>
    </w:p>
    <w:p w14:paraId="2ECD130B" w14:textId="1FD915C8" w:rsidR="00CC6DD5" w:rsidRPr="00CC6DD5" w:rsidRDefault="00CC6DD5" w:rsidP="00CC6DD5">
      <w:pPr>
        <w:spacing w:after="0" w:line="240" w:lineRule="auto"/>
        <w:ind w:firstLine="426"/>
        <w:jc w:val="both"/>
        <w:rPr>
          <w:rFonts w:ascii="Times New Roman" w:eastAsia="Times New Roman" w:hAnsi="Times New Roman" w:cs="Times New Roman"/>
          <w:bCs/>
          <w:sz w:val="24"/>
          <w:szCs w:val="24"/>
        </w:rPr>
      </w:pPr>
      <w:r w:rsidRPr="00BE5FDF">
        <w:rPr>
          <w:rFonts w:asciiTheme="majorBidi" w:hAnsiTheme="majorBidi" w:cstheme="majorBidi"/>
          <w:noProof/>
          <w:sz w:val="24"/>
          <w:szCs w:val="24"/>
        </w:rPr>
        <w:drawing>
          <wp:inline distT="0" distB="0" distL="0" distR="0" wp14:anchorId="662569FA" wp14:editId="445F913C">
            <wp:extent cx="5629275" cy="3200400"/>
            <wp:effectExtent l="0" t="0" r="9525" b="0"/>
            <wp:docPr id="15891475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CA8614" w14:textId="1AB442C4" w:rsidR="00CC6DD5" w:rsidRDefault="00CC6DD5" w:rsidP="00CC6DD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1</w:t>
      </w:r>
      <w:r>
        <w:rPr>
          <w:rFonts w:ascii="Times New Roman" w:eastAsia="Times New Roman" w:hAnsi="Times New Roman" w:cs="Times New Roman"/>
          <w:sz w:val="20"/>
          <w:szCs w:val="20"/>
        </w:rPr>
        <w:t xml:space="preserve">. </w:t>
      </w:r>
      <w:r w:rsidRPr="00CC6DD5">
        <w:rPr>
          <w:rFonts w:ascii="Times New Roman" w:eastAsia="Times New Roman" w:hAnsi="Times New Roman" w:cs="Times New Roman"/>
          <w:sz w:val="20"/>
          <w:szCs w:val="20"/>
        </w:rPr>
        <w:t>The place of the sign</w:t>
      </w:r>
    </w:p>
    <w:p w14:paraId="23600E97" w14:textId="77777777" w:rsidR="00CC6DD5" w:rsidRDefault="00CC6DD5">
      <w:pPr>
        <w:spacing w:after="0" w:line="240" w:lineRule="auto"/>
        <w:jc w:val="both"/>
        <w:rPr>
          <w:rFonts w:ascii="Times New Roman" w:eastAsia="Times New Roman" w:hAnsi="Times New Roman" w:cs="Times New Roman"/>
          <w:b/>
          <w:sz w:val="24"/>
          <w:szCs w:val="24"/>
        </w:rPr>
      </w:pPr>
    </w:p>
    <w:p w14:paraId="09A1EA6B" w14:textId="77777777" w:rsidR="00CC6DD5" w:rsidRDefault="00CC6DD5">
      <w:pPr>
        <w:spacing w:after="0" w:line="240" w:lineRule="auto"/>
        <w:jc w:val="both"/>
        <w:rPr>
          <w:rFonts w:ascii="Times New Roman" w:eastAsia="Times New Roman" w:hAnsi="Times New Roman" w:cs="Times New Roman"/>
          <w:b/>
          <w:sz w:val="24"/>
          <w:szCs w:val="24"/>
        </w:rPr>
      </w:pPr>
    </w:p>
    <w:p w14:paraId="719CF03F" w14:textId="63E06228" w:rsidR="003D71CD" w:rsidRDefault="00A83438">
      <w:pPr>
        <w:spacing w:after="0" w:line="240" w:lineRule="auto"/>
        <w:jc w:val="both"/>
        <w:rPr>
          <w:rFonts w:ascii="Times New Roman" w:eastAsia="Times New Roman" w:hAnsi="Times New Roman" w:cs="Times New Roman"/>
          <w:sz w:val="24"/>
          <w:szCs w:val="24"/>
        </w:rPr>
      </w:pPr>
      <w:r w:rsidRPr="00A83438">
        <w:rPr>
          <w:rFonts w:ascii="Times New Roman" w:eastAsia="Times New Roman" w:hAnsi="Times New Roman" w:cs="Times New Roman"/>
          <w:b/>
          <w:sz w:val="24"/>
          <w:szCs w:val="24"/>
        </w:rPr>
        <w:t>Monolingual Sign</w:t>
      </w:r>
      <w:r>
        <w:rPr>
          <w:rFonts w:ascii="Times New Roman" w:eastAsia="Times New Roman" w:hAnsi="Times New Roman" w:cs="Times New Roman"/>
          <w:b/>
          <w:sz w:val="24"/>
          <w:szCs w:val="24"/>
        </w:rPr>
        <w:t xml:space="preserve"> </w:t>
      </w:r>
    </w:p>
    <w:p w14:paraId="2CB99BD8" w14:textId="17A9ED7F" w:rsidR="003D71CD" w:rsidRDefault="00A83438">
      <w:pPr>
        <w:spacing w:after="0" w:line="240" w:lineRule="auto"/>
        <w:ind w:firstLine="425"/>
        <w:jc w:val="both"/>
        <w:rPr>
          <w:rFonts w:ascii="Times New Roman" w:eastAsia="Times New Roman" w:hAnsi="Times New Roman" w:cs="Times New Roman"/>
          <w:sz w:val="24"/>
          <w:szCs w:val="24"/>
        </w:rPr>
      </w:pPr>
      <w:r w:rsidRPr="00A83438">
        <w:rPr>
          <w:rFonts w:ascii="Times New Roman" w:eastAsia="Times New Roman" w:hAnsi="Times New Roman" w:cs="Times New Roman"/>
          <w:sz w:val="24"/>
          <w:szCs w:val="24"/>
        </w:rPr>
        <w:t xml:space="preserve">The data shows four languages used in the monolingual landscape: Indonesian, English, Javanese, and Arabic. Indonesian is the dominant language (68 signs) used by the people in voicing protests against the injustice of the state apparatus against the </w:t>
      </w:r>
      <w:proofErr w:type="spellStart"/>
      <w:r w:rsidRPr="00A83438">
        <w:rPr>
          <w:rFonts w:ascii="Times New Roman" w:eastAsia="Times New Roman" w:hAnsi="Times New Roman" w:cs="Times New Roman"/>
          <w:sz w:val="24"/>
          <w:szCs w:val="24"/>
        </w:rPr>
        <w:t>Kanjuruan</w:t>
      </w:r>
      <w:proofErr w:type="spellEnd"/>
      <w:r w:rsidRPr="00A83438">
        <w:rPr>
          <w:rFonts w:ascii="Times New Roman" w:eastAsia="Times New Roman" w:hAnsi="Times New Roman" w:cs="Times New Roman"/>
          <w:sz w:val="24"/>
          <w:szCs w:val="24"/>
        </w:rPr>
        <w:t xml:space="preserve"> tragedy. Each picture shows the demonstration differently, with harsh, sharp, and satirical words</w:t>
      </w:r>
      <w:r>
        <w:rPr>
          <w:rFonts w:ascii="Times New Roman" w:eastAsia="Times New Roman" w:hAnsi="Times New Roman" w:cs="Times New Roman"/>
          <w:sz w:val="24"/>
          <w:szCs w:val="24"/>
        </w:rPr>
        <w:t>.</w:t>
      </w:r>
    </w:p>
    <w:p w14:paraId="514EA685" w14:textId="77777777" w:rsidR="00A83438" w:rsidRDefault="00A83438">
      <w:pPr>
        <w:spacing w:after="0" w:line="240" w:lineRule="auto"/>
        <w:ind w:firstLine="425"/>
        <w:jc w:val="both"/>
        <w:rPr>
          <w:rFonts w:ascii="Times New Roman" w:eastAsia="Times New Roman" w:hAnsi="Times New Roman" w:cs="Times New Roman"/>
          <w:sz w:val="24"/>
          <w:szCs w:val="24"/>
        </w:rPr>
      </w:pPr>
    </w:p>
    <w:tbl>
      <w:tblPr>
        <w:tblStyle w:val="TableGrid"/>
        <w:tblW w:w="0" w:type="auto"/>
        <w:jc w:val="center"/>
        <w:tblInd w:w="0" w:type="dxa"/>
        <w:tblBorders>
          <w:left w:val="none" w:sz="0" w:space="0" w:color="auto"/>
          <w:right w:val="none" w:sz="0" w:space="0" w:color="auto"/>
        </w:tblBorders>
        <w:tblLook w:val="04A0" w:firstRow="1" w:lastRow="0" w:firstColumn="1" w:lastColumn="0" w:noHBand="0" w:noVBand="1"/>
      </w:tblPr>
      <w:tblGrid>
        <w:gridCol w:w="4806"/>
        <w:gridCol w:w="4206"/>
      </w:tblGrid>
      <w:tr w:rsidR="00A83438" w:rsidRPr="00BE5FDF" w14:paraId="31F07A95" w14:textId="77777777" w:rsidTr="00A83438">
        <w:trPr>
          <w:jc w:val="center"/>
        </w:trPr>
        <w:tc>
          <w:tcPr>
            <w:tcW w:w="4806" w:type="dxa"/>
            <w:tcBorders>
              <w:right w:val="nil"/>
            </w:tcBorders>
          </w:tcPr>
          <w:p w14:paraId="44FCEA6A" w14:textId="60B4DE95" w:rsidR="00A83438" w:rsidRPr="00BE5FDF" w:rsidRDefault="00A83438" w:rsidP="002160D5">
            <w:pPr>
              <w:pStyle w:val="ListParagraph"/>
              <w:spacing w:after="0" w:line="480" w:lineRule="auto"/>
              <w:ind w:left="0"/>
              <w:jc w:val="center"/>
              <w:rPr>
                <w:rFonts w:asciiTheme="majorBidi" w:hAnsiTheme="majorBidi" w:cstheme="majorBidi"/>
                <w:noProof/>
                <w:sz w:val="24"/>
                <w:szCs w:val="24"/>
              </w:rPr>
            </w:pPr>
            <w:r w:rsidRPr="00A83438">
              <w:rPr>
                <w:rFonts w:asciiTheme="majorBidi" w:hAnsiTheme="majorBidi" w:cstheme="majorBidi"/>
                <w:noProof/>
                <w:sz w:val="18"/>
                <w:szCs w:val="18"/>
                <w:lang w:val="id-ID"/>
              </w:rPr>
              <w:t>Image 1</w:t>
            </w:r>
          </w:p>
        </w:tc>
        <w:tc>
          <w:tcPr>
            <w:tcW w:w="4206" w:type="dxa"/>
            <w:tcBorders>
              <w:left w:val="nil"/>
              <w:right w:val="nil"/>
            </w:tcBorders>
          </w:tcPr>
          <w:p w14:paraId="35B9BF66" w14:textId="47870327" w:rsidR="00A83438" w:rsidRPr="00BE5FDF" w:rsidRDefault="00A83438" w:rsidP="002160D5">
            <w:pPr>
              <w:pStyle w:val="ListParagraph"/>
              <w:spacing w:after="0" w:line="480" w:lineRule="auto"/>
              <w:ind w:left="0"/>
              <w:jc w:val="center"/>
              <w:rPr>
                <w:rFonts w:asciiTheme="majorBidi" w:hAnsiTheme="majorBidi" w:cstheme="majorBidi"/>
                <w:noProof/>
                <w:sz w:val="24"/>
                <w:szCs w:val="24"/>
              </w:rPr>
            </w:pPr>
            <w:r w:rsidRPr="00A83438">
              <w:rPr>
                <w:rFonts w:asciiTheme="majorBidi" w:hAnsiTheme="majorBidi" w:cstheme="majorBidi"/>
                <w:noProof/>
                <w:sz w:val="18"/>
                <w:szCs w:val="18"/>
                <w:lang w:val="id-ID"/>
              </w:rPr>
              <w:t>Image 2</w:t>
            </w:r>
          </w:p>
        </w:tc>
      </w:tr>
      <w:tr w:rsidR="00A83438" w:rsidRPr="00BE5FDF" w14:paraId="771DB747" w14:textId="77777777" w:rsidTr="00A83438">
        <w:trPr>
          <w:jc w:val="center"/>
        </w:trPr>
        <w:tc>
          <w:tcPr>
            <w:tcW w:w="4806" w:type="dxa"/>
            <w:tcBorders>
              <w:right w:val="nil"/>
            </w:tcBorders>
            <w:hideMark/>
          </w:tcPr>
          <w:p w14:paraId="5467E5A9" w14:textId="77777777" w:rsidR="00A83438" w:rsidRPr="00BE5FDF" w:rsidRDefault="00A83438" w:rsidP="00A83438">
            <w:pPr>
              <w:pStyle w:val="ListParagraph"/>
              <w:spacing w:before="120" w:after="120"/>
              <w:ind w:left="0"/>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1D9803E7" wp14:editId="6BDA89E2">
                  <wp:extent cx="2905125" cy="1533525"/>
                  <wp:effectExtent l="0" t="0" r="9525" b="9525"/>
                  <wp:docPr id="1963738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1533525"/>
                          </a:xfrm>
                          <a:prstGeom prst="rect">
                            <a:avLst/>
                          </a:prstGeom>
                          <a:noFill/>
                          <a:ln>
                            <a:noFill/>
                          </a:ln>
                        </pic:spPr>
                      </pic:pic>
                    </a:graphicData>
                  </a:graphic>
                </wp:inline>
              </w:drawing>
            </w:r>
          </w:p>
        </w:tc>
        <w:tc>
          <w:tcPr>
            <w:tcW w:w="4206" w:type="dxa"/>
            <w:tcBorders>
              <w:left w:val="nil"/>
              <w:right w:val="nil"/>
            </w:tcBorders>
            <w:hideMark/>
          </w:tcPr>
          <w:p w14:paraId="30E25D30" w14:textId="77777777" w:rsidR="00A83438" w:rsidRPr="00BE5FDF" w:rsidRDefault="00A83438" w:rsidP="00A83438">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39E8A28E" wp14:editId="2CB0FA61">
                  <wp:extent cx="2524125" cy="1543050"/>
                  <wp:effectExtent l="0" t="0" r="9525" b="0"/>
                  <wp:docPr id="647187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25" cy="1543050"/>
                          </a:xfrm>
                          <a:prstGeom prst="rect">
                            <a:avLst/>
                          </a:prstGeom>
                          <a:noFill/>
                          <a:ln>
                            <a:noFill/>
                          </a:ln>
                        </pic:spPr>
                      </pic:pic>
                    </a:graphicData>
                  </a:graphic>
                </wp:inline>
              </w:drawing>
            </w:r>
          </w:p>
        </w:tc>
      </w:tr>
    </w:tbl>
    <w:p w14:paraId="037902AA" w14:textId="238C94E3" w:rsidR="00A83438" w:rsidRDefault="00A83438" w:rsidP="002160D5">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Figure 2</w:t>
      </w:r>
      <w:r>
        <w:rPr>
          <w:rFonts w:ascii="Times New Roman" w:eastAsia="Times New Roman" w:hAnsi="Times New Roman" w:cs="Times New Roman"/>
          <w:sz w:val="20"/>
          <w:szCs w:val="20"/>
        </w:rPr>
        <w:t xml:space="preserve">. </w:t>
      </w:r>
      <w:r w:rsidRPr="00A83438">
        <w:rPr>
          <w:rFonts w:ascii="Times New Roman" w:eastAsia="Times New Roman" w:hAnsi="Times New Roman" w:cs="Times New Roman"/>
          <w:sz w:val="20"/>
          <w:szCs w:val="20"/>
        </w:rPr>
        <w:t>Monolingual sign in Indonesia</w:t>
      </w:r>
      <w:r w:rsidR="002160D5">
        <w:rPr>
          <w:rFonts w:ascii="Times New Roman" w:eastAsia="Times New Roman" w:hAnsi="Times New Roman" w:cs="Times New Roman"/>
          <w:sz w:val="20"/>
          <w:szCs w:val="20"/>
        </w:rPr>
        <w:t>n</w:t>
      </w:r>
    </w:p>
    <w:p w14:paraId="5CFAFA35" w14:textId="77777777" w:rsidR="009A764C" w:rsidRDefault="009A764C">
      <w:pPr>
        <w:spacing w:after="0" w:line="240" w:lineRule="auto"/>
        <w:ind w:firstLine="425"/>
        <w:jc w:val="both"/>
        <w:rPr>
          <w:rFonts w:ascii="Times New Roman" w:eastAsia="Times New Roman" w:hAnsi="Times New Roman" w:cs="Times New Roman"/>
          <w:sz w:val="24"/>
          <w:szCs w:val="24"/>
        </w:rPr>
      </w:pPr>
    </w:p>
    <w:p w14:paraId="1E49B580" w14:textId="18890E6C" w:rsidR="002160D5" w:rsidRDefault="002160D5">
      <w:pPr>
        <w:spacing w:after="0" w:line="240" w:lineRule="auto"/>
        <w:ind w:firstLine="425"/>
        <w:jc w:val="both"/>
        <w:rPr>
          <w:rFonts w:ascii="Times New Roman" w:eastAsia="Times New Roman" w:hAnsi="Times New Roman" w:cs="Times New Roman"/>
          <w:sz w:val="24"/>
          <w:szCs w:val="24"/>
        </w:rPr>
      </w:pPr>
      <w:r w:rsidRPr="002160D5">
        <w:rPr>
          <w:rFonts w:ascii="Times New Roman" w:eastAsia="Times New Roman" w:hAnsi="Times New Roman" w:cs="Times New Roman"/>
          <w:sz w:val="24"/>
          <w:szCs w:val="24"/>
        </w:rPr>
        <w:lastRenderedPageBreak/>
        <w:t>Figure 2 is a sample (two pictures) of monolingual signs in Indonesian. Image 1 reads, “</w:t>
      </w:r>
      <w:proofErr w:type="spellStart"/>
      <w:r w:rsidRPr="002160D5">
        <w:rPr>
          <w:rFonts w:ascii="Times New Roman" w:eastAsia="Times New Roman" w:hAnsi="Times New Roman" w:cs="Times New Roman"/>
          <w:i/>
          <w:iCs/>
          <w:sz w:val="24"/>
          <w:szCs w:val="24"/>
        </w:rPr>
        <w:t>Usut</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Tuntas</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Pembantaian</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berkedok</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keamanan</w:t>
      </w:r>
      <w:proofErr w:type="spellEnd"/>
      <w:r w:rsidRPr="002160D5">
        <w:rPr>
          <w:rFonts w:ascii="Times New Roman" w:eastAsia="Times New Roman" w:hAnsi="Times New Roman" w:cs="Times New Roman"/>
          <w:sz w:val="24"/>
          <w:szCs w:val="24"/>
        </w:rPr>
        <w:t xml:space="preserve">” (Investigate Completely: Massacre under the guise of security). Using the word massacre means to commit cruel killings with more than one victim. Where the police sprayed tear gas at </w:t>
      </w:r>
      <w:proofErr w:type="spellStart"/>
      <w:r w:rsidRPr="002160D5">
        <w:rPr>
          <w:rFonts w:ascii="Times New Roman" w:eastAsia="Times New Roman" w:hAnsi="Times New Roman" w:cs="Times New Roman"/>
          <w:sz w:val="24"/>
          <w:szCs w:val="24"/>
        </w:rPr>
        <w:t>Aremania</w:t>
      </w:r>
      <w:proofErr w:type="spellEnd"/>
      <w:r w:rsidRPr="002160D5">
        <w:rPr>
          <w:rFonts w:ascii="Times New Roman" w:eastAsia="Times New Roman" w:hAnsi="Times New Roman" w:cs="Times New Roman"/>
          <w:sz w:val="24"/>
          <w:szCs w:val="24"/>
        </w:rPr>
        <w:t xml:space="preserve"> football fans on the grounds of security while the stadium consisted of many groups (children, youth, adults, and seniors), they had been running headlong and jostled, to the point of stamping, asphyxiation, etc. This resulted in injuries and even death. Image 2 reads “</w:t>
      </w:r>
      <w:r w:rsidRPr="002160D5">
        <w:rPr>
          <w:rFonts w:ascii="Times New Roman" w:eastAsia="Times New Roman" w:hAnsi="Times New Roman" w:cs="Times New Roman"/>
          <w:i/>
          <w:iCs/>
          <w:sz w:val="24"/>
          <w:szCs w:val="24"/>
        </w:rPr>
        <w:t xml:space="preserve">Beri kami </w:t>
      </w:r>
      <w:proofErr w:type="spellStart"/>
      <w:r w:rsidRPr="002160D5">
        <w:rPr>
          <w:rFonts w:ascii="Times New Roman" w:eastAsia="Times New Roman" w:hAnsi="Times New Roman" w:cs="Times New Roman"/>
          <w:i/>
          <w:iCs/>
          <w:sz w:val="24"/>
          <w:szCs w:val="24"/>
        </w:rPr>
        <w:t>kepastian</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hukum</w:t>
      </w:r>
      <w:proofErr w:type="spellEnd"/>
      <w:r w:rsidRPr="002160D5">
        <w:rPr>
          <w:rFonts w:ascii="Times New Roman" w:eastAsia="Times New Roman" w:hAnsi="Times New Roman" w:cs="Times New Roman"/>
          <w:i/>
          <w:iCs/>
          <w:sz w:val="24"/>
          <w:szCs w:val="24"/>
        </w:rPr>
        <w:t xml:space="preserve">. Beri kami </w:t>
      </w:r>
      <w:proofErr w:type="spellStart"/>
      <w:r w:rsidRPr="002160D5">
        <w:rPr>
          <w:rFonts w:ascii="Times New Roman" w:eastAsia="Times New Roman" w:hAnsi="Times New Roman" w:cs="Times New Roman"/>
          <w:i/>
          <w:iCs/>
          <w:sz w:val="24"/>
          <w:szCs w:val="24"/>
        </w:rPr>
        <w:t>keadilan</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Beringasnya</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oknum</w:t>
      </w:r>
      <w:proofErr w:type="spellEnd"/>
      <w:r w:rsidRPr="002160D5">
        <w:rPr>
          <w:rFonts w:ascii="Times New Roman" w:eastAsia="Times New Roman" w:hAnsi="Times New Roman" w:cs="Times New Roman"/>
          <w:i/>
          <w:iCs/>
          <w:sz w:val="24"/>
          <w:szCs w:val="24"/>
        </w:rPr>
        <w:t xml:space="preserve"> dan PSSI (</w:t>
      </w:r>
      <w:proofErr w:type="spellStart"/>
      <w:r w:rsidRPr="002160D5">
        <w:rPr>
          <w:rFonts w:ascii="Times New Roman" w:eastAsia="Times New Roman" w:hAnsi="Times New Roman" w:cs="Times New Roman"/>
          <w:i/>
          <w:iCs/>
          <w:sz w:val="24"/>
          <w:szCs w:val="24"/>
        </w:rPr>
        <w:t>Persatuan</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Sepak</w:t>
      </w:r>
      <w:proofErr w:type="spellEnd"/>
      <w:r w:rsidRPr="002160D5">
        <w:rPr>
          <w:rFonts w:ascii="Times New Roman" w:eastAsia="Times New Roman" w:hAnsi="Times New Roman" w:cs="Times New Roman"/>
          <w:i/>
          <w:iCs/>
          <w:sz w:val="24"/>
          <w:szCs w:val="24"/>
        </w:rPr>
        <w:t xml:space="preserve"> Bola </w:t>
      </w:r>
      <w:proofErr w:type="spellStart"/>
      <w:r w:rsidRPr="002160D5">
        <w:rPr>
          <w:rFonts w:ascii="Times New Roman" w:eastAsia="Times New Roman" w:hAnsi="Times New Roman" w:cs="Times New Roman"/>
          <w:i/>
          <w:iCs/>
          <w:sz w:val="24"/>
          <w:szCs w:val="24"/>
        </w:rPr>
        <w:t>Seluruh</w:t>
      </w:r>
      <w:proofErr w:type="spellEnd"/>
      <w:r w:rsidRPr="002160D5">
        <w:rPr>
          <w:rFonts w:ascii="Times New Roman" w:eastAsia="Times New Roman" w:hAnsi="Times New Roman" w:cs="Times New Roman"/>
          <w:i/>
          <w:iCs/>
          <w:sz w:val="24"/>
          <w:szCs w:val="24"/>
        </w:rPr>
        <w:t xml:space="preserve"> Indonesia), yang </w:t>
      </w:r>
      <w:proofErr w:type="spellStart"/>
      <w:r w:rsidRPr="002160D5">
        <w:rPr>
          <w:rFonts w:ascii="Times New Roman" w:eastAsia="Times New Roman" w:hAnsi="Times New Roman" w:cs="Times New Roman"/>
          <w:i/>
          <w:iCs/>
          <w:sz w:val="24"/>
          <w:szCs w:val="24"/>
        </w:rPr>
        <w:t>merampas</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nyawa</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saudara</w:t>
      </w:r>
      <w:proofErr w:type="spellEnd"/>
      <w:r w:rsidRPr="002160D5">
        <w:rPr>
          <w:rFonts w:ascii="Times New Roman" w:eastAsia="Times New Roman" w:hAnsi="Times New Roman" w:cs="Times New Roman"/>
          <w:i/>
          <w:iCs/>
          <w:sz w:val="24"/>
          <w:szCs w:val="24"/>
        </w:rPr>
        <w:t xml:space="preserve"> kami</w:t>
      </w:r>
      <w:r w:rsidRPr="002160D5">
        <w:rPr>
          <w:rFonts w:ascii="Times New Roman" w:eastAsia="Times New Roman" w:hAnsi="Times New Roman" w:cs="Times New Roman"/>
          <w:sz w:val="24"/>
          <w:szCs w:val="24"/>
        </w:rPr>
        <w:t xml:space="preserve">” (Give us legal certainty. Give us justice. The ferocity of the individuals and the PSSI (All Indonesian Football Association), which took the lives of our brothers and sisters". The sentence in this sign seeks justice with legal certainty set for the perpetrators of the </w:t>
      </w:r>
      <w:proofErr w:type="spellStart"/>
      <w:r w:rsidRPr="002160D5">
        <w:rPr>
          <w:rFonts w:ascii="Times New Roman" w:eastAsia="Times New Roman" w:hAnsi="Times New Roman" w:cs="Times New Roman"/>
          <w:sz w:val="24"/>
          <w:szCs w:val="24"/>
        </w:rPr>
        <w:t>Kanjuruan</w:t>
      </w:r>
      <w:proofErr w:type="spellEnd"/>
      <w:r w:rsidRPr="002160D5">
        <w:rPr>
          <w:rFonts w:ascii="Times New Roman" w:eastAsia="Times New Roman" w:hAnsi="Times New Roman" w:cs="Times New Roman"/>
          <w:sz w:val="24"/>
          <w:szCs w:val="24"/>
        </w:rPr>
        <w:t xml:space="preserve"> tragedy and the people in charge of PSSI, East Java Regional Police, and Malang City Police in their failure to secure a football match between </w:t>
      </w:r>
      <w:proofErr w:type="spellStart"/>
      <w:r w:rsidRPr="002160D5">
        <w:rPr>
          <w:rFonts w:ascii="Times New Roman" w:eastAsia="Times New Roman" w:hAnsi="Times New Roman" w:cs="Times New Roman"/>
          <w:sz w:val="24"/>
          <w:szCs w:val="24"/>
        </w:rPr>
        <w:t>Arema</w:t>
      </w:r>
      <w:proofErr w:type="spellEnd"/>
      <w:r w:rsidRPr="002160D5">
        <w:rPr>
          <w:rFonts w:ascii="Times New Roman" w:eastAsia="Times New Roman" w:hAnsi="Times New Roman" w:cs="Times New Roman"/>
          <w:sz w:val="24"/>
          <w:szCs w:val="24"/>
        </w:rPr>
        <w:t xml:space="preserve"> and </w:t>
      </w:r>
      <w:proofErr w:type="spellStart"/>
      <w:r w:rsidRPr="002160D5">
        <w:rPr>
          <w:rFonts w:ascii="Times New Roman" w:eastAsia="Times New Roman" w:hAnsi="Times New Roman" w:cs="Times New Roman"/>
          <w:sz w:val="24"/>
          <w:szCs w:val="24"/>
        </w:rPr>
        <w:t>Persebaya</w:t>
      </w:r>
      <w:proofErr w:type="spellEnd"/>
      <w:r w:rsidRPr="002160D5">
        <w:rPr>
          <w:rFonts w:ascii="Times New Roman" w:eastAsia="Times New Roman" w:hAnsi="Times New Roman" w:cs="Times New Roman"/>
          <w:sz w:val="24"/>
          <w:szCs w:val="24"/>
        </w:rPr>
        <w:t>.</w:t>
      </w:r>
    </w:p>
    <w:p w14:paraId="4423D361" w14:textId="77777777" w:rsidR="002160D5" w:rsidRDefault="002160D5">
      <w:pPr>
        <w:spacing w:after="0" w:line="240" w:lineRule="auto"/>
        <w:ind w:firstLine="425"/>
        <w:jc w:val="both"/>
        <w:rPr>
          <w:rFonts w:ascii="Times New Roman" w:eastAsia="Times New Roman" w:hAnsi="Times New Roman" w:cs="Times New Roman"/>
          <w:sz w:val="24"/>
          <w:szCs w:val="24"/>
        </w:rPr>
      </w:pPr>
    </w:p>
    <w:tbl>
      <w:tblPr>
        <w:tblStyle w:val="TableGrid"/>
        <w:tblW w:w="0" w:type="auto"/>
        <w:jc w:val="center"/>
        <w:tblInd w:w="0" w:type="dxa"/>
        <w:tblBorders>
          <w:left w:val="none" w:sz="0" w:space="0" w:color="auto"/>
          <w:right w:val="none" w:sz="0" w:space="0" w:color="auto"/>
        </w:tblBorders>
        <w:tblLook w:val="04A0" w:firstRow="1" w:lastRow="0" w:firstColumn="1" w:lastColumn="0" w:noHBand="0" w:noVBand="1"/>
      </w:tblPr>
      <w:tblGrid>
        <w:gridCol w:w="4497"/>
        <w:gridCol w:w="4626"/>
      </w:tblGrid>
      <w:tr w:rsidR="002160D5" w:rsidRPr="00BE5FDF" w14:paraId="4DD859FD" w14:textId="77777777" w:rsidTr="005368B1">
        <w:trPr>
          <w:jc w:val="center"/>
        </w:trPr>
        <w:tc>
          <w:tcPr>
            <w:tcW w:w="4806" w:type="dxa"/>
            <w:tcBorders>
              <w:right w:val="nil"/>
            </w:tcBorders>
          </w:tcPr>
          <w:p w14:paraId="7347CC63" w14:textId="642D1F26" w:rsidR="002160D5" w:rsidRPr="00BE5FDF" w:rsidRDefault="002160D5" w:rsidP="005368B1">
            <w:pPr>
              <w:pStyle w:val="ListParagraph"/>
              <w:spacing w:after="0" w:line="480" w:lineRule="auto"/>
              <w:ind w:left="0"/>
              <w:jc w:val="center"/>
              <w:rPr>
                <w:rFonts w:asciiTheme="majorBidi" w:hAnsiTheme="majorBidi" w:cstheme="majorBidi"/>
                <w:noProof/>
                <w:sz w:val="24"/>
                <w:szCs w:val="24"/>
              </w:rPr>
            </w:pPr>
            <w:r w:rsidRPr="00A83438">
              <w:rPr>
                <w:rFonts w:asciiTheme="majorBidi" w:hAnsiTheme="majorBidi" w:cstheme="majorBidi"/>
                <w:noProof/>
                <w:sz w:val="18"/>
                <w:szCs w:val="18"/>
                <w:lang w:val="id-ID"/>
              </w:rPr>
              <w:t xml:space="preserve">Image </w:t>
            </w:r>
            <w:r w:rsidR="00F93BC3">
              <w:rPr>
                <w:rFonts w:asciiTheme="majorBidi" w:hAnsiTheme="majorBidi" w:cstheme="majorBidi"/>
                <w:noProof/>
                <w:sz w:val="18"/>
                <w:szCs w:val="18"/>
                <w:lang w:val="id-ID"/>
              </w:rPr>
              <w:t>1</w:t>
            </w:r>
          </w:p>
        </w:tc>
        <w:tc>
          <w:tcPr>
            <w:tcW w:w="4206" w:type="dxa"/>
            <w:tcBorders>
              <w:left w:val="nil"/>
              <w:right w:val="nil"/>
            </w:tcBorders>
          </w:tcPr>
          <w:p w14:paraId="2478EAE7" w14:textId="4D77B7B6" w:rsidR="002160D5" w:rsidRPr="00BE5FDF" w:rsidRDefault="002160D5" w:rsidP="005368B1">
            <w:pPr>
              <w:pStyle w:val="ListParagraph"/>
              <w:spacing w:after="0" w:line="480" w:lineRule="auto"/>
              <w:ind w:left="0"/>
              <w:jc w:val="center"/>
              <w:rPr>
                <w:rFonts w:asciiTheme="majorBidi" w:hAnsiTheme="majorBidi" w:cstheme="majorBidi"/>
                <w:noProof/>
                <w:sz w:val="24"/>
                <w:szCs w:val="24"/>
              </w:rPr>
            </w:pPr>
            <w:r w:rsidRPr="00A83438">
              <w:rPr>
                <w:rFonts w:asciiTheme="majorBidi" w:hAnsiTheme="majorBidi" w:cstheme="majorBidi"/>
                <w:noProof/>
                <w:sz w:val="18"/>
                <w:szCs w:val="18"/>
                <w:lang w:val="id-ID"/>
              </w:rPr>
              <w:t xml:space="preserve">Image </w:t>
            </w:r>
            <w:r w:rsidR="00F93BC3">
              <w:rPr>
                <w:rFonts w:asciiTheme="majorBidi" w:hAnsiTheme="majorBidi" w:cstheme="majorBidi"/>
                <w:noProof/>
                <w:sz w:val="18"/>
                <w:szCs w:val="18"/>
                <w:lang w:val="id-ID"/>
              </w:rPr>
              <w:t>2</w:t>
            </w:r>
          </w:p>
        </w:tc>
      </w:tr>
      <w:tr w:rsidR="002160D5" w:rsidRPr="00BE5FDF" w14:paraId="7708566A" w14:textId="77777777" w:rsidTr="005368B1">
        <w:trPr>
          <w:jc w:val="center"/>
        </w:trPr>
        <w:tc>
          <w:tcPr>
            <w:tcW w:w="4806" w:type="dxa"/>
            <w:tcBorders>
              <w:right w:val="nil"/>
            </w:tcBorders>
            <w:hideMark/>
          </w:tcPr>
          <w:p w14:paraId="00010FFD" w14:textId="71FE774B" w:rsidR="002160D5" w:rsidRPr="00BE5FDF" w:rsidRDefault="002160D5" w:rsidP="005368B1">
            <w:pPr>
              <w:pStyle w:val="ListParagraph"/>
              <w:spacing w:before="120" w:after="120"/>
              <w:ind w:left="0"/>
              <w:rPr>
                <w:rFonts w:asciiTheme="majorBidi" w:hAnsiTheme="majorBidi" w:cstheme="majorBidi"/>
                <w:b/>
                <w:bCs/>
                <w:sz w:val="24"/>
                <w:szCs w:val="24"/>
                <w:lang w:val="id-ID"/>
              </w:rPr>
            </w:pPr>
            <w:r>
              <w:rPr>
                <w:rFonts w:asciiTheme="majorBidi" w:hAnsiTheme="majorBidi" w:cstheme="majorBidi"/>
                <w:b/>
                <w:bCs/>
                <w:noProof/>
                <w:sz w:val="24"/>
                <w:szCs w:val="24"/>
                <w:lang w:val="id-ID"/>
              </w:rPr>
              <w:drawing>
                <wp:inline distT="0" distB="0" distL="0" distR="0" wp14:anchorId="6EA3B8A4" wp14:editId="7C2AE425">
                  <wp:extent cx="2694940" cy="1865630"/>
                  <wp:effectExtent l="0" t="0" r="0" b="1270"/>
                  <wp:docPr id="66141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4940" cy="1865630"/>
                          </a:xfrm>
                          <a:prstGeom prst="rect">
                            <a:avLst/>
                          </a:prstGeom>
                          <a:noFill/>
                        </pic:spPr>
                      </pic:pic>
                    </a:graphicData>
                  </a:graphic>
                </wp:inline>
              </w:drawing>
            </w:r>
          </w:p>
        </w:tc>
        <w:tc>
          <w:tcPr>
            <w:tcW w:w="4206" w:type="dxa"/>
            <w:tcBorders>
              <w:left w:val="nil"/>
              <w:right w:val="nil"/>
            </w:tcBorders>
            <w:hideMark/>
          </w:tcPr>
          <w:p w14:paraId="43CEFE8E" w14:textId="43035389" w:rsidR="002160D5" w:rsidRPr="00BE5FDF" w:rsidRDefault="002160D5" w:rsidP="005368B1">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71A8993D" wp14:editId="6C0BBDA2">
                  <wp:extent cx="2790825" cy="1871980"/>
                  <wp:effectExtent l="0" t="0" r="9525" b="0"/>
                  <wp:docPr id="889487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1233" cy="1872254"/>
                          </a:xfrm>
                          <a:prstGeom prst="rect">
                            <a:avLst/>
                          </a:prstGeom>
                          <a:noFill/>
                          <a:ln>
                            <a:noFill/>
                          </a:ln>
                        </pic:spPr>
                      </pic:pic>
                    </a:graphicData>
                  </a:graphic>
                </wp:inline>
              </w:drawing>
            </w:r>
          </w:p>
        </w:tc>
      </w:tr>
    </w:tbl>
    <w:p w14:paraId="15E81D7E" w14:textId="63D86F58" w:rsidR="002160D5" w:rsidRDefault="002160D5" w:rsidP="002160D5">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Figure 3</w:t>
      </w:r>
      <w:r>
        <w:rPr>
          <w:rFonts w:ascii="Times New Roman" w:eastAsia="Times New Roman" w:hAnsi="Times New Roman" w:cs="Times New Roman"/>
          <w:sz w:val="20"/>
          <w:szCs w:val="20"/>
        </w:rPr>
        <w:t xml:space="preserve">. </w:t>
      </w:r>
      <w:r w:rsidRPr="00A83438">
        <w:rPr>
          <w:rFonts w:ascii="Times New Roman" w:eastAsia="Times New Roman" w:hAnsi="Times New Roman" w:cs="Times New Roman"/>
          <w:sz w:val="20"/>
          <w:szCs w:val="20"/>
        </w:rPr>
        <w:t xml:space="preserve">Monolingual sign in </w:t>
      </w:r>
      <w:r>
        <w:rPr>
          <w:rFonts w:ascii="Times New Roman" w:eastAsia="Times New Roman" w:hAnsi="Times New Roman" w:cs="Times New Roman"/>
          <w:sz w:val="20"/>
          <w:szCs w:val="20"/>
        </w:rPr>
        <w:t>Javanese</w:t>
      </w:r>
    </w:p>
    <w:p w14:paraId="5EB22524" w14:textId="77777777" w:rsidR="002160D5" w:rsidRDefault="002160D5">
      <w:pPr>
        <w:spacing w:after="0" w:line="240" w:lineRule="auto"/>
        <w:ind w:firstLine="425"/>
        <w:jc w:val="both"/>
        <w:rPr>
          <w:rFonts w:ascii="Times New Roman" w:eastAsia="Times New Roman" w:hAnsi="Times New Roman" w:cs="Times New Roman"/>
          <w:sz w:val="24"/>
          <w:szCs w:val="24"/>
        </w:rPr>
      </w:pPr>
    </w:p>
    <w:p w14:paraId="5A3C3291" w14:textId="093F1D73" w:rsidR="00A83438" w:rsidRDefault="002160D5">
      <w:pPr>
        <w:spacing w:after="0" w:line="240" w:lineRule="auto"/>
        <w:ind w:firstLine="425"/>
        <w:jc w:val="both"/>
        <w:rPr>
          <w:rFonts w:ascii="Times New Roman" w:eastAsia="Times New Roman" w:hAnsi="Times New Roman" w:cs="Times New Roman"/>
          <w:sz w:val="24"/>
          <w:szCs w:val="24"/>
        </w:rPr>
      </w:pPr>
      <w:r w:rsidRPr="002160D5">
        <w:rPr>
          <w:rFonts w:ascii="Times New Roman" w:eastAsia="Times New Roman" w:hAnsi="Times New Roman" w:cs="Times New Roman"/>
          <w:sz w:val="24"/>
          <w:szCs w:val="24"/>
        </w:rPr>
        <w:t xml:space="preserve">This monolingual sign in Javanese uses the roughest level of language, as shown in image </w:t>
      </w:r>
      <w:r w:rsidR="00F93BC3">
        <w:rPr>
          <w:rFonts w:ascii="Times New Roman" w:eastAsia="Times New Roman" w:hAnsi="Times New Roman" w:cs="Times New Roman"/>
          <w:sz w:val="24"/>
          <w:szCs w:val="24"/>
        </w:rPr>
        <w:t>1</w:t>
      </w:r>
      <w:r w:rsidRPr="002160D5">
        <w:rPr>
          <w:rFonts w:ascii="Times New Roman" w:eastAsia="Times New Roman" w:hAnsi="Times New Roman" w:cs="Times New Roman"/>
          <w:sz w:val="24"/>
          <w:szCs w:val="24"/>
        </w:rPr>
        <w:t xml:space="preserve"> (figure 3), which contains “</w:t>
      </w:r>
      <w:r w:rsidRPr="002160D5">
        <w:rPr>
          <w:rFonts w:ascii="Times New Roman" w:eastAsia="Times New Roman" w:hAnsi="Times New Roman" w:cs="Times New Roman"/>
          <w:i/>
          <w:iCs/>
          <w:sz w:val="24"/>
          <w:szCs w:val="24"/>
        </w:rPr>
        <w:t xml:space="preserve">Gak </w:t>
      </w:r>
      <w:proofErr w:type="spellStart"/>
      <w:r w:rsidRPr="002160D5">
        <w:rPr>
          <w:rFonts w:ascii="Times New Roman" w:eastAsia="Times New Roman" w:hAnsi="Times New Roman" w:cs="Times New Roman"/>
          <w:i/>
          <w:iCs/>
          <w:sz w:val="24"/>
          <w:szCs w:val="24"/>
        </w:rPr>
        <w:t>njilat</w:t>
      </w:r>
      <w:proofErr w:type="spellEnd"/>
      <w:r w:rsidRPr="002160D5">
        <w:rPr>
          <w:rFonts w:ascii="Times New Roman" w:eastAsia="Times New Roman" w:hAnsi="Times New Roman" w:cs="Times New Roman"/>
          <w:i/>
          <w:iCs/>
          <w:sz w:val="24"/>
          <w:szCs w:val="24"/>
        </w:rPr>
        <w:t xml:space="preserve">, gak iso </w:t>
      </w:r>
      <w:proofErr w:type="spellStart"/>
      <w:r w:rsidRPr="002160D5">
        <w:rPr>
          <w:rFonts w:ascii="Times New Roman" w:eastAsia="Times New Roman" w:hAnsi="Times New Roman" w:cs="Times New Roman"/>
          <w:i/>
          <w:iCs/>
          <w:sz w:val="24"/>
          <w:szCs w:val="24"/>
        </w:rPr>
        <w:t>mbadok</w:t>
      </w:r>
      <w:proofErr w:type="spellEnd"/>
      <w:r w:rsidRPr="002160D5">
        <w:rPr>
          <w:rFonts w:ascii="Times New Roman" w:eastAsia="Times New Roman" w:hAnsi="Times New Roman" w:cs="Times New Roman"/>
          <w:i/>
          <w:iCs/>
          <w:sz w:val="24"/>
          <w:szCs w:val="24"/>
        </w:rPr>
        <w:t xml:space="preserve">. #Usut </w:t>
      </w:r>
      <w:proofErr w:type="spellStart"/>
      <w:r w:rsidRPr="002160D5">
        <w:rPr>
          <w:rFonts w:ascii="Times New Roman" w:eastAsia="Times New Roman" w:hAnsi="Times New Roman" w:cs="Times New Roman"/>
          <w:i/>
          <w:iCs/>
          <w:sz w:val="24"/>
          <w:szCs w:val="24"/>
        </w:rPr>
        <w:t>Tuntas</w:t>
      </w:r>
      <w:proofErr w:type="spellEnd"/>
      <w:r w:rsidRPr="002160D5">
        <w:rPr>
          <w:rFonts w:ascii="Times New Roman" w:eastAsia="Times New Roman" w:hAnsi="Times New Roman" w:cs="Times New Roman"/>
          <w:sz w:val="24"/>
          <w:szCs w:val="24"/>
        </w:rPr>
        <w:t xml:space="preserve">” (No lick, no iso </w:t>
      </w:r>
      <w:proofErr w:type="spellStart"/>
      <w:r w:rsidRPr="002160D5">
        <w:rPr>
          <w:rFonts w:ascii="Times New Roman" w:eastAsia="Times New Roman" w:hAnsi="Times New Roman" w:cs="Times New Roman"/>
          <w:sz w:val="24"/>
          <w:szCs w:val="24"/>
        </w:rPr>
        <w:t>mbadok</w:t>
      </w:r>
      <w:proofErr w:type="spellEnd"/>
      <w:r w:rsidRPr="002160D5">
        <w:rPr>
          <w:rFonts w:ascii="Times New Roman" w:eastAsia="Times New Roman" w:hAnsi="Times New Roman" w:cs="Times New Roman"/>
          <w:sz w:val="24"/>
          <w:szCs w:val="24"/>
        </w:rPr>
        <w:t xml:space="preserve">. #Investigate Completely) can be interpreted as a person, in this case, government officials cannot seek a bite of rice except by fawning (i.e., doing things aimed at gaining their benefit by pleasing others, even if in a way that hurts and even harms many people). Image </w:t>
      </w:r>
      <w:r w:rsidR="00F93BC3">
        <w:rPr>
          <w:rFonts w:ascii="Times New Roman" w:eastAsia="Times New Roman" w:hAnsi="Times New Roman" w:cs="Times New Roman"/>
          <w:sz w:val="24"/>
          <w:szCs w:val="24"/>
        </w:rPr>
        <w:t>2</w:t>
      </w:r>
      <w:r w:rsidRPr="002160D5">
        <w:rPr>
          <w:rFonts w:ascii="Times New Roman" w:eastAsia="Times New Roman" w:hAnsi="Times New Roman" w:cs="Times New Roman"/>
          <w:sz w:val="24"/>
          <w:szCs w:val="24"/>
        </w:rPr>
        <w:t xml:space="preserve"> further shows the community's surrender to the efforts made in various ways, so they write the following sentence "</w:t>
      </w:r>
      <w:proofErr w:type="spellStart"/>
      <w:r w:rsidRPr="002160D5">
        <w:rPr>
          <w:rFonts w:ascii="Times New Roman" w:eastAsia="Times New Roman" w:hAnsi="Times New Roman" w:cs="Times New Roman"/>
          <w:i/>
          <w:iCs/>
          <w:sz w:val="24"/>
          <w:szCs w:val="24"/>
        </w:rPr>
        <w:t>Lemah</w:t>
      </w:r>
      <w:proofErr w:type="spellEnd"/>
      <w:r w:rsidRPr="002160D5">
        <w:rPr>
          <w:rFonts w:ascii="Times New Roman" w:eastAsia="Times New Roman" w:hAnsi="Times New Roman" w:cs="Times New Roman"/>
          <w:i/>
          <w:iCs/>
          <w:sz w:val="24"/>
          <w:szCs w:val="24"/>
        </w:rPr>
        <w:t xml:space="preserve"> </w:t>
      </w:r>
      <w:proofErr w:type="spellStart"/>
      <w:r w:rsidRPr="002160D5">
        <w:rPr>
          <w:rFonts w:ascii="Times New Roman" w:eastAsia="Times New Roman" w:hAnsi="Times New Roman" w:cs="Times New Roman"/>
          <w:i/>
          <w:iCs/>
          <w:sz w:val="24"/>
          <w:szCs w:val="24"/>
        </w:rPr>
        <w:t>teles</w:t>
      </w:r>
      <w:proofErr w:type="spellEnd"/>
      <w:r w:rsidRPr="002160D5">
        <w:rPr>
          <w:rFonts w:ascii="Times New Roman" w:eastAsia="Times New Roman" w:hAnsi="Times New Roman" w:cs="Times New Roman"/>
          <w:i/>
          <w:iCs/>
          <w:sz w:val="24"/>
          <w:szCs w:val="24"/>
        </w:rPr>
        <w:t xml:space="preserve">, Gusti Allah sing </w:t>
      </w:r>
      <w:proofErr w:type="spellStart"/>
      <w:r w:rsidRPr="002160D5">
        <w:rPr>
          <w:rFonts w:ascii="Times New Roman" w:eastAsia="Times New Roman" w:hAnsi="Times New Roman" w:cs="Times New Roman"/>
          <w:i/>
          <w:iCs/>
          <w:sz w:val="24"/>
          <w:szCs w:val="24"/>
        </w:rPr>
        <w:t>mbales</w:t>
      </w:r>
      <w:proofErr w:type="spellEnd"/>
      <w:r w:rsidRPr="002160D5">
        <w:rPr>
          <w:rFonts w:ascii="Times New Roman" w:eastAsia="Times New Roman" w:hAnsi="Times New Roman" w:cs="Times New Roman"/>
          <w:sz w:val="24"/>
          <w:szCs w:val="24"/>
        </w:rPr>
        <w:t>," which means that every good and bad deed will always get a proper reward from God Almighty</w:t>
      </w:r>
      <w:r>
        <w:rPr>
          <w:rFonts w:ascii="Times New Roman" w:eastAsia="Times New Roman" w:hAnsi="Times New Roman" w:cs="Times New Roman"/>
          <w:sz w:val="24"/>
          <w:szCs w:val="24"/>
        </w:rPr>
        <w:t>.</w:t>
      </w:r>
    </w:p>
    <w:p w14:paraId="72A6AA14" w14:textId="77777777" w:rsidR="002160D5" w:rsidRDefault="002160D5">
      <w:pPr>
        <w:spacing w:after="0" w:line="240" w:lineRule="auto"/>
        <w:ind w:firstLine="425"/>
        <w:jc w:val="both"/>
        <w:rPr>
          <w:rFonts w:ascii="Times New Roman" w:eastAsia="Times New Roman" w:hAnsi="Times New Roman" w:cs="Times New Roman"/>
          <w:sz w:val="24"/>
          <w:szCs w:val="24"/>
        </w:rPr>
      </w:pPr>
    </w:p>
    <w:tbl>
      <w:tblPr>
        <w:tblStyle w:val="TableGrid"/>
        <w:tblW w:w="0" w:type="auto"/>
        <w:jc w:val="center"/>
        <w:tblInd w:w="0" w:type="dxa"/>
        <w:tblBorders>
          <w:left w:val="none" w:sz="0" w:space="0" w:color="auto"/>
        </w:tblBorders>
        <w:tblLook w:val="04A0" w:firstRow="1" w:lastRow="0" w:firstColumn="1" w:lastColumn="0" w:noHBand="0" w:noVBand="1"/>
      </w:tblPr>
      <w:tblGrid>
        <w:gridCol w:w="3125"/>
        <w:gridCol w:w="2961"/>
        <w:gridCol w:w="3037"/>
      </w:tblGrid>
      <w:tr w:rsidR="00F93BC3" w:rsidRPr="00BE5FDF" w14:paraId="6146667E" w14:textId="77777777" w:rsidTr="00F93BC3">
        <w:trPr>
          <w:jc w:val="center"/>
        </w:trPr>
        <w:tc>
          <w:tcPr>
            <w:tcW w:w="3125" w:type="dxa"/>
            <w:tcBorders>
              <w:bottom w:val="single" w:sz="4" w:space="0" w:color="auto"/>
              <w:right w:val="nil"/>
            </w:tcBorders>
          </w:tcPr>
          <w:p w14:paraId="2888A1B8" w14:textId="69238BE6" w:rsidR="00F93BC3" w:rsidRPr="00F93BC3" w:rsidRDefault="00F93BC3" w:rsidP="00F93BC3">
            <w:pPr>
              <w:pStyle w:val="ListParagraph"/>
              <w:ind w:left="0"/>
              <w:jc w:val="center"/>
              <w:rPr>
                <w:rFonts w:asciiTheme="majorBidi" w:hAnsiTheme="majorBidi" w:cstheme="majorBidi"/>
                <w:noProof/>
                <w:sz w:val="18"/>
                <w:szCs w:val="18"/>
              </w:rPr>
            </w:pPr>
            <w:r w:rsidRPr="00F93BC3">
              <w:rPr>
                <w:rFonts w:asciiTheme="majorBidi" w:hAnsiTheme="majorBidi" w:cstheme="majorBidi"/>
                <w:noProof/>
                <w:sz w:val="18"/>
                <w:szCs w:val="18"/>
                <w:lang w:val="id-ID"/>
              </w:rPr>
              <w:t>Image 1</w:t>
            </w:r>
          </w:p>
        </w:tc>
        <w:tc>
          <w:tcPr>
            <w:tcW w:w="2961" w:type="dxa"/>
            <w:tcBorders>
              <w:left w:val="nil"/>
              <w:bottom w:val="single" w:sz="4" w:space="0" w:color="auto"/>
              <w:right w:val="nil"/>
            </w:tcBorders>
          </w:tcPr>
          <w:p w14:paraId="1CB0E989" w14:textId="13BAF1AA" w:rsidR="00F93BC3" w:rsidRPr="00F93BC3" w:rsidRDefault="00F93BC3" w:rsidP="00F93BC3">
            <w:pPr>
              <w:pStyle w:val="ListParagraph"/>
              <w:ind w:left="0"/>
              <w:jc w:val="center"/>
              <w:rPr>
                <w:rFonts w:asciiTheme="majorBidi" w:hAnsiTheme="majorBidi" w:cstheme="majorBidi"/>
                <w:noProof/>
                <w:sz w:val="18"/>
                <w:szCs w:val="18"/>
              </w:rPr>
            </w:pPr>
            <w:r w:rsidRPr="00F93BC3">
              <w:rPr>
                <w:rFonts w:asciiTheme="majorBidi" w:hAnsiTheme="majorBidi" w:cstheme="majorBidi"/>
                <w:noProof/>
                <w:sz w:val="18"/>
                <w:szCs w:val="18"/>
                <w:lang w:val="id-ID"/>
              </w:rPr>
              <w:t>Image 2</w:t>
            </w:r>
          </w:p>
        </w:tc>
        <w:tc>
          <w:tcPr>
            <w:tcW w:w="3037" w:type="dxa"/>
            <w:tcBorders>
              <w:left w:val="nil"/>
              <w:bottom w:val="single" w:sz="4" w:space="0" w:color="auto"/>
              <w:right w:val="nil"/>
            </w:tcBorders>
          </w:tcPr>
          <w:p w14:paraId="49FBF081" w14:textId="05D5CAF2" w:rsidR="00F93BC3" w:rsidRPr="00F93BC3" w:rsidRDefault="00F93BC3" w:rsidP="00F93BC3">
            <w:pPr>
              <w:pStyle w:val="ListParagraph"/>
              <w:ind w:left="0"/>
              <w:jc w:val="center"/>
              <w:rPr>
                <w:rFonts w:asciiTheme="majorBidi" w:hAnsiTheme="majorBidi" w:cstheme="majorBidi"/>
                <w:noProof/>
                <w:sz w:val="18"/>
                <w:szCs w:val="18"/>
              </w:rPr>
            </w:pPr>
            <w:r w:rsidRPr="00F93BC3">
              <w:rPr>
                <w:rFonts w:asciiTheme="majorBidi" w:hAnsiTheme="majorBidi" w:cstheme="majorBidi"/>
                <w:noProof/>
                <w:sz w:val="18"/>
                <w:szCs w:val="18"/>
                <w:lang w:val="id-ID"/>
              </w:rPr>
              <w:t>Image 3</w:t>
            </w:r>
          </w:p>
        </w:tc>
      </w:tr>
      <w:tr w:rsidR="00F93BC3" w:rsidRPr="00BE5FDF" w14:paraId="613B7C98" w14:textId="77777777" w:rsidTr="00F93BC3">
        <w:trPr>
          <w:jc w:val="center"/>
        </w:trPr>
        <w:tc>
          <w:tcPr>
            <w:tcW w:w="3125" w:type="dxa"/>
            <w:tcBorders>
              <w:top w:val="single" w:sz="4" w:space="0" w:color="auto"/>
              <w:right w:val="nil"/>
            </w:tcBorders>
            <w:hideMark/>
          </w:tcPr>
          <w:p w14:paraId="44A6B3A0" w14:textId="77777777" w:rsidR="00F93BC3" w:rsidRPr="00BE5FDF" w:rsidRDefault="00F93BC3" w:rsidP="00FA0198">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lastRenderedPageBreak/>
              <w:drawing>
                <wp:inline distT="0" distB="0" distL="0" distR="0" wp14:anchorId="34BCDE82" wp14:editId="4CB0F55F">
                  <wp:extent cx="1866228" cy="1076960"/>
                  <wp:effectExtent l="0" t="0" r="1270" b="8890"/>
                  <wp:docPr id="14916237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6100" cy="1082657"/>
                          </a:xfrm>
                          <a:prstGeom prst="rect">
                            <a:avLst/>
                          </a:prstGeom>
                          <a:noFill/>
                          <a:ln>
                            <a:noFill/>
                          </a:ln>
                        </pic:spPr>
                      </pic:pic>
                    </a:graphicData>
                  </a:graphic>
                </wp:inline>
              </w:drawing>
            </w:r>
          </w:p>
        </w:tc>
        <w:tc>
          <w:tcPr>
            <w:tcW w:w="2961" w:type="dxa"/>
            <w:tcBorders>
              <w:top w:val="single" w:sz="4" w:space="0" w:color="auto"/>
              <w:left w:val="nil"/>
              <w:right w:val="nil"/>
            </w:tcBorders>
            <w:hideMark/>
          </w:tcPr>
          <w:p w14:paraId="4A45C89B" w14:textId="77777777" w:rsidR="00F93BC3" w:rsidRPr="00BE5FDF" w:rsidRDefault="00F93BC3" w:rsidP="00FA0198">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3BC216AD" wp14:editId="1FECCA89">
                  <wp:extent cx="1761155" cy="1066800"/>
                  <wp:effectExtent l="0" t="0" r="0" b="0"/>
                  <wp:docPr id="1660545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8382" cy="1077235"/>
                          </a:xfrm>
                          <a:prstGeom prst="rect">
                            <a:avLst/>
                          </a:prstGeom>
                          <a:noFill/>
                          <a:ln>
                            <a:noFill/>
                          </a:ln>
                        </pic:spPr>
                      </pic:pic>
                    </a:graphicData>
                  </a:graphic>
                </wp:inline>
              </w:drawing>
            </w:r>
          </w:p>
        </w:tc>
        <w:tc>
          <w:tcPr>
            <w:tcW w:w="3037" w:type="dxa"/>
            <w:tcBorders>
              <w:top w:val="single" w:sz="4" w:space="0" w:color="auto"/>
              <w:left w:val="nil"/>
              <w:right w:val="nil"/>
            </w:tcBorders>
          </w:tcPr>
          <w:p w14:paraId="722DC716" w14:textId="77777777" w:rsidR="00F93BC3" w:rsidRPr="00BE5FDF" w:rsidRDefault="00F93BC3" w:rsidP="00FA0198">
            <w:pPr>
              <w:pStyle w:val="ListParagraph"/>
              <w:spacing w:before="120" w:after="120"/>
              <w:ind w:left="0"/>
              <w:contextualSpacing w:val="0"/>
              <w:jc w:val="center"/>
              <w:rPr>
                <w:rFonts w:asciiTheme="majorBidi" w:hAnsiTheme="majorBidi" w:cstheme="majorBidi"/>
                <w:noProof/>
                <w:sz w:val="24"/>
                <w:szCs w:val="24"/>
              </w:rPr>
            </w:pPr>
            <w:r w:rsidRPr="00BE5FDF">
              <w:rPr>
                <w:rFonts w:asciiTheme="majorBidi" w:hAnsiTheme="majorBidi" w:cstheme="majorBidi"/>
                <w:noProof/>
                <w:sz w:val="24"/>
                <w:szCs w:val="24"/>
              </w:rPr>
              <w:drawing>
                <wp:inline distT="0" distB="0" distL="0" distR="0" wp14:anchorId="5A229B85" wp14:editId="7CB52E88">
                  <wp:extent cx="1809750" cy="1077418"/>
                  <wp:effectExtent l="0" t="0" r="0" b="889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27512" cy="1087992"/>
                          </a:xfrm>
                          <a:prstGeom prst="rect">
                            <a:avLst/>
                          </a:prstGeom>
                          <a:noFill/>
                          <a:ln>
                            <a:noFill/>
                          </a:ln>
                        </pic:spPr>
                      </pic:pic>
                    </a:graphicData>
                  </a:graphic>
                </wp:inline>
              </w:drawing>
            </w:r>
          </w:p>
        </w:tc>
      </w:tr>
    </w:tbl>
    <w:p w14:paraId="633C4F99" w14:textId="167CFD1C" w:rsidR="00F93BC3" w:rsidRDefault="00F93BC3" w:rsidP="00F93BC3">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Figure 4</w:t>
      </w:r>
      <w:r>
        <w:rPr>
          <w:rFonts w:ascii="Times New Roman" w:eastAsia="Times New Roman" w:hAnsi="Times New Roman" w:cs="Times New Roman"/>
          <w:sz w:val="20"/>
          <w:szCs w:val="20"/>
        </w:rPr>
        <w:t xml:space="preserve">. </w:t>
      </w:r>
      <w:r w:rsidRPr="00A83438">
        <w:rPr>
          <w:rFonts w:ascii="Times New Roman" w:eastAsia="Times New Roman" w:hAnsi="Times New Roman" w:cs="Times New Roman"/>
          <w:sz w:val="20"/>
          <w:szCs w:val="20"/>
        </w:rPr>
        <w:t xml:space="preserve">Monolingual sign in </w:t>
      </w:r>
      <w:r>
        <w:rPr>
          <w:rFonts w:ascii="Times New Roman" w:eastAsia="Times New Roman" w:hAnsi="Times New Roman" w:cs="Times New Roman"/>
          <w:sz w:val="20"/>
          <w:szCs w:val="20"/>
        </w:rPr>
        <w:t>English</w:t>
      </w:r>
    </w:p>
    <w:p w14:paraId="1F1A8864" w14:textId="77777777" w:rsidR="002160D5" w:rsidRDefault="002160D5">
      <w:pPr>
        <w:spacing w:after="0" w:line="240" w:lineRule="auto"/>
        <w:ind w:firstLine="425"/>
        <w:jc w:val="both"/>
        <w:rPr>
          <w:rFonts w:ascii="Times New Roman" w:eastAsia="Times New Roman" w:hAnsi="Times New Roman" w:cs="Times New Roman"/>
          <w:sz w:val="24"/>
          <w:szCs w:val="24"/>
        </w:rPr>
      </w:pPr>
    </w:p>
    <w:p w14:paraId="0E325FD8" w14:textId="5D7B4C70" w:rsidR="00F93BC3" w:rsidRDefault="00F93BC3">
      <w:pPr>
        <w:spacing w:after="0" w:line="240" w:lineRule="auto"/>
        <w:ind w:firstLine="425"/>
        <w:jc w:val="both"/>
        <w:rPr>
          <w:rFonts w:ascii="Times New Roman" w:eastAsia="Times New Roman" w:hAnsi="Times New Roman" w:cs="Times New Roman"/>
          <w:sz w:val="24"/>
          <w:szCs w:val="24"/>
        </w:rPr>
      </w:pPr>
      <w:r w:rsidRPr="00F93BC3">
        <w:rPr>
          <w:rFonts w:ascii="Times New Roman" w:eastAsia="Times New Roman" w:hAnsi="Times New Roman" w:cs="Times New Roman"/>
          <w:sz w:val="24"/>
          <w:szCs w:val="24"/>
        </w:rPr>
        <w:t xml:space="preserve">Figure 4 provides an example of three monolingual signs using English. Image 1 says it reads, "Don't let cops kill more of us," which means that the people ask the police as security guards for the nation and the nation not to commit more killings. They were appointed to maintain the country's stability, not complicate the situation and conditions. Image 2 reads the phrase "Stop police brutality" The public views that the actions committed by the police at the </w:t>
      </w:r>
      <w:proofErr w:type="spellStart"/>
      <w:r w:rsidRPr="00F93BC3">
        <w:rPr>
          <w:rFonts w:ascii="Times New Roman" w:eastAsia="Times New Roman" w:hAnsi="Times New Roman" w:cs="Times New Roman"/>
          <w:sz w:val="24"/>
          <w:szCs w:val="24"/>
        </w:rPr>
        <w:t>Kanjuruan</w:t>
      </w:r>
      <w:proofErr w:type="spellEnd"/>
      <w:r w:rsidRPr="00F93BC3">
        <w:rPr>
          <w:rFonts w:ascii="Times New Roman" w:eastAsia="Times New Roman" w:hAnsi="Times New Roman" w:cs="Times New Roman"/>
          <w:sz w:val="24"/>
          <w:szCs w:val="24"/>
        </w:rPr>
        <w:t xml:space="preserve"> stadium are a category of brutal behavior, namely acts that are cruel, impudent, impolite, rude, and barbaric. Image 3 reads, "Rest in peace, ACAB. What a bastard, </w:t>
      </w:r>
      <w:proofErr w:type="spellStart"/>
      <w:r w:rsidRPr="00F93BC3">
        <w:rPr>
          <w:rFonts w:ascii="Times New Roman" w:eastAsia="Times New Roman" w:hAnsi="Times New Roman" w:cs="Times New Roman"/>
          <w:sz w:val="24"/>
          <w:szCs w:val="24"/>
        </w:rPr>
        <w:t>Kanjuruan</w:t>
      </w:r>
      <w:proofErr w:type="spellEnd"/>
      <w:r w:rsidRPr="00F93BC3">
        <w:rPr>
          <w:rFonts w:ascii="Times New Roman" w:eastAsia="Times New Roman" w:hAnsi="Times New Roman" w:cs="Times New Roman"/>
          <w:sz w:val="24"/>
          <w:szCs w:val="24"/>
        </w:rPr>
        <w:t xml:space="preserve"> disaster. "The sign in Figure 3 has three dimensions. First, it provides support and prayer for </w:t>
      </w:r>
      <w:proofErr w:type="spellStart"/>
      <w:r w:rsidRPr="00F93BC3">
        <w:rPr>
          <w:rFonts w:ascii="Times New Roman" w:eastAsia="Times New Roman" w:hAnsi="Times New Roman" w:cs="Times New Roman"/>
          <w:sz w:val="24"/>
          <w:szCs w:val="24"/>
        </w:rPr>
        <w:t>Aremania</w:t>
      </w:r>
      <w:proofErr w:type="spellEnd"/>
      <w:r w:rsidRPr="00F93BC3">
        <w:rPr>
          <w:rFonts w:ascii="Times New Roman" w:eastAsia="Times New Roman" w:hAnsi="Times New Roman" w:cs="Times New Roman"/>
          <w:sz w:val="24"/>
          <w:szCs w:val="24"/>
        </w:rPr>
        <w:t xml:space="preserve"> football supporters who have passed away and are given a peaceful life in nature. The second is a word of ridicule and insult to the perpetrators of the murder. Third, there is a ribbon symbol that shows the meaning of mourning, expression of grief, and raising collective support for </w:t>
      </w:r>
      <w:proofErr w:type="spellStart"/>
      <w:r w:rsidRPr="00F93BC3">
        <w:rPr>
          <w:rFonts w:ascii="Times New Roman" w:eastAsia="Times New Roman" w:hAnsi="Times New Roman" w:cs="Times New Roman"/>
          <w:sz w:val="24"/>
          <w:szCs w:val="24"/>
        </w:rPr>
        <w:t>Kanjuran</w:t>
      </w:r>
      <w:proofErr w:type="spellEnd"/>
      <w:r w:rsidRPr="00F93BC3">
        <w:rPr>
          <w:rFonts w:ascii="Times New Roman" w:eastAsia="Times New Roman" w:hAnsi="Times New Roman" w:cs="Times New Roman"/>
          <w:sz w:val="24"/>
          <w:szCs w:val="24"/>
        </w:rPr>
        <w:t xml:space="preserve"> victims who have died and those who were injured after a mass tragedy</w:t>
      </w:r>
    </w:p>
    <w:p w14:paraId="668E9A4B" w14:textId="77777777" w:rsidR="00F93BC3" w:rsidRDefault="00F93BC3">
      <w:pPr>
        <w:spacing w:after="0" w:line="240" w:lineRule="auto"/>
        <w:ind w:firstLine="425"/>
        <w:jc w:val="both"/>
        <w:rPr>
          <w:rFonts w:ascii="Times New Roman" w:eastAsia="Times New Roman" w:hAnsi="Times New Roman" w:cs="Times New Roman"/>
          <w:sz w:val="24"/>
          <w:szCs w:val="24"/>
        </w:rPr>
      </w:pPr>
    </w:p>
    <w:p w14:paraId="3F8F015B" w14:textId="6C33CFEE" w:rsidR="00F93BC3" w:rsidRDefault="00F93BC3">
      <w:pPr>
        <w:spacing w:after="0" w:line="240" w:lineRule="auto"/>
        <w:ind w:firstLine="425"/>
        <w:jc w:val="both"/>
        <w:rPr>
          <w:rFonts w:ascii="Times New Roman" w:eastAsia="Times New Roman" w:hAnsi="Times New Roman" w:cs="Times New Roman"/>
          <w:sz w:val="24"/>
          <w:szCs w:val="24"/>
        </w:rPr>
      </w:pPr>
      <w:r w:rsidRPr="00BE5FDF">
        <w:rPr>
          <w:rFonts w:asciiTheme="majorBidi" w:hAnsiTheme="majorBidi" w:cstheme="majorBidi"/>
          <w:noProof/>
          <w:sz w:val="24"/>
          <w:szCs w:val="24"/>
        </w:rPr>
        <w:drawing>
          <wp:inline distT="0" distB="0" distL="0" distR="0" wp14:anchorId="1ABCCF6E" wp14:editId="586E6D13">
            <wp:extent cx="5517875" cy="2028825"/>
            <wp:effectExtent l="0" t="0" r="6985" b="0"/>
            <wp:docPr id="1306904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47171" cy="2039597"/>
                    </a:xfrm>
                    <a:prstGeom prst="rect">
                      <a:avLst/>
                    </a:prstGeom>
                    <a:noFill/>
                    <a:ln>
                      <a:noFill/>
                    </a:ln>
                  </pic:spPr>
                </pic:pic>
              </a:graphicData>
            </a:graphic>
          </wp:inline>
        </w:drawing>
      </w:r>
    </w:p>
    <w:p w14:paraId="7610BBAC" w14:textId="46893703" w:rsidR="00F93BC3" w:rsidRDefault="00F93BC3" w:rsidP="00F93BC3">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Figure 5</w:t>
      </w:r>
      <w:r>
        <w:rPr>
          <w:rFonts w:ascii="Times New Roman" w:eastAsia="Times New Roman" w:hAnsi="Times New Roman" w:cs="Times New Roman"/>
          <w:sz w:val="20"/>
          <w:szCs w:val="20"/>
        </w:rPr>
        <w:t xml:space="preserve">. </w:t>
      </w:r>
      <w:r w:rsidRPr="00A83438">
        <w:rPr>
          <w:rFonts w:ascii="Times New Roman" w:eastAsia="Times New Roman" w:hAnsi="Times New Roman" w:cs="Times New Roman"/>
          <w:sz w:val="20"/>
          <w:szCs w:val="20"/>
        </w:rPr>
        <w:t xml:space="preserve">Monolingual sign in </w:t>
      </w:r>
      <w:r>
        <w:rPr>
          <w:rFonts w:ascii="Times New Roman" w:eastAsia="Times New Roman" w:hAnsi="Times New Roman" w:cs="Times New Roman"/>
          <w:sz w:val="20"/>
          <w:szCs w:val="20"/>
        </w:rPr>
        <w:t>Arabic</w:t>
      </w:r>
    </w:p>
    <w:p w14:paraId="6F453288" w14:textId="77777777" w:rsidR="00F93BC3" w:rsidRDefault="00F93BC3">
      <w:pPr>
        <w:spacing w:after="0" w:line="240" w:lineRule="auto"/>
        <w:ind w:firstLine="425"/>
        <w:jc w:val="both"/>
        <w:rPr>
          <w:rFonts w:ascii="Times New Roman" w:eastAsia="Times New Roman" w:hAnsi="Times New Roman" w:cs="Times New Roman"/>
          <w:sz w:val="24"/>
          <w:szCs w:val="24"/>
        </w:rPr>
      </w:pPr>
    </w:p>
    <w:p w14:paraId="07FC6E03" w14:textId="235DAD34" w:rsidR="00FA0198" w:rsidRDefault="00F93BC3">
      <w:pPr>
        <w:spacing w:after="0" w:line="240" w:lineRule="auto"/>
        <w:ind w:firstLine="425"/>
        <w:jc w:val="both"/>
        <w:rPr>
          <w:rFonts w:ascii="Times New Roman" w:eastAsia="Times New Roman" w:hAnsi="Times New Roman" w:cs="Times New Roman"/>
          <w:sz w:val="24"/>
          <w:szCs w:val="24"/>
        </w:rPr>
      </w:pPr>
      <w:r w:rsidRPr="00F93BC3">
        <w:rPr>
          <w:rFonts w:ascii="Times New Roman" w:eastAsia="Times New Roman" w:hAnsi="Times New Roman" w:cs="Times New Roman"/>
          <w:sz w:val="24"/>
          <w:szCs w:val="24"/>
        </w:rPr>
        <w:t xml:space="preserve">Sign in Arabic illustrates dissatisfaction with the court's decision on the perpetrators of the </w:t>
      </w:r>
      <w:proofErr w:type="spellStart"/>
      <w:r w:rsidRPr="00F93BC3">
        <w:rPr>
          <w:rFonts w:ascii="Times New Roman" w:eastAsia="Times New Roman" w:hAnsi="Times New Roman" w:cs="Times New Roman"/>
          <w:sz w:val="24"/>
          <w:szCs w:val="24"/>
        </w:rPr>
        <w:t>Kanjuruan</w:t>
      </w:r>
      <w:proofErr w:type="spellEnd"/>
      <w:r w:rsidRPr="00F93BC3">
        <w:rPr>
          <w:rFonts w:ascii="Times New Roman" w:eastAsia="Times New Roman" w:hAnsi="Times New Roman" w:cs="Times New Roman"/>
          <w:sz w:val="24"/>
          <w:szCs w:val="24"/>
        </w:rPr>
        <w:t xml:space="preserve"> tragedy, which killed hundreds of people. Figure 5 reads, "</w:t>
      </w:r>
      <w:r w:rsidRPr="00F93BC3">
        <w:rPr>
          <w:rFonts w:ascii="Times New Roman" w:eastAsia="Times New Roman" w:hAnsi="Times New Roman" w:cs="Times New Roman"/>
          <w:i/>
          <w:iCs/>
          <w:sz w:val="24"/>
          <w:szCs w:val="24"/>
        </w:rPr>
        <w:t>'</w:t>
      </w:r>
      <w:proofErr w:type="spellStart"/>
      <w:r w:rsidRPr="00F93BC3">
        <w:rPr>
          <w:rFonts w:ascii="Times New Roman" w:eastAsia="Times New Roman" w:hAnsi="Times New Roman" w:cs="Times New Roman"/>
          <w:i/>
          <w:iCs/>
          <w:sz w:val="24"/>
          <w:szCs w:val="24"/>
        </w:rPr>
        <w:t>Indamaa</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ikhtafat</w:t>
      </w:r>
      <w:proofErr w:type="spellEnd"/>
      <w:r w:rsidRPr="00F93BC3">
        <w:rPr>
          <w:rFonts w:ascii="Times New Roman" w:eastAsia="Times New Roman" w:hAnsi="Times New Roman" w:cs="Times New Roman"/>
          <w:i/>
          <w:iCs/>
          <w:sz w:val="24"/>
          <w:szCs w:val="24"/>
        </w:rPr>
        <w:t xml:space="preserve"> al-'</w:t>
      </w:r>
      <w:proofErr w:type="spellStart"/>
      <w:r w:rsidRPr="00F93BC3">
        <w:rPr>
          <w:rFonts w:ascii="Times New Roman" w:eastAsia="Times New Roman" w:hAnsi="Times New Roman" w:cs="Times New Roman"/>
          <w:i/>
          <w:iCs/>
          <w:sz w:val="24"/>
          <w:szCs w:val="24"/>
        </w:rPr>
        <w:t>adalatu</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wa</w:t>
      </w:r>
      <w:proofErr w:type="spellEnd"/>
      <w:r w:rsidRPr="00F93BC3">
        <w:rPr>
          <w:rFonts w:ascii="Times New Roman" w:eastAsia="Times New Roman" w:hAnsi="Times New Roman" w:cs="Times New Roman"/>
          <w:i/>
          <w:iCs/>
          <w:sz w:val="24"/>
          <w:szCs w:val="24"/>
        </w:rPr>
        <w:t xml:space="preserve"> al-</w:t>
      </w:r>
      <w:proofErr w:type="spellStart"/>
      <w:r w:rsidRPr="00F93BC3">
        <w:rPr>
          <w:rFonts w:ascii="Times New Roman" w:eastAsia="Times New Roman" w:hAnsi="Times New Roman" w:cs="Times New Roman"/>
          <w:i/>
          <w:iCs/>
          <w:sz w:val="24"/>
          <w:szCs w:val="24"/>
        </w:rPr>
        <w:t>ukhuwwatu</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wa</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bil</w:t>
      </w:r>
      <w:proofErr w:type="spellEnd"/>
      <w:r w:rsidRPr="00F93BC3">
        <w:rPr>
          <w:rFonts w:ascii="Times New Roman" w:eastAsia="Times New Roman" w:hAnsi="Times New Roman" w:cs="Times New Roman"/>
          <w:i/>
          <w:iCs/>
          <w:sz w:val="24"/>
          <w:szCs w:val="24"/>
        </w:rPr>
        <w:t xml:space="preserve">-specifically for Indonesia, </w:t>
      </w:r>
      <w:proofErr w:type="spellStart"/>
      <w:r w:rsidRPr="00F93BC3">
        <w:rPr>
          <w:rFonts w:ascii="Times New Roman" w:eastAsia="Times New Roman" w:hAnsi="Times New Roman" w:cs="Times New Roman"/>
          <w:i/>
          <w:iCs/>
          <w:sz w:val="24"/>
          <w:szCs w:val="24"/>
        </w:rPr>
        <w:t>hal</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satabqaa</w:t>
      </w:r>
      <w:proofErr w:type="spellEnd"/>
      <w:r w:rsidRPr="00F93BC3">
        <w:rPr>
          <w:rFonts w:ascii="Times New Roman" w:eastAsia="Times New Roman" w:hAnsi="Times New Roman" w:cs="Times New Roman"/>
          <w:i/>
          <w:iCs/>
          <w:sz w:val="24"/>
          <w:szCs w:val="24"/>
        </w:rPr>
        <w:t xml:space="preserve"> al-</w:t>
      </w:r>
      <w:proofErr w:type="spellStart"/>
      <w:r w:rsidRPr="00F93BC3">
        <w:rPr>
          <w:rFonts w:ascii="Times New Roman" w:eastAsia="Times New Roman" w:hAnsi="Times New Roman" w:cs="Times New Roman"/>
          <w:i/>
          <w:iCs/>
          <w:sz w:val="24"/>
          <w:szCs w:val="24"/>
        </w:rPr>
        <w:t>dunya</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shaamitah</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wa</w:t>
      </w:r>
      <w:proofErr w:type="spellEnd"/>
      <w:r w:rsidRPr="00F93BC3">
        <w:rPr>
          <w:rFonts w:ascii="Times New Roman" w:eastAsia="Times New Roman" w:hAnsi="Times New Roman" w:cs="Times New Roman"/>
          <w:i/>
          <w:iCs/>
          <w:sz w:val="24"/>
          <w:szCs w:val="24"/>
        </w:rPr>
        <w:t xml:space="preserve"> </w:t>
      </w:r>
      <w:proofErr w:type="spellStart"/>
      <w:r w:rsidRPr="00F93BC3">
        <w:rPr>
          <w:rFonts w:ascii="Times New Roman" w:eastAsia="Times New Roman" w:hAnsi="Times New Roman" w:cs="Times New Roman"/>
          <w:i/>
          <w:iCs/>
          <w:sz w:val="24"/>
          <w:szCs w:val="24"/>
        </w:rPr>
        <w:t>saakitah</w:t>
      </w:r>
      <w:proofErr w:type="spellEnd"/>
      <w:r w:rsidRPr="00F93BC3">
        <w:rPr>
          <w:rFonts w:ascii="Times New Roman" w:eastAsia="Times New Roman" w:hAnsi="Times New Roman" w:cs="Times New Roman"/>
          <w:i/>
          <w:iCs/>
          <w:sz w:val="24"/>
          <w:szCs w:val="24"/>
        </w:rPr>
        <w:t>???</w:t>
      </w:r>
      <w:r w:rsidRPr="00F93BC3">
        <w:rPr>
          <w:rFonts w:ascii="Times New Roman" w:eastAsia="Times New Roman" w:hAnsi="Times New Roman" w:cs="Times New Roman"/>
          <w:sz w:val="24"/>
          <w:szCs w:val="24"/>
        </w:rPr>
        <w:t xml:space="preserve">” (“when justice is hidden and disguised, and brotherhood is divided, especially in Indonesia, will you remain silent and calm???”). The sentence in the sign warns the entire Indonesian nation to participate in thoroughly investigating the perpetrators. The </w:t>
      </w:r>
      <w:proofErr w:type="spellStart"/>
      <w:r w:rsidRPr="00F93BC3">
        <w:rPr>
          <w:rFonts w:ascii="Times New Roman" w:eastAsia="Times New Roman" w:hAnsi="Times New Roman" w:cs="Times New Roman"/>
          <w:sz w:val="24"/>
          <w:szCs w:val="24"/>
        </w:rPr>
        <w:t>Kanjuruan</w:t>
      </w:r>
      <w:proofErr w:type="spellEnd"/>
      <w:r w:rsidRPr="00F93BC3">
        <w:rPr>
          <w:rFonts w:ascii="Times New Roman" w:eastAsia="Times New Roman" w:hAnsi="Times New Roman" w:cs="Times New Roman"/>
          <w:sz w:val="24"/>
          <w:szCs w:val="24"/>
        </w:rPr>
        <w:t xml:space="preserve"> incident seems to have been covered up and kept secret by the masterminds and masterminds of the </w:t>
      </w:r>
      <w:proofErr w:type="spellStart"/>
      <w:r w:rsidRPr="00F93BC3">
        <w:rPr>
          <w:rFonts w:ascii="Times New Roman" w:eastAsia="Times New Roman" w:hAnsi="Times New Roman" w:cs="Times New Roman"/>
          <w:sz w:val="24"/>
          <w:szCs w:val="24"/>
        </w:rPr>
        <w:t>Kanjuruan</w:t>
      </w:r>
      <w:proofErr w:type="spellEnd"/>
      <w:r w:rsidRPr="00F93BC3">
        <w:rPr>
          <w:rFonts w:ascii="Times New Roman" w:eastAsia="Times New Roman" w:hAnsi="Times New Roman" w:cs="Times New Roman"/>
          <w:sz w:val="24"/>
          <w:szCs w:val="24"/>
        </w:rPr>
        <w:t xml:space="preserve"> tragedy.</w:t>
      </w:r>
    </w:p>
    <w:p w14:paraId="362C6292" w14:textId="77777777" w:rsidR="00A83438" w:rsidRDefault="00A83438" w:rsidP="00A83438">
      <w:pPr>
        <w:spacing w:after="0" w:line="240" w:lineRule="auto"/>
        <w:jc w:val="both"/>
        <w:rPr>
          <w:rFonts w:ascii="Times New Roman" w:eastAsia="Times New Roman" w:hAnsi="Times New Roman" w:cs="Times New Roman"/>
          <w:sz w:val="24"/>
          <w:szCs w:val="24"/>
        </w:rPr>
      </w:pPr>
    </w:p>
    <w:p w14:paraId="0B081CFD" w14:textId="173EEAA9" w:rsidR="00A83438" w:rsidRDefault="00A83438" w:rsidP="00A83438">
      <w:pPr>
        <w:spacing w:after="0" w:line="240" w:lineRule="auto"/>
        <w:jc w:val="both"/>
        <w:rPr>
          <w:rFonts w:ascii="Times New Roman" w:eastAsia="Times New Roman" w:hAnsi="Times New Roman" w:cs="Times New Roman"/>
          <w:sz w:val="24"/>
          <w:szCs w:val="24"/>
        </w:rPr>
      </w:pPr>
      <w:r w:rsidRPr="00A83438">
        <w:rPr>
          <w:rFonts w:ascii="Times New Roman" w:eastAsia="Times New Roman" w:hAnsi="Times New Roman" w:cs="Times New Roman"/>
          <w:b/>
          <w:sz w:val="24"/>
          <w:szCs w:val="24"/>
        </w:rPr>
        <w:t>Bilingual Sign</w:t>
      </w:r>
    </w:p>
    <w:p w14:paraId="679C8A27" w14:textId="7EC96980" w:rsidR="003D71CD" w:rsidRDefault="00FA0198">
      <w:pPr>
        <w:spacing w:after="0" w:line="240" w:lineRule="auto"/>
        <w:ind w:firstLine="425"/>
        <w:jc w:val="both"/>
        <w:rPr>
          <w:rFonts w:ascii="Times New Roman" w:eastAsia="Times New Roman" w:hAnsi="Times New Roman" w:cs="Times New Roman"/>
          <w:sz w:val="24"/>
          <w:szCs w:val="24"/>
        </w:rPr>
      </w:pPr>
      <w:r w:rsidRPr="00FA0198">
        <w:rPr>
          <w:rFonts w:ascii="Times New Roman" w:eastAsia="Times New Roman" w:hAnsi="Times New Roman" w:cs="Times New Roman"/>
          <w:sz w:val="24"/>
          <w:szCs w:val="24"/>
        </w:rPr>
        <w:t>Research can show signs installed on the street and other places that use a combination of two languages: Indonesian-Javanese, Indonesian-English, and Indonesian-Arabic. All indications show Indonesian as the dominant language alongside other languages in each character. Every poster that uses bilinguals juxtaposes Indonesian, as shown in Figures 6, 7, and 8.</w:t>
      </w:r>
    </w:p>
    <w:tbl>
      <w:tblPr>
        <w:tblStyle w:val="TableGrid"/>
        <w:tblW w:w="0" w:type="auto"/>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A0198" w:rsidRPr="00BE5FDF" w14:paraId="285B2B55" w14:textId="77777777" w:rsidTr="00FA0198">
        <w:trPr>
          <w:jc w:val="center"/>
        </w:trPr>
        <w:tc>
          <w:tcPr>
            <w:tcW w:w="8787" w:type="dxa"/>
            <w:tcBorders>
              <w:top w:val="single" w:sz="4" w:space="0" w:color="auto"/>
              <w:bottom w:val="single" w:sz="4" w:space="0" w:color="auto"/>
            </w:tcBorders>
          </w:tcPr>
          <w:p w14:paraId="6025E1FA" w14:textId="516AD844" w:rsidR="00FA0198" w:rsidRPr="00FA0198" w:rsidRDefault="00FA0198" w:rsidP="00FA0198">
            <w:pPr>
              <w:pStyle w:val="ListParagraph"/>
              <w:spacing w:before="120" w:after="120"/>
              <w:ind w:left="0"/>
              <w:contextualSpacing w:val="0"/>
              <w:jc w:val="center"/>
              <w:rPr>
                <w:rFonts w:asciiTheme="majorBidi" w:hAnsiTheme="majorBidi" w:cstheme="majorBidi"/>
                <w:noProof/>
                <w:sz w:val="18"/>
                <w:szCs w:val="18"/>
              </w:rPr>
            </w:pPr>
            <w:r w:rsidRPr="00FA0198">
              <w:rPr>
                <w:rFonts w:asciiTheme="majorBidi" w:hAnsiTheme="majorBidi" w:cstheme="majorBidi"/>
                <w:noProof/>
                <w:sz w:val="18"/>
                <w:szCs w:val="18"/>
                <w:lang w:val="id-ID"/>
              </w:rPr>
              <w:t>Image 1</w:t>
            </w:r>
          </w:p>
        </w:tc>
      </w:tr>
      <w:tr w:rsidR="00FA0198" w:rsidRPr="00BE5FDF" w14:paraId="2D5D3225" w14:textId="77777777" w:rsidTr="00FA0198">
        <w:trPr>
          <w:jc w:val="center"/>
        </w:trPr>
        <w:tc>
          <w:tcPr>
            <w:tcW w:w="8787" w:type="dxa"/>
            <w:tcBorders>
              <w:top w:val="single" w:sz="4" w:space="0" w:color="auto"/>
            </w:tcBorders>
          </w:tcPr>
          <w:p w14:paraId="005DE66A" w14:textId="77777777" w:rsidR="00FA0198" w:rsidRPr="00BE5FDF" w:rsidRDefault="00FA0198" w:rsidP="00FA0198">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6F356C51" wp14:editId="6F89512A">
                  <wp:extent cx="5219700" cy="1666875"/>
                  <wp:effectExtent l="0" t="0" r="0" b="0"/>
                  <wp:docPr id="1968451884" name="Picture 196845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410628" cy="1727847"/>
                          </a:xfrm>
                          <a:prstGeom prst="rect">
                            <a:avLst/>
                          </a:prstGeom>
                          <a:noFill/>
                          <a:ln>
                            <a:noFill/>
                          </a:ln>
                        </pic:spPr>
                      </pic:pic>
                    </a:graphicData>
                  </a:graphic>
                </wp:inline>
              </w:drawing>
            </w:r>
          </w:p>
        </w:tc>
      </w:tr>
      <w:tr w:rsidR="00FA0198" w:rsidRPr="00BE5FDF" w14:paraId="66871574" w14:textId="77777777" w:rsidTr="00FA0198">
        <w:trPr>
          <w:jc w:val="center"/>
        </w:trPr>
        <w:tc>
          <w:tcPr>
            <w:tcW w:w="8787" w:type="dxa"/>
            <w:tcBorders>
              <w:bottom w:val="nil"/>
            </w:tcBorders>
          </w:tcPr>
          <w:p w14:paraId="6B5993C6" w14:textId="57969ACB" w:rsidR="00FA0198" w:rsidRPr="00FA0198" w:rsidRDefault="00FA0198" w:rsidP="00FA0198">
            <w:pPr>
              <w:pStyle w:val="ListParagraph"/>
              <w:spacing w:before="120" w:after="120"/>
              <w:ind w:left="0"/>
              <w:contextualSpacing w:val="0"/>
              <w:jc w:val="center"/>
              <w:rPr>
                <w:rFonts w:asciiTheme="majorBidi" w:hAnsiTheme="majorBidi" w:cstheme="majorBidi"/>
                <w:noProof/>
                <w:sz w:val="18"/>
                <w:szCs w:val="18"/>
                <w:lang w:val="id-ID"/>
              </w:rPr>
            </w:pPr>
            <w:r w:rsidRPr="00FA0198">
              <w:rPr>
                <w:rFonts w:asciiTheme="majorBidi" w:hAnsiTheme="majorBidi" w:cstheme="majorBidi"/>
                <w:noProof/>
                <w:sz w:val="18"/>
                <w:szCs w:val="18"/>
                <w:lang w:val="id-ID"/>
              </w:rPr>
              <w:t>Image 2</w:t>
            </w:r>
          </w:p>
        </w:tc>
      </w:tr>
      <w:tr w:rsidR="00FA0198" w:rsidRPr="00BE5FDF" w14:paraId="59ED3EEB" w14:textId="77777777" w:rsidTr="00FA0198">
        <w:trPr>
          <w:jc w:val="center"/>
        </w:trPr>
        <w:tc>
          <w:tcPr>
            <w:tcW w:w="8787" w:type="dxa"/>
            <w:tcBorders>
              <w:top w:val="nil"/>
              <w:bottom w:val="single" w:sz="4" w:space="0" w:color="auto"/>
            </w:tcBorders>
          </w:tcPr>
          <w:p w14:paraId="674EED29" w14:textId="77777777" w:rsidR="00FA0198" w:rsidRPr="00BE5FDF" w:rsidRDefault="00FA0198" w:rsidP="00FA0198">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01FBAE46" wp14:editId="399D5DEA">
                  <wp:extent cx="5237939" cy="2257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252540" cy="2263718"/>
                          </a:xfrm>
                          <a:prstGeom prst="rect">
                            <a:avLst/>
                          </a:prstGeom>
                          <a:noFill/>
                          <a:ln>
                            <a:noFill/>
                          </a:ln>
                        </pic:spPr>
                      </pic:pic>
                    </a:graphicData>
                  </a:graphic>
                </wp:inline>
              </w:drawing>
            </w:r>
          </w:p>
        </w:tc>
      </w:tr>
    </w:tbl>
    <w:p w14:paraId="3F8F87EA" w14:textId="0E9FDF3D" w:rsidR="00FA0198" w:rsidRDefault="00FA0198" w:rsidP="00FD130B">
      <w:pPr>
        <w:spacing w:before="120" w:after="0" w:line="240" w:lineRule="auto"/>
        <w:ind w:firstLine="425"/>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6</w:t>
      </w:r>
      <w:r>
        <w:rPr>
          <w:rFonts w:ascii="Times New Roman" w:eastAsia="Times New Roman" w:hAnsi="Times New Roman" w:cs="Times New Roman"/>
          <w:sz w:val="20"/>
          <w:szCs w:val="20"/>
        </w:rPr>
        <w:t xml:space="preserve">. </w:t>
      </w:r>
      <w:r w:rsidRPr="00FA0198">
        <w:rPr>
          <w:rFonts w:ascii="Times New Roman" w:eastAsia="Times New Roman" w:hAnsi="Times New Roman" w:cs="Times New Roman"/>
          <w:sz w:val="20"/>
          <w:szCs w:val="20"/>
        </w:rPr>
        <w:t>Bilingual sign in Indonesian-English</w:t>
      </w:r>
    </w:p>
    <w:p w14:paraId="653727FF" w14:textId="77777777" w:rsidR="00FD130B" w:rsidRDefault="00FD130B" w:rsidP="00FA0198">
      <w:pPr>
        <w:spacing w:before="240" w:after="0" w:line="240" w:lineRule="auto"/>
        <w:ind w:firstLine="425"/>
        <w:jc w:val="center"/>
        <w:rPr>
          <w:rFonts w:ascii="Times New Roman" w:eastAsia="Times New Roman" w:hAnsi="Times New Roman" w:cs="Times New Roman"/>
          <w:sz w:val="24"/>
          <w:szCs w:val="24"/>
        </w:rPr>
      </w:pPr>
    </w:p>
    <w:p w14:paraId="72323E44" w14:textId="77777777" w:rsidR="00FD130B" w:rsidRDefault="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Figure 6 shows the sign using bilingual Indonesian and English. Image 1 reads “</w:t>
      </w:r>
      <w:proofErr w:type="spellStart"/>
      <w:r w:rsidRPr="00FD130B">
        <w:rPr>
          <w:rFonts w:ascii="Times New Roman" w:eastAsia="Times New Roman" w:hAnsi="Times New Roman" w:cs="Times New Roman"/>
          <w:i/>
          <w:iCs/>
          <w:sz w:val="24"/>
          <w:szCs w:val="24"/>
        </w:rPr>
        <w:t>Terlalu</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banyak</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kejanggalan</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dalam</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tragedi</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Kanjuruan</w:t>
      </w:r>
      <w:proofErr w:type="spellEnd"/>
      <w:r w:rsidRPr="00FD130B">
        <w:rPr>
          <w:rFonts w:ascii="Times New Roman" w:eastAsia="Times New Roman" w:hAnsi="Times New Roman" w:cs="Times New Roman"/>
          <w:i/>
          <w:iCs/>
          <w:sz w:val="24"/>
          <w:szCs w:val="24"/>
        </w:rPr>
        <w:t xml:space="preserve">. Kami </w:t>
      </w:r>
      <w:proofErr w:type="spellStart"/>
      <w:r w:rsidRPr="00FD130B">
        <w:rPr>
          <w:rFonts w:ascii="Times New Roman" w:eastAsia="Times New Roman" w:hAnsi="Times New Roman" w:cs="Times New Roman"/>
          <w:i/>
          <w:iCs/>
          <w:sz w:val="24"/>
          <w:szCs w:val="24"/>
        </w:rPr>
        <w:t>yakin</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disengata</w:t>
      </w:r>
      <w:proofErr w:type="spellEnd"/>
      <w:r w:rsidRPr="00FD130B">
        <w:rPr>
          <w:rFonts w:ascii="Times New Roman" w:eastAsia="Times New Roman" w:hAnsi="Times New Roman" w:cs="Times New Roman"/>
          <w:i/>
          <w:iCs/>
          <w:sz w:val="24"/>
          <w:szCs w:val="24"/>
        </w:rPr>
        <w:t xml:space="preserve"> dan</w:t>
      </w:r>
      <w:r w:rsidRPr="00FD130B">
        <w:rPr>
          <w:rFonts w:ascii="Times New Roman" w:eastAsia="Times New Roman" w:hAnsi="Times New Roman" w:cs="Times New Roman"/>
          <w:sz w:val="24"/>
          <w:szCs w:val="24"/>
        </w:rPr>
        <w:t xml:space="preserve"> by design. </w:t>
      </w:r>
      <w:r w:rsidRPr="00FD130B">
        <w:rPr>
          <w:rFonts w:ascii="Times New Roman" w:eastAsia="Times New Roman" w:hAnsi="Times New Roman" w:cs="Times New Roman"/>
          <w:i/>
          <w:iCs/>
          <w:sz w:val="24"/>
          <w:szCs w:val="24"/>
        </w:rPr>
        <w:t xml:space="preserve">Kawal </w:t>
      </w:r>
      <w:proofErr w:type="spellStart"/>
      <w:r w:rsidRPr="00FD130B">
        <w:rPr>
          <w:rFonts w:ascii="Times New Roman" w:eastAsia="Times New Roman" w:hAnsi="Times New Roman" w:cs="Times New Roman"/>
          <w:i/>
          <w:iCs/>
          <w:sz w:val="24"/>
          <w:szCs w:val="24"/>
        </w:rPr>
        <w:t>sampai</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tuntas</w:t>
      </w:r>
      <w:proofErr w:type="spellEnd"/>
      <w:r w:rsidRPr="00FD130B">
        <w:rPr>
          <w:rFonts w:ascii="Times New Roman" w:eastAsia="Times New Roman" w:hAnsi="Times New Roman" w:cs="Times New Roman"/>
          <w:sz w:val="24"/>
          <w:szCs w:val="24"/>
        </w:rPr>
        <w:t xml:space="preserve">.” (There are too many irregularities in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We believe in sting and by design. Watch it to the end). Image 1 shows community resistance to the arrest of the perpetrators, and the punishments imposed on the perpetrators felt too light. They were only given a sentence following Article 395 of the Criminal Code "Anyone who because of his mistake (negligence) causes another person to die is threatened with imprisonment for five years </w:t>
      </w:r>
      <w:r w:rsidRPr="00FD130B">
        <w:rPr>
          <w:rFonts w:ascii="Times New Roman" w:eastAsia="Times New Roman" w:hAnsi="Times New Roman" w:cs="Times New Roman"/>
          <w:sz w:val="24"/>
          <w:szCs w:val="24"/>
        </w:rPr>
        <w:lastRenderedPageBreak/>
        <w:t xml:space="preserve">or imprisonment for a maximum of one year. "The community considers This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as an act planned and deliberate by certain persons. Image 2 reads, “</w:t>
      </w:r>
      <w:proofErr w:type="spellStart"/>
      <w:r w:rsidRPr="00FD130B">
        <w:rPr>
          <w:rFonts w:ascii="Times New Roman" w:eastAsia="Times New Roman" w:hAnsi="Times New Roman" w:cs="Times New Roman"/>
          <w:i/>
          <w:iCs/>
          <w:sz w:val="24"/>
          <w:szCs w:val="24"/>
        </w:rPr>
        <w:t>Usut</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Tuntas</w:t>
      </w:r>
      <w:proofErr w:type="spellEnd"/>
      <w:r w:rsidRPr="00FD130B">
        <w:rPr>
          <w:rFonts w:ascii="Times New Roman" w:eastAsia="Times New Roman" w:hAnsi="Times New Roman" w:cs="Times New Roman"/>
          <w:sz w:val="24"/>
          <w:szCs w:val="24"/>
        </w:rPr>
        <w:t xml:space="preserve">: All Cops are bastards. Malang disaster” (Investigate Completely: All Cops are bastards. Malang disaster). The sentence begins with the slogan of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"Investigate Completely," which is the vision of the people to find out the brain of this incident—followed by insulting sentences against police officers</w:t>
      </w:r>
    </w:p>
    <w:p w14:paraId="48C627F3" w14:textId="77777777" w:rsidR="00FD130B" w:rsidRDefault="00FD130B">
      <w:pPr>
        <w:spacing w:after="0" w:line="240" w:lineRule="auto"/>
        <w:ind w:firstLine="425"/>
        <w:jc w:val="both"/>
        <w:rPr>
          <w:rFonts w:ascii="Times New Roman" w:eastAsia="Times New Roman" w:hAnsi="Times New Roman" w:cs="Times New Roman"/>
          <w:sz w:val="24"/>
          <w:szCs w:val="24"/>
        </w:rPr>
      </w:pPr>
    </w:p>
    <w:tbl>
      <w:tblPr>
        <w:tblStyle w:val="TableGrid"/>
        <w:tblW w:w="0" w:type="auto"/>
        <w:jc w:val="center"/>
        <w:tblInd w:w="0" w:type="dxa"/>
        <w:tblBorders>
          <w:left w:val="none" w:sz="0" w:space="0" w:color="auto"/>
          <w:right w:val="none" w:sz="0" w:space="0" w:color="auto"/>
        </w:tblBorders>
        <w:tblLook w:val="04A0" w:firstRow="1" w:lastRow="0" w:firstColumn="1" w:lastColumn="0" w:noHBand="0" w:noVBand="1"/>
      </w:tblPr>
      <w:tblGrid>
        <w:gridCol w:w="4497"/>
        <w:gridCol w:w="4626"/>
      </w:tblGrid>
      <w:tr w:rsidR="00FD130B" w:rsidRPr="00BE5FDF" w14:paraId="73C1ADF5" w14:textId="77777777" w:rsidTr="005368B1">
        <w:trPr>
          <w:jc w:val="center"/>
        </w:trPr>
        <w:tc>
          <w:tcPr>
            <w:tcW w:w="4806" w:type="dxa"/>
            <w:tcBorders>
              <w:right w:val="nil"/>
            </w:tcBorders>
          </w:tcPr>
          <w:p w14:paraId="4F097E5B" w14:textId="77777777" w:rsidR="00FD130B" w:rsidRPr="00BE5FDF" w:rsidRDefault="00FD130B" w:rsidP="005368B1">
            <w:pPr>
              <w:pStyle w:val="ListParagraph"/>
              <w:spacing w:after="0" w:line="480" w:lineRule="auto"/>
              <w:ind w:left="0"/>
              <w:jc w:val="center"/>
              <w:rPr>
                <w:rFonts w:asciiTheme="majorBidi" w:hAnsiTheme="majorBidi" w:cstheme="majorBidi"/>
                <w:noProof/>
                <w:sz w:val="24"/>
                <w:szCs w:val="24"/>
              </w:rPr>
            </w:pPr>
            <w:r w:rsidRPr="00A83438">
              <w:rPr>
                <w:rFonts w:asciiTheme="majorBidi" w:hAnsiTheme="majorBidi" w:cstheme="majorBidi"/>
                <w:noProof/>
                <w:sz w:val="18"/>
                <w:szCs w:val="18"/>
                <w:lang w:val="id-ID"/>
              </w:rPr>
              <w:t xml:space="preserve">Image </w:t>
            </w:r>
            <w:r>
              <w:rPr>
                <w:rFonts w:asciiTheme="majorBidi" w:hAnsiTheme="majorBidi" w:cstheme="majorBidi"/>
                <w:noProof/>
                <w:sz w:val="18"/>
                <w:szCs w:val="18"/>
                <w:lang w:val="id-ID"/>
              </w:rPr>
              <w:t>1</w:t>
            </w:r>
          </w:p>
        </w:tc>
        <w:tc>
          <w:tcPr>
            <w:tcW w:w="4206" w:type="dxa"/>
            <w:tcBorders>
              <w:left w:val="nil"/>
              <w:right w:val="nil"/>
            </w:tcBorders>
          </w:tcPr>
          <w:p w14:paraId="3A413CAE" w14:textId="77777777" w:rsidR="00FD130B" w:rsidRPr="00BE5FDF" w:rsidRDefault="00FD130B" w:rsidP="005368B1">
            <w:pPr>
              <w:pStyle w:val="ListParagraph"/>
              <w:spacing w:after="0" w:line="480" w:lineRule="auto"/>
              <w:ind w:left="0"/>
              <w:jc w:val="center"/>
              <w:rPr>
                <w:rFonts w:asciiTheme="majorBidi" w:hAnsiTheme="majorBidi" w:cstheme="majorBidi"/>
                <w:noProof/>
                <w:sz w:val="24"/>
                <w:szCs w:val="24"/>
              </w:rPr>
            </w:pPr>
            <w:r w:rsidRPr="00A83438">
              <w:rPr>
                <w:rFonts w:asciiTheme="majorBidi" w:hAnsiTheme="majorBidi" w:cstheme="majorBidi"/>
                <w:noProof/>
                <w:sz w:val="18"/>
                <w:szCs w:val="18"/>
                <w:lang w:val="id-ID"/>
              </w:rPr>
              <w:t xml:space="preserve">Image </w:t>
            </w:r>
            <w:r>
              <w:rPr>
                <w:rFonts w:asciiTheme="majorBidi" w:hAnsiTheme="majorBidi" w:cstheme="majorBidi"/>
                <w:noProof/>
                <w:sz w:val="18"/>
                <w:szCs w:val="18"/>
                <w:lang w:val="id-ID"/>
              </w:rPr>
              <w:t>2</w:t>
            </w:r>
          </w:p>
        </w:tc>
      </w:tr>
      <w:tr w:rsidR="00FD130B" w:rsidRPr="00BE5FDF" w14:paraId="2B266296" w14:textId="77777777" w:rsidTr="005368B1">
        <w:trPr>
          <w:jc w:val="center"/>
        </w:trPr>
        <w:tc>
          <w:tcPr>
            <w:tcW w:w="4806" w:type="dxa"/>
            <w:tcBorders>
              <w:right w:val="nil"/>
            </w:tcBorders>
            <w:hideMark/>
          </w:tcPr>
          <w:p w14:paraId="683B8C88" w14:textId="77777777" w:rsidR="00FD130B" w:rsidRPr="00BE5FDF" w:rsidRDefault="00FD130B" w:rsidP="005368B1">
            <w:pPr>
              <w:pStyle w:val="ListParagraph"/>
              <w:spacing w:before="120" w:after="120"/>
              <w:ind w:left="0"/>
              <w:rPr>
                <w:rFonts w:asciiTheme="majorBidi" w:hAnsiTheme="majorBidi" w:cstheme="majorBidi"/>
                <w:b/>
                <w:bCs/>
                <w:sz w:val="24"/>
                <w:szCs w:val="24"/>
                <w:lang w:val="id-ID"/>
              </w:rPr>
            </w:pPr>
            <w:r>
              <w:rPr>
                <w:rFonts w:asciiTheme="majorBidi" w:hAnsiTheme="majorBidi" w:cstheme="majorBidi"/>
                <w:b/>
                <w:bCs/>
                <w:noProof/>
                <w:sz w:val="24"/>
                <w:szCs w:val="24"/>
                <w:lang w:val="id-ID"/>
              </w:rPr>
              <w:drawing>
                <wp:inline distT="0" distB="0" distL="0" distR="0" wp14:anchorId="0AE9C44C" wp14:editId="451C4265">
                  <wp:extent cx="2694940" cy="1865630"/>
                  <wp:effectExtent l="0" t="0" r="0" b="1270"/>
                  <wp:docPr id="5878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4940" cy="1865630"/>
                          </a:xfrm>
                          <a:prstGeom prst="rect">
                            <a:avLst/>
                          </a:prstGeom>
                          <a:noFill/>
                        </pic:spPr>
                      </pic:pic>
                    </a:graphicData>
                  </a:graphic>
                </wp:inline>
              </w:drawing>
            </w:r>
          </w:p>
        </w:tc>
        <w:tc>
          <w:tcPr>
            <w:tcW w:w="4206" w:type="dxa"/>
            <w:tcBorders>
              <w:left w:val="nil"/>
              <w:right w:val="nil"/>
            </w:tcBorders>
            <w:hideMark/>
          </w:tcPr>
          <w:p w14:paraId="4F8B3969" w14:textId="77777777" w:rsidR="00FD130B" w:rsidRPr="00BE5FDF" w:rsidRDefault="00FD130B" w:rsidP="005368B1">
            <w:pPr>
              <w:pStyle w:val="ListParagraph"/>
              <w:spacing w:before="120" w:after="120"/>
              <w:ind w:left="0"/>
              <w:contextualSpacing w:val="0"/>
              <w:jc w:val="center"/>
              <w:rPr>
                <w:rFonts w:asciiTheme="majorBidi" w:hAnsiTheme="majorBidi" w:cstheme="majorBidi"/>
                <w:b/>
                <w:bCs/>
                <w:sz w:val="24"/>
                <w:szCs w:val="24"/>
                <w:lang w:val="id-ID"/>
              </w:rPr>
            </w:pPr>
            <w:r w:rsidRPr="00BE5FDF">
              <w:rPr>
                <w:rFonts w:asciiTheme="majorBidi" w:hAnsiTheme="majorBidi" w:cstheme="majorBidi"/>
                <w:noProof/>
                <w:sz w:val="24"/>
                <w:szCs w:val="24"/>
              </w:rPr>
              <w:drawing>
                <wp:inline distT="0" distB="0" distL="0" distR="0" wp14:anchorId="682BEBAA" wp14:editId="77FCC3D4">
                  <wp:extent cx="2790825" cy="1871980"/>
                  <wp:effectExtent l="0" t="0" r="9525" b="0"/>
                  <wp:docPr id="17553343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1233" cy="1872254"/>
                          </a:xfrm>
                          <a:prstGeom prst="rect">
                            <a:avLst/>
                          </a:prstGeom>
                          <a:noFill/>
                          <a:ln>
                            <a:noFill/>
                          </a:ln>
                        </pic:spPr>
                      </pic:pic>
                    </a:graphicData>
                  </a:graphic>
                </wp:inline>
              </w:drawing>
            </w:r>
          </w:p>
        </w:tc>
      </w:tr>
    </w:tbl>
    <w:p w14:paraId="7AA0EE7A" w14:textId="78BF561A" w:rsidR="00FD130B" w:rsidRDefault="00FD130B" w:rsidP="00FD130B">
      <w:pPr>
        <w:spacing w:before="12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Figure 7</w:t>
      </w:r>
      <w:r>
        <w:rPr>
          <w:rFonts w:ascii="Times New Roman" w:eastAsia="Times New Roman" w:hAnsi="Times New Roman" w:cs="Times New Roman"/>
          <w:sz w:val="20"/>
          <w:szCs w:val="20"/>
        </w:rPr>
        <w:t xml:space="preserve">. </w:t>
      </w:r>
      <w:r w:rsidRPr="00FD130B">
        <w:rPr>
          <w:rFonts w:ascii="Times New Roman" w:eastAsia="Times New Roman" w:hAnsi="Times New Roman" w:cs="Times New Roman"/>
          <w:sz w:val="20"/>
          <w:szCs w:val="20"/>
        </w:rPr>
        <w:t>Bilingual sign in Indonesian-Javanese</w:t>
      </w:r>
    </w:p>
    <w:p w14:paraId="57F3DF8F" w14:textId="77777777" w:rsidR="00FD130B" w:rsidRDefault="00FD130B">
      <w:pPr>
        <w:spacing w:after="0" w:line="240" w:lineRule="auto"/>
        <w:ind w:firstLine="425"/>
        <w:jc w:val="both"/>
        <w:rPr>
          <w:rFonts w:ascii="Times New Roman" w:eastAsia="Times New Roman" w:hAnsi="Times New Roman" w:cs="Times New Roman"/>
          <w:sz w:val="24"/>
          <w:szCs w:val="24"/>
        </w:rPr>
      </w:pPr>
    </w:p>
    <w:p w14:paraId="5115DE99" w14:textId="20F7A7FA" w:rsidR="00FD130B" w:rsidRDefault="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 xml:space="preserve">Figure 7 shows bilingual signs in Indonesian and Javanese that the community uses. Image 1 “Duka kami </w:t>
      </w:r>
      <w:proofErr w:type="spellStart"/>
      <w:r w:rsidRPr="00FD130B">
        <w:rPr>
          <w:rFonts w:ascii="Times New Roman" w:eastAsia="Times New Roman" w:hAnsi="Times New Roman" w:cs="Times New Roman"/>
          <w:sz w:val="24"/>
          <w:szCs w:val="24"/>
        </w:rPr>
        <w:t>ojo</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dipolitisi</w:t>
      </w:r>
      <w:proofErr w:type="spellEnd"/>
      <w:r w:rsidRPr="00FD130B">
        <w:rPr>
          <w:rFonts w:ascii="Times New Roman" w:eastAsia="Times New Roman" w:hAnsi="Times New Roman" w:cs="Times New Roman"/>
          <w:sz w:val="24"/>
          <w:szCs w:val="24"/>
        </w:rPr>
        <w:t xml:space="preserve">, Malang </w:t>
      </w:r>
      <w:proofErr w:type="spellStart"/>
      <w:r w:rsidRPr="00FD130B">
        <w:rPr>
          <w:rFonts w:ascii="Times New Roman" w:eastAsia="Times New Roman" w:hAnsi="Times New Roman" w:cs="Times New Roman"/>
          <w:sz w:val="24"/>
          <w:szCs w:val="24"/>
        </w:rPr>
        <w:t>omahku</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ojo</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dipecah</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belah</w:t>
      </w:r>
      <w:proofErr w:type="spellEnd"/>
      <w:r w:rsidRPr="00FD130B">
        <w:rPr>
          <w:rFonts w:ascii="Times New Roman" w:eastAsia="Times New Roman" w:hAnsi="Times New Roman" w:cs="Times New Roman"/>
          <w:sz w:val="24"/>
          <w:szCs w:val="24"/>
        </w:rPr>
        <w:t xml:space="preserve"> karo </w:t>
      </w:r>
      <w:proofErr w:type="spellStart"/>
      <w:r w:rsidRPr="00FD130B">
        <w:rPr>
          <w:rFonts w:ascii="Times New Roman" w:eastAsia="Times New Roman" w:hAnsi="Times New Roman" w:cs="Times New Roman"/>
          <w:sz w:val="24"/>
          <w:szCs w:val="24"/>
        </w:rPr>
        <w:t>nafsumu</w:t>
      </w:r>
      <w:proofErr w:type="spellEnd"/>
      <w:r w:rsidRPr="00FD130B">
        <w:rPr>
          <w:rFonts w:ascii="Times New Roman" w:eastAsia="Times New Roman" w:hAnsi="Times New Roman" w:cs="Times New Roman"/>
          <w:sz w:val="24"/>
          <w:szCs w:val="24"/>
        </w:rPr>
        <w:t xml:space="preserve">!!! #Usust </w:t>
      </w:r>
      <w:proofErr w:type="spellStart"/>
      <w:r w:rsidRPr="00FD130B">
        <w:rPr>
          <w:rFonts w:ascii="Times New Roman" w:eastAsia="Times New Roman" w:hAnsi="Times New Roman" w:cs="Times New Roman"/>
          <w:sz w:val="24"/>
          <w:szCs w:val="24"/>
        </w:rPr>
        <w:t>Tuntas</w:t>
      </w:r>
      <w:proofErr w:type="spellEnd"/>
      <w:r w:rsidRPr="00FD130B">
        <w:rPr>
          <w:rFonts w:ascii="Times New Roman" w:eastAsia="Times New Roman" w:hAnsi="Times New Roman" w:cs="Times New Roman"/>
          <w:sz w:val="24"/>
          <w:szCs w:val="24"/>
        </w:rPr>
        <w:t xml:space="preserve">” (Don't politicize our grief, Malang is my home, don't be divided by your lust!!! #Investigate Completely). This sentence illustrates that the people of Malang, in particular, and the Indonesian people, in general, have been grieving due to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Where unhealthy political interests have ridden football matches. The security forces have torn apart the football union, not only </w:t>
      </w:r>
      <w:proofErr w:type="spellStart"/>
      <w:r w:rsidRPr="00FD130B">
        <w:rPr>
          <w:rFonts w:ascii="Times New Roman" w:eastAsia="Times New Roman" w:hAnsi="Times New Roman" w:cs="Times New Roman"/>
          <w:sz w:val="24"/>
          <w:szCs w:val="24"/>
        </w:rPr>
        <w:t>Arema</w:t>
      </w:r>
      <w:proofErr w:type="spellEnd"/>
      <w:r w:rsidRPr="00FD130B">
        <w:rPr>
          <w:rFonts w:ascii="Times New Roman" w:eastAsia="Times New Roman" w:hAnsi="Times New Roman" w:cs="Times New Roman"/>
          <w:sz w:val="24"/>
          <w:szCs w:val="24"/>
        </w:rPr>
        <w:t xml:space="preserve"> football but Indonesian football, which has received attention from FIFA and the world for Malang security. Image 2 “</w:t>
      </w:r>
      <w:proofErr w:type="spellStart"/>
      <w:r w:rsidRPr="00FD130B">
        <w:rPr>
          <w:rFonts w:ascii="Times New Roman" w:eastAsia="Times New Roman" w:hAnsi="Times New Roman" w:cs="Times New Roman"/>
          <w:sz w:val="24"/>
          <w:szCs w:val="24"/>
        </w:rPr>
        <w:t>Tugasmu</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mengayomi</w:t>
      </w:r>
      <w:proofErr w:type="spellEnd"/>
      <w:r w:rsidRPr="00FD130B">
        <w:rPr>
          <w:rFonts w:ascii="Times New Roman" w:eastAsia="Times New Roman" w:hAnsi="Times New Roman" w:cs="Times New Roman"/>
          <w:sz w:val="24"/>
          <w:szCs w:val="24"/>
        </w:rPr>
        <w:t>/</w:t>
      </w:r>
      <w:proofErr w:type="spellStart"/>
      <w:r w:rsidRPr="00FD130B">
        <w:rPr>
          <w:rFonts w:ascii="Times New Roman" w:eastAsia="Times New Roman" w:hAnsi="Times New Roman" w:cs="Times New Roman"/>
          <w:sz w:val="24"/>
          <w:szCs w:val="24"/>
        </w:rPr>
        <w:t>membunuh</w:t>
      </w:r>
      <w:proofErr w:type="spellEnd"/>
      <w:r w:rsidRPr="00FD130B">
        <w:rPr>
          <w:rFonts w:ascii="Times New Roman" w:eastAsia="Times New Roman" w:hAnsi="Times New Roman" w:cs="Times New Roman"/>
          <w:sz w:val="24"/>
          <w:szCs w:val="24"/>
        </w:rPr>
        <w:t>” (Your job is to protect/kill) reminds government officials that the state asks them to protect the community, not destroy, injure, and even kill</w:t>
      </w:r>
      <w:r>
        <w:rPr>
          <w:rFonts w:ascii="Times New Roman" w:eastAsia="Times New Roman" w:hAnsi="Times New Roman" w:cs="Times New Roman"/>
          <w:sz w:val="24"/>
          <w:szCs w:val="24"/>
        </w:rPr>
        <w:t>.</w:t>
      </w:r>
    </w:p>
    <w:p w14:paraId="424B22F8" w14:textId="77777777" w:rsidR="00FD130B" w:rsidRDefault="00FD130B">
      <w:pPr>
        <w:spacing w:after="0" w:line="240" w:lineRule="auto"/>
        <w:ind w:firstLine="425"/>
        <w:jc w:val="both"/>
        <w:rPr>
          <w:rFonts w:ascii="Times New Roman" w:eastAsia="Times New Roman" w:hAnsi="Times New Roman" w:cs="Times New Roman"/>
          <w:sz w:val="24"/>
          <w:szCs w:val="24"/>
        </w:rPr>
      </w:pPr>
    </w:p>
    <w:p w14:paraId="49B204D8" w14:textId="4D70ADF5" w:rsidR="00FD130B" w:rsidRDefault="00FD130B" w:rsidP="00FD130B">
      <w:pPr>
        <w:spacing w:after="0" w:line="240" w:lineRule="auto"/>
        <w:ind w:firstLine="425"/>
        <w:jc w:val="center"/>
        <w:rPr>
          <w:rFonts w:ascii="Times New Roman" w:eastAsia="Times New Roman" w:hAnsi="Times New Roman" w:cs="Times New Roman"/>
          <w:sz w:val="24"/>
          <w:szCs w:val="24"/>
        </w:rPr>
      </w:pPr>
      <w:r w:rsidRPr="00BE5FDF">
        <w:rPr>
          <w:rFonts w:asciiTheme="majorBidi" w:hAnsiTheme="majorBidi" w:cstheme="majorBidi"/>
          <w:noProof/>
          <w:sz w:val="24"/>
          <w:szCs w:val="24"/>
        </w:rPr>
        <w:lastRenderedPageBreak/>
        <w:drawing>
          <wp:inline distT="0" distB="0" distL="0" distR="0" wp14:anchorId="76CE6186" wp14:editId="6680437E">
            <wp:extent cx="2374711" cy="2660698"/>
            <wp:effectExtent l="0" t="0" r="6985" b="6350"/>
            <wp:docPr id="239459371" name="Picture 23945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08775" cy="2698865"/>
                    </a:xfrm>
                    <a:prstGeom prst="rect">
                      <a:avLst/>
                    </a:prstGeom>
                    <a:noFill/>
                    <a:ln>
                      <a:noFill/>
                    </a:ln>
                  </pic:spPr>
                </pic:pic>
              </a:graphicData>
            </a:graphic>
          </wp:inline>
        </w:drawing>
      </w:r>
    </w:p>
    <w:p w14:paraId="6F2E0A6F" w14:textId="5CDEA03D" w:rsidR="00FA0198" w:rsidRDefault="00FD130B" w:rsidP="00FD130B">
      <w:pPr>
        <w:spacing w:before="120" w:after="0" w:line="240" w:lineRule="auto"/>
        <w:ind w:firstLine="425"/>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Figure 8.</w:t>
      </w:r>
      <w:r>
        <w:rPr>
          <w:rFonts w:ascii="Times New Roman" w:eastAsia="Times New Roman" w:hAnsi="Times New Roman" w:cs="Times New Roman"/>
          <w:sz w:val="20"/>
          <w:szCs w:val="20"/>
        </w:rPr>
        <w:t xml:space="preserve"> </w:t>
      </w:r>
      <w:r w:rsidRPr="00FD130B">
        <w:rPr>
          <w:rFonts w:ascii="Times New Roman" w:eastAsia="Times New Roman" w:hAnsi="Times New Roman" w:cs="Times New Roman"/>
          <w:sz w:val="20"/>
          <w:szCs w:val="20"/>
        </w:rPr>
        <w:t>Bilingual sign in Indonesian-Arabic</w:t>
      </w:r>
    </w:p>
    <w:p w14:paraId="77DC1D0B" w14:textId="77777777" w:rsidR="00FD130B" w:rsidRDefault="00FD130B">
      <w:pPr>
        <w:spacing w:after="0" w:line="240" w:lineRule="auto"/>
        <w:ind w:firstLine="425"/>
        <w:jc w:val="both"/>
        <w:rPr>
          <w:rFonts w:ascii="Times New Roman" w:eastAsia="Times New Roman" w:hAnsi="Times New Roman" w:cs="Times New Roman"/>
          <w:sz w:val="24"/>
          <w:szCs w:val="24"/>
        </w:rPr>
      </w:pPr>
    </w:p>
    <w:p w14:paraId="5AA9629D" w14:textId="37028CB0" w:rsidR="00FD130B" w:rsidRDefault="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Figure 8 shows the use of a sign in two languages, namely Indonesian-Arabic. The sign reads “</w:t>
      </w:r>
      <w:r w:rsidRPr="00FD130B">
        <w:rPr>
          <w:rFonts w:ascii="Times New Roman" w:eastAsia="Times New Roman" w:hAnsi="Times New Roman" w:cs="Times New Roman"/>
          <w:i/>
          <w:iCs/>
          <w:sz w:val="24"/>
          <w:szCs w:val="24"/>
        </w:rPr>
        <w:t xml:space="preserve">Inna </w:t>
      </w:r>
      <w:proofErr w:type="spellStart"/>
      <w:r w:rsidRPr="00FD130B">
        <w:rPr>
          <w:rFonts w:ascii="Times New Roman" w:eastAsia="Times New Roman" w:hAnsi="Times New Roman" w:cs="Times New Roman"/>
          <w:i/>
          <w:iCs/>
          <w:sz w:val="24"/>
          <w:szCs w:val="24"/>
        </w:rPr>
        <w:t>lillahi</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wa</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inna</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ilaihi</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raji'un</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keluarga</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besar</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Ikatan</w:t>
      </w:r>
      <w:proofErr w:type="spellEnd"/>
      <w:r w:rsidRPr="00FD130B">
        <w:rPr>
          <w:rFonts w:ascii="Times New Roman" w:eastAsia="Times New Roman" w:hAnsi="Times New Roman" w:cs="Times New Roman"/>
          <w:i/>
          <w:iCs/>
          <w:sz w:val="24"/>
          <w:szCs w:val="24"/>
        </w:rPr>
        <w:t xml:space="preserve"> Alumni Universitas </w:t>
      </w:r>
      <w:proofErr w:type="spellStart"/>
      <w:r w:rsidRPr="00FD130B">
        <w:rPr>
          <w:rFonts w:ascii="Times New Roman" w:eastAsia="Times New Roman" w:hAnsi="Times New Roman" w:cs="Times New Roman"/>
          <w:i/>
          <w:iCs/>
          <w:sz w:val="24"/>
          <w:szCs w:val="24"/>
        </w:rPr>
        <w:t>Brawijaya</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Turut</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Berduka</w:t>
      </w:r>
      <w:proofErr w:type="spellEnd"/>
      <w:r w:rsidRPr="00FD130B">
        <w:rPr>
          <w:rFonts w:ascii="Times New Roman" w:eastAsia="Times New Roman" w:hAnsi="Times New Roman" w:cs="Times New Roman"/>
          <w:i/>
          <w:iCs/>
          <w:sz w:val="24"/>
          <w:szCs w:val="24"/>
        </w:rPr>
        <w:t xml:space="preserve"> Cita </w:t>
      </w:r>
      <w:proofErr w:type="spellStart"/>
      <w:r w:rsidRPr="00FD130B">
        <w:rPr>
          <w:rFonts w:ascii="Times New Roman" w:eastAsia="Times New Roman" w:hAnsi="Times New Roman" w:cs="Times New Roman"/>
          <w:i/>
          <w:iCs/>
          <w:sz w:val="24"/>
          <w:szCs w:val="24"/>
        </w:rPr>
        <w:t>atas</w:t>
      </w:r>
      <w:proofErr w:type="spellEnd"/>
      <w:r w:rsidRPr="00FD130B">
        <w:rPr>
          <w:rFonts w:ascii="Times New Roman" w:eastAsia="Times New Roman" w:hAnsi="Times New Roman" w:cs="Times New Roman"/>
          <w:i/>
          <w:iCs/>
          <w:sz w:val="24"/>
          <w:szCs w:val="24"/>
        </w:rPr>
        <w:t xml:space="preserve"> inside di </w:t>
      </w:r>
      <w:proofErr w:type="spellStart"/>
      <w:r w:rsidRPr="00FD130B">
        <w:rPr>
          <w:rFonts w:ascii="Times New Roman" w:eastAsia="Times New Roman" w:hAnsi="Times New Roman" w:cs="Times New Roman"/>
          <w:i/>
          <w:iCs/>
          <w:sz w:val="24"/>
          <w:szCs w:val="24"/>
        </w:rPr>
        <w:t>stadion</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Kanjuruan</w:t>
      </w:r>
      <w:proofErr w:type="spellEnd"/>
      <w:r w:rsidRPr="00FD130B">
        <w:rPr>
          <w:rFonts w:ascii="Times New Roman" w:eastAsia="Times New Roman" w:hAnsi="Times New Roman" w:cs="Times New Roman"/>
          <w:i/>
          <w:iCs/>
          <w:sz w:val="24"/>
          <w:szCs w:val="24"/>
        </w:rPr>
        <w:t xml:space="preserve"> Malang, Sabtu Malam, 01 Oktober 2022, Salam </w:t>
      </w:r>
      <w:proofErr w:type="spellStart"/>
      <w:r w:rsidRPr="00FD130B">
        <w:rPr>
          <w:rFonts w:ascii="Times New Roman" w:eastAsia="Times New Roman" w:hAnsi="Times New Roman" w:cs="Times New Roman"/>
          <w:i/>
          <w:iCs/>
          <w:sz w:val="24"/>
          <w:szCs w:val="24"/>
        </w:rPr>
        <w:t>satu</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jiwa</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jiwa</w:t>
      </w:r>
      <w:proofErr w:type="spellEnd"/>
      <w:r w:rsidRPr="00FD130B">
        <w:rPr>
          <w:rFonts w:ascii="Times New Roman" w:eastAsia="Times New Roman" w:hAnsi="Times New Roman" w:cs="Times New Roman"/>
          <w:i/>
          <w:iCs/>
          <w:sz w:val="24"/>
          <w:szCs w:val="24"/>
        </w:rPr>
        <w:t xml:space="preserve"> yang </w:t>
      </w:r>
      <w:proofErr w:type="spellStart"/>
      <w:r w:rsidRPr="00FD130B">
        <w:rPr>
          <w:rFonts w:ascii="Times New Roman" w:eastAsia="Times New Roman" w:hAnsi="Times New Roman" w:cs="Times New Roman"/>
          <w:i/>
          <w:iCs/>
          <w:sz w:val="24"/>
          <w:szCs w:val="24"/>
        </w:rPr>
        <w:t>sedang</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berduka</w:t>
      </w:r>
      <w:proofErr w:type="spellEnd"/>
      <w:r w:rsidRPr="00FD130B">
        <w:rPr>
          <w:rFonts w:ascii="Times New Roman" w:eastAsia="Times New Roman" w:hAnsi="Times New Roman" w:cs="Times New Roman"/>
          <w:sz w:val="24"/>
          <w:szCs w:val="24"/>
        </w:rPr>
        <w:t xml:space="preserve">” (Inna </w:t>
      </w:r>
      <w:proofErr w:type="spellStart"/>
      <w:r w:rsidRPr="00FD130B">
        <w:rPr>
          <w:rFonts w:ascii="Times New Roman" w:eastAsia="Times New Roman" w:hAnsi="Times New Roman" w:cs="Times New Roman"/>
          <w:sz w:val="24"/>
          <w:szCs w:val="24"/>
        </w:rPr>
        <w:t>lillahi</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wa</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inna</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ilaihi</w:t>
      </w:r>
      <w:proofErr w:type="spellEnd"/>
      <w:r w:rsidRPr="00FD130B">
        <w:rPr>
          <w:rFonts w:ascii="Times New Roman" w:eastAsia="Times New Roman" w:hAnsi="Times New Roman" w:cs="Times New Roman"/>
          <w:sz w:val="24"/>
          <w:szCs w:val="24"/>
        </w:rPr>
        <w:t xml:space="preserve"> </w:t>
      </w:r>
      <w:proofErr w:type="spellStart"/>
      <w:r w:rsidRPr="00FD130B">
        <w:rPr>
          <w:rFonts w:ascii="Times New Roman" w:eastAsia="Times New Roman" w:hAnsi="Times New Roman" w:cs="Times New Roman"/>
          <w:sz w:val="24"/>
          <w:szCs w:val="24"/>
        </w:rPr>
        <w:t>raji'un</w:t>
      </w:r>
      <w:proofErr w:type="spellEnd"/>
      <w:r w:rsidRPr="00FD130B">
        <w:rPr>
          <w:rFonts w:ascii="Times New Roman" w:eastAsia="Times New Roman" w:hAnsi="Times New Roman" w:cs="Times New Roman"/>
          <w:sz w:val="24"/>
          <w:szCs w:val="24"/>
        </w:rPr>
        <w:t xml:space="preserve">, the big family of the Alumni Association of Universitas </w:t>
      </w:r>
      <w:proofErr w:type="spellStart"/>
      <w:r w:rsidRPr="00FD130B">
        <w:rPr>
          <w:rFonts w:ascii="Times New Roman" w:eastAsia="Times New Roman" w:hAnsi="Times New Roman" w:cs="Times New Roman"/>
          <w:sz w:val="24"/>
          <w:szCs w:val="24"/>
        </w:rPr>
        <w:t>Brawijaya</w:t>
      </w:r>
      <w:proofErr w:type="spellEnd"/>
      <w:r w:rsidRPr="00FD130B">
        <w:rPr>
          <w:rFonts w:ascii="Times New Roman" w:eastAsia="Times New Roman" w:hAnsi="Times New Roman" w:cs="Times New Roman"/>
          <w:sz w:val="24"/>
          <w:szCs w:val="24"/>
        </w:rPr>
        <w:t xml:space="preserve"> Condolences for the incident at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Stadium Malang, Saturday Night, October 1, 2022, Greetings one soul, a grieving soul). The sentence in this sign is more about condolences for the victims of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In addition, there is a sentence with a larger font size, namely the sentence "</w:t>
      </w:r>
      <w:proofErr w:type="spellStart"/>
      <w:r w:rsidRPr="00FD130B">
        <w:rPr>
          <w:rFonts w:ascii="Times New Roman" w:eastAsia="Times New Roman" w:hAnsi="Times New Roman" w:cs="Times New Roman"/>
          <w:i/>
          <w:iCs/>
          <w:sz w:val="24"/>
          <w:szCs w:val="24"/>
        </w:rPr>
        <w:t>Turut</w:t>
      </w:r>
      <w:proofErr w:type="spellEnd"/>
      <w:r w:rsidRPr="00FD130B">
        <w:rPr>
          <w:rFonts w:ascii="Times New Roman" w:eastAsia="Times New Roman" w:hAnsi="Times New Roman" w:cs="Times New Roman"/>
          <w:i/>
          <w:iCs/>
          <w:sz w:val="24"/>
          <w:szCs w:val="24"/>
        </w:rPr>
        <w:t xml:space="preserve"> </w:t>
      </w:r>
      <w:proofErr w:type="spellStart"/>
      <w:r w:rsidRPr="00FD130B">
        <w:rPr>
          <w:rFonts w:ascii="Times New Roman" w:eastAsia="Times New Roman" w:hAnsi="Times New Roman" w:cs="Times New Roman"/>
          <w:i/>
          <w:iCs/>
          <w:sz w:val="24"/>
          <w:szCs w:val="24"/>
        </w:rPr>
        <w:t>Berduka</w:t>
      </w:r>
      <w:proofErr w:type="spellEnd"/>
      <w:r w:rsidRPr="00FD130B">
        <w:rPr>
          <w:rFonts w:ascii="Times New Roman" w:eastAsia="Times New Roman" w:hAnsi="Times New Roman" w:cs="Times New Roman"/>
          <w:i/>
          <w:iCs/>
          <w:sz w:val="24"/>
          <w:szCs w:val="24"/>
        </w:rPr>
        <w:t xml:space="preserve"> Cita</w:t>
      </w:r>
      <w:r w:rsidRPr="00FD130B">
        <w:rPr>
          <w:rFonts w:ascii="Times New Roman" w:eastAsia="Times New Roman" w:hAnsi="Times New Roman" w:cs="Times New Roman"/>
          <w:sz w:val="24"/>
          <w:szCs w:val="24"/>
        </w:rPr>
        <w:t xml:space="preserve">," which emphasizes condolences to supporters who have died. The sign is closed with </w:t>
      </w:r>
      <w:proofErr w:type="spellStart"/>
      <w:r w:rsidRPr="00FD130B">
        <w:rPr>
          <w:rFonts w:ascii="Times New Roman" w:eastAsia="Times New Roman" w:hAnsi="Times New Roman" w:cs="Times New Roman"/>
          <w:sz w:val="24"/>
          <w:szCs w:val="24"/>
        </w:rPr>
        <w:t>Arema's</w:t>
      </w:r>
      <w:proofErr w:type="spellEnd"/>
      <w:r w:rsidRPr="00FD130B">
        <w:rPr>
          <w:rFonts w:ascii="Times New Roman" w:eastAsia="Times New Roman" w:hAnsi="Times New Roman" w:cs="Times New Roman"/>
          <w:sz w:val="24"/>
          <w:szCs w:val="24"/>
        </w:rPr>
        <w:t xml:space="preserve"> jargon “</w:t>
      </w:r>
      <w:r w:rsidRPr="00FD130B">
        <w:rPr>
          <w:rFonts w:ascii="Times New Roman" w:eastAsia="Times New Roman" w:hAnsi="Times New Roman" w:cs="Times New Roman"/>
          <w:i/>
          <w:iCs/>
          <w:sz w:val="24"/>
          <w:szCs w:val="24"/>
        </w:rPr>
        <w:t>Salam Satu Jiwa</w:t>
      </w:r>
      <w:r w:rsidRPr="00FD130B">
        <w:rPr>
          <w:rFonts w:ascii="Times New Roman" w:eastAsia="Times New Roman" w:hAnsi="Times New Roman" w:cs="Times New Roman"/>
          <w:sz w:val="24"/>
          <w:szCs w:val="24"/>
        </w:rPr>
        <w:t xml:space="preserve">” (Greetings one soul). This sentence shows full support for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incident, and the community has united to defend and demand justice. The community as a whole, on behalf of </w:t>
      </w:r>
      <w:proofErr w:type="spellStart"/>
      <w:r w:rsidRPr="00FD130B">
        <w:rPr>
          <w:rFonts w:ascii="Times New Roman" w:eastAsia="Times New Roman" w:hAnsi="Times New Roman" w:cs="Times New Roman"/>
          <w:sz w:val="24"/>
          <w:szCs w:val="24"/>
        </w:rPr>
        <w:t>Arema</w:t>
      </w:r>
      <w:proofErr w:type="spellEnd"/>
      <w:r w:rsidRPr="00FD130B">
        <w:rPr>
          <w:rFonts w:ascii="Times New Roman" w:eastAsia="Times New Roman" w:hAnsi="Times New Roman" w:cs="Times New Roman"/>
          <w:sz w:val="24"/>
          <w:szCs w:val="24"/>
        </w:rPr>
        <w:t>, has become brothers. If one is hurt, the others feel pain and help each other, and vice versa.</w:t>
      </w:r>
    </w:p>
    <w:p w14:paraId="19348F12" w14:textId="77777777" w:rsidR="00FD130B" w:rsidRPr="00FD130B" w:rsidRDefault="00FD130B" w:rsidP="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 xml:space="preserve">The findings in this study show that Indonesian is used predominantly by people in various places on the street, city hall, police station, etc., as shown in Table 1 and Table 2. Likewise, the use of Indonesian is horizontally side by side with other languages for signs using bilinguals. The symbol used does not highlight one language with another. All languages have the same font size and in no particular order of language usage. The font size is enlarged only on the word that is the focus, as shown in Figure 3, Figure 2, which shows rejection, and Figure 8, which expresses condolences to the victims. The sign has the same writing color. In addition, there are signs with the same font size but given a different writing color as a highlight of the form of rejection, as shown in Figure 5 in Figure 1. This is in line with </w:t>
      </w:r>
      <w:proofErr w:type="spellStart"/>
      <w:r w:rsidRPr="00FD130B">
        <w:rPr>
          <w:rFonts w:ascii="Times New Roman" w:eastAsia="Times New Roman" w:hAnsi="Times New Roman" w:cs="Times New Roman"/>
          <w:sz w:val="24"/>
          <w:szCs w:val="24"/>
        </w:rPr>
        <w:t>Beckhaus</w:t>
      </w:r>
      <w:proofErr w:type="spellEnd"/>
      <w:r w:rsidRPr="00FD130B">
        <w:rPr>
          <w:rFonts w:ascii="Times New Roman" w:eastAsia="Times New Roman" w:hAnsi="Times New Roman" w:cs="Times New Roman"/>
          <w:sz w:val="24"/>
          <w:szCs w:val="24"/>
        </w:rPr>
        <w:t>, who stated that the writing model in signs could be used by using language aligned vertically and language is used horizontally (Backhaus, 2005).</w:t>
      </w:r>
    </w:p>
    <w:p w14:paraId="1061624F" w14:textId="77777777" w:rsidR="00FD130B" w:rsidRPr="00FD130B" w:rsidRDefault="00FD130B" w:rsidP="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Indonesian has the highest quantity of use in both monolingual and bilingual signs (table 1). This is in line with the identity of the Indonesian nation, where Indonesian is the official language of the Indonesian state, as well as the nation's unifying language, and is used as the language of formal communication, both written and spoken (</w:t>
      </w:r>
      <w:proofErr w:type="spellStart"/>
      <w:r w:rsidRPr="00FD130B">
        <w:rPr>
          <w:rFonts w:ascii="Times New Roman" w:eastAsia="Times New Roman" w:hAnsi="Times New Roman" w:cs="Times New Roman"/>
          <w:sz w:val="24"/>
          <w:szCs w:val="24"/>
        </w:rPr>
        <w:t>Dalimunte</w:t>
      </w:r>
      <w:proofErr w:type="spellEnd"/>
      <w:r w:rsidRPr="00FD130B">
        <w:rPr>
          <w:rFonts w:ascii="Times New Roman" w:eastAsia="Times New Roman" w:hAnsi="Times New Roman" w:cs="Times New Roman"/>
          <w:sz w:val="24"/>
          <w:szCs w:val="24"/>
        </w:rPr>
        <w:t xml:space="preserve">, 2017; Kurniawan, </w:t>
      </w:r>
      <w:r w:rsidRPr="00FD130B">
        <w:rPr>
          <w:rFonts w:ascii="Times New Roman" w:eastAsia="Times New Roman" w:hAnsi="Times New Roman" w:cs="Times New Roman"/>
          <w:sz w:val="24"/>
          <w:szCs w:val="24"/>
        </w:rPr>
        <w:lastRenderedPageBreak/>
        <w:t xml:space="preserve">2017; </w:t>
      </w:r>
      <w:proofErr w:type="spellStart"/>
      <w:r w:rsidRPr="00FD130B">
        <w:rPr>
          <w:rFonts w:ascii="Times New Roman" w:eastAsia="Times New Roman" w:hAnsi="Times New Roman" w:cs="Times New Roman"/>
          <w:sz w:val="24"/>
          <w:szCs w:val="24"/>
        </w:rPr>
        <w:t>Rumandang</w:t>
      </w:r>
      <w:proofErr w:type="spellEnd"/>
      <w:r w:rsidRPr="00FD130B">
        <w:rPr>
          <w:rFonts w:ascii="Times New Roman" w:eastAsia="Times New Roman" w:hAnsi="Times New Roman" w:cs="Times New Roman"/>
          <w:sz w:val="24"/>
          <w:szCs w:val="24"/>
        </w:rPr>
        <w:t xml:space="preserve"> Bulan, 2019). Indonesia is a good capital for a nation built on ethnic and cultural diversity in fostering nationalism and strengthening national identity (Sanjaya, 2017). In contrast to findings (Monje, 2017), forms of community protest tend to use multilingualism and highlight the language of millennials. Thus, the linguistic landscape can describe how language is used from the dynamics of global society (</w:t>
      </w:r>
      <w:proofErr w:type="spellStart"/>
      <w:r w:rsidRPr="00FD130B">
        <w:rPr>
          <w:rFonts w:ascii="Times New Roman" w:eastAsia="Times New Roman" w:hAnsi="Times New Roman" w:cs="Times New Roman"/>
          <w:sz w:val="24"/>
          <w:szCs w:val="24"/>
        </w:rPr>
        <w:t>Hélot</w:t>
      </w:r>
      <w:proofErr w:type="spellEnd"/>
      <w:r w:rsidRPr="00FD130B">
        <w:rPr>
          <w:rFonts w:ascii="Times New Roman" w:eastAsia="Times New Roman" w:hAnsi="Times New Roman" w:cs="Times New Roman"/>
          <w:sz w:val="24"/>
          <w:szCs w:val="24"/>
        </w:rPr>
        <w:t>, C. et al., 2013).</w:t>
      </w:r>
    </w:p>
    <w:p w14:paraId="03053018" w14:textId="77777777" w:rsidR="00FD130B" w:rsidRPr="00FD130B" w:rsidRDefault="00FD130B" w:rsidP="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 xml:space="preserve">The massive signs posted in various public places are an act of symbolic/open resistance by using clear, direct, and to-the-point language (such as asking for an appropriate punishment for the perpetrators of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refusing the sentence imposed on the perpetrators who are considered too light, insulting the perpetrators, insulting government officials, etc.). The selected sentences use four figurative speech patterns: sarcasm, cynicism, rhetoric, and euphemism. Sarcasm sentences are the most frequently written sentence patterns in the linguistic landscape. As Found (</w:t>
      </w:r>
      <w:proofErr w:type="spellStart"/>
      <w:r w:rsidRPr="00FD130B">
        <w:rPr>
          <w:rFonts w:ascii="Times New Roman" w:eastAsia="Times New Roman" w:hAnsi="Times New Roman" w:cs="Times New Roman"/>
          <w:sz w:val="24"/>
          <w:szCs w:val="24"/>
        </w:rPr>
        <w:t>Dabbour</w:t>
      </w:r>
      <w:proofErr w:type="spellEnd"/>
      <w:r w:rsidRPr="00FD130B">
        <w:rPr>
          <w:rFonts w:ascii="Times New Roman" w:eastAsia="Times New Roman" w:hAnsi="Times New Roman" w:cs="Times New Roman"/>
          <w:sz w:val="24"/>
          <w:szCs w:val="24"/>
        </w:rPr>
        <w:t>, 2017) states, the protest media has specific characteristics, such as the word choice that is sarcasm and belief. Where the sentences written by the community expressed their emotional feelings, they use harsh words and are negative in a direct and blatant manner. The sign installation movement in all corners of Malang, Indonesia, aims to get a response from city government officials, Indonesia, and even the world in general. In other words, language is used to attract the sympathy and attention of others (Minocha, 2020).</w:t>
      </w:r>
    </w:p>
    <w:p w14:paraId="7BD63A26" w14:textId="7912AF74" w:rsidR="00FA0198" w:rsidRDefault="00FD130B" w:rsidP="00FD130B">
      <w:pPr>
        <w:spacing w:after="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 xml:space="preserve">The choice of words, sentences, and symbols are also examined to determine the symbolic meaning that expresses the sign's strength to protest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The existing landscape is full of characters and discourses with cultural and political importance as a powerful tool to protest (Kasanga, 2014). These public demonstrations can be seen as LLs in which the discursive use of signs, banners, flags, and other protest signs builds an apparent socio-political space for a public conversation around demands for justice, firmness, and responsibility (Ku, 2020). This paper also shows the choice of language, social and grammatical indexicality, image, cultural capital contained, and the choreography of the assembly in the sign. In line with (Taylor-Leech, 2020), who see LL protest as a semiotic aggregate that can become a bridge for society.</w:t>
      </w:r>
    </w:p>
    <w:p w14:paraId="6306FFCC" w14:textId="77777777" w:rsidR="00FD130B" w:rsidRDefault="00FD130B" w:rsidP="00FD130B">
      <w:pPr>
        <w:spacing w:after="0" w:line="240" w:lineRule="auto"/>
        <w:ind w:firstLine="425"/>
        <w:jc w:val="both"/>
        <w:rPr>
          <w:rFonts w:ascii="Times New Roman" w:eastAsia="Times New Roman" w:hAnsi="Times New Roman" w:cs="Times New Roman"/>
          <w:sz w:val="24"/>
          <w:szCs w:val="24"/>
        </w:rPr>
      </w:pPr>
    </w:p>
    <w:p w14:paraId="53809F98" w14:textId="77777777" w:rsidR="003D71CD" w:rsidRDefault="00000000">
      <w:pPr>
        <w:spacing w:after="120" w:line="240" w:lineRule="auto"/>
        <w:ind w:firstLine="42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p>
    <w:p w14:paraId="01C387C8" w14:textId="77777777" w:rsidR="00FD130B" w:rsidRPr="00FD130B" w:rsidRDefault="00FD130B" w:rsidP="00FD130B">
      <w:pPr>
        <w:spacing w:after="12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 xml:space="preserve">This research reflects on three primary and dominant patterns in the LL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First, the choice of language used in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protest is more prevalent in sarcasm, cynicism, and rhetoric. These sentences were chosen to show people's emotions and anger toward the government. Second, the signs posted in public places highlight the Indonesian language used to express feelings, in addition to English, Javanese, and Arabic. This proves that the local language's (Indonesian) identity is still the community's leading choice even amid globalization and multi-media. Third, the form used in the sign indicates two forms, monolingual and bilingual. There were no signs using multilingual. In the bilingual sign, Indonesian still dominates, in which Indonesian accompanies and aligns horizontally with other languages.</w:t>
      </w:r>
    </w:p>
    <w:p w14:paraId="08776449" w14:textId="224A9C76" w:rsidR="003D71CD" w:rsidRDefault="00FD130B" w:rsidP="00FD130B">
      <w:pPr>
        <w:spacing w:after="120" w:line="240" w:lineRule="auto"/>
        <w:ind w:firstLine="425"/>
        <w:jc w:val="both"/>
        <w:rPr>
          <w:rFonts w:ascii="Times New Roman" w:eastAsia="Times New Roman" w:hAnsi="Times New Roman" w:cs="Times New Roman"/>
          <w:sz w:val="24"/>
          <w:szCs w:val="24"/>
        </w:rPr>
      </w:pPr>
      <w:r w:rsidRPr="00FD130B">
        <w:rPr>
          <w:rFonts w:ascii="Times New Roman" w:eastAsia="Times New Roman" w:hAnsi="Times New Roman" w:cs="Times New Roman"/>
          <w:sz w:val="24"/>
          <w:szCs w:val="24"/>
        </w:rPr>
        <w:t xml:space="preserve">This research has limitations in the areas used as field objects for taking pictures of signs related to community protests over the </w:t>
      </w:r>
      <w:proofErr w:type="spellStart"/>
      <w:r w:rsidRPr="00FD130B">
        <w:rPr>
          <w:rFonts w:ascii="Times New Roman" w:eastAsia="Times New Roman" w:hAnsi="Times New Roman" w:cs="Times New Roman"/>
          <w:sz w:val="24"/>
          <w:szCs w:val="24"/>
        </w:rPr>
        <w:t>Kanjuruan</w:t>
      </w:r>
      <w:proofErr w:type="spellEnd"/>
      <w:r w:rsidRPr="00FD130B">
        <w:rPr>
          <w:rFonts w:ascii="Times New Roman" w:eastAsia="Times New Roman" w:hAnsi="Times New Roman" w:cs="Times New Roman"/>
          <w:sz w:val="24"/>
          <w:szCs w:val="24"/>
        </w:rPr>
        <w:t xml:space="preserve"> tragedy on October 1, 2022. Namely, this research focuses on Malang, Indonesia, so the data collected is limited and less varied. It is also limited to the analysis of linguistic aspects, yet to look at cultural and political elements. In line with that, this research suggests conducting further studies that examine the same sign in the broader area including Malang district and East Java region to obtain varied data and various </w:t>
      </w:r>
      <w:r w:rsidRPr="00FD130B">
        <w:rPr>
          <w:rFonts w:ascii="Times New Roman" w:eastAsia="Times New Roman" w:hAnsi="Times New Roman" w:cs="Times New Roman"/>
          <w:sz w:val="24"/>
          <w:szCs w:val="24"/>
        </w:rPr>
        <w:lastRenderedPageBreak/>
        <w:t xml:space="preserve">sign patterns. </w:t>
      </w:r>
      <w:proofErr w:type="gramStart"/>
      <w:r w:rsidRPr="00FD130B">
        <w:rPr>
          <w:rFonts w:ascii="Times New Roman" w:eastAsia="Times New Roman" w:hAnsi="Times New Roman" w:cs="Times New Roman"/>
          <w:sz w:val="24"/>
          <w:szCs w:val="24"/>
        </w:rPr>
        <w:t>Thus</w:t>
      </w:r>
      <w:proofErr w:type="gramEnd"/>
      <w:r w:rsidRPr="00FD130B">
        <w:rPr>
          <w:rFonts w:ascii="Times New Roman" w:eastAsia="Times New Roman" w:hAnsi="Times New Roman" w:cs="Times New Roman"/>
          <w:sz w:val="24"/>
          <w:szCs w:val="24"/>
        </w:rPr>
        <w:t xml:space="preserve"> the information obtained is more comprehensive and representative of multiple groups.</w:t>
      </w:r>
    </w:p>
    <w:p w14:paraId="18518E0E" w14:textId="77777777" w:rsidR="003D71CD" w:rsidRDefault="003D71CD">
      <w:pPr>
        <w:spacing w:after="0" w:line="240" w:lineRule="auto"/>
        <w:ind w:firstLine="425"/>
        <w:jc w:val="both"/>
        <w:rPr>
          <w:rFonts w:ascii="Times New Roman" w:eastAsia="Times New Roman" w:hAnsi="Times New Roman" w:cs="Times New Roman"/>
          <w:sz w:val="24"/>
          <w:szCs w:val="24"/>
        </w:rPr>
      </w:pPr>
    </w:p>
    <w:p w14:paraId="0BC363C4" w14:textId="77777777" w:rsidR="003D71CD" w:rsidRDefault="00000000">
      <w:pPr>
        <w:spacing w:after="120" w:line="240" w:lineRule="auto"/>
        <w:ind w:firstLine="42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REFERENCES</w:t>
      </w:r>
    </w:p>
    <w:p w14:paraId="6AACCFD9" w14:textId="2AED9A1B"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Ardhian</w:t>
      </w:r>
      <w:proofErr w:type="spellEnd"/>
      <w:r w:rsidRPr="00BE5FDF">
        <w:rPr>
          <w:rFonts w:asciiTheme="majorBidi" w:eastAsia="Arial" w:hAnsiTheme="majorBidi" w:cstheme="majorBidi"/>
          <w:sz w:val="24"/>
          <w:szCs w:val="24"/>
        </w:rPr>
        <w:t xml:space="preserve">, D., </w:t>
      </w:r>
      <w:proofErr w:type="spellStart"/>
      <w:r w:rsidRPr="00BE5FDF">
        <w:rPr>
          <w:rFonts w:asciiTheme="majorBidi" w:eastAsia="Arial" w:hAnsiTheme="majorBidi" w:cstheme="majorBidi"/>
          <w:sz w:val="24"/>
          <w:szCs w:val="24"/>
        </w:rPr>
        <w:t>Sumarlam</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Purnanto</w:t>
      </w:r>
      <w:proofErr w:type="spellEnd"/>
      <w:r w:rsidRPr="00BE5FDF">
        <w:rPr>
          <w:rFonts w:asciiTheme="majorBidi" w:eastAsia="Arial" w:hAnsiTheme="majorBidi" w:cstheme="majorBidi"/>
          <w:sz w:val="24"/>
          <w:szCs w:val="24"/>
        </w:rPr>
        <w:t xml:space="preserve">, D., &amp; </w:t>
      </w:r>
      <w:proofErr w:type="spellStart"/>
      <w:r w:rsidRPr="00BE5FDF">
        <w:rPr>
          <w:rFonts w:asciiTheme="majorBidi" w:eastAsia="Arial" w:hAnsiTheme="majorBidi" w:cstheme="majorBidi"/>
          <w:sz w:val="24"/>
          <w:szCs w:val="24"/>
        </w:rPr>
        <w:t>Yustanto</w:t>
      </w:r>
      <w:proofErr w:type="spellEnd"/>
      <w:r w:rsidRPr="00BE5FDF">
        <w:rPr>
          <w:rFonts w:asciiTheme="majorBidi" w:eastAsia="Arial" w:hAnsiTheme="majorBidi" w:cstheme="majorBidi"/>
          <w:sz w:val="24"/>
          <w:szCs w:val="24"/>
        </w:rPr>
        <w:t xml:space="preserve">, H. (2021). Religious performance in Malang, Indonesia: Linguistic landscape on worship sign. </w:t>
      </w:r>
      <w:r w:rsidRPr="00BE5FDF">
        <w:rPr>
          <w:rFonts w:asciiTheme="majorBidi" w:eastAsia="Arial" w:hAnsiTheme="majorBidi" w:cstheme="majorBidi"/>
          <w:i/>
          <w:iCs/>
          <w:sz w:val="24"/>
          <w:szCs w:val="24"/>
        </w:rPr>
        <w:t>Journal of Language and Linguistic Studies. 17</w:t>
      </w:r>
      <w:r w:rsidRPr="00BE5FDF">
        <w:rPr>
          <w:rFonts w:asciiTheme="majorBidi" w:eastAsia="Arial" w:hAnsiTheme="majorBidi" w:cstheme="majorBidi"/>
          <w:sz w:val="24"/>
          <w:szCs w:val="24"/>
        </w:rPr>
        <w:t xml:space="preserve">(2), 983-1000. </w:t>
      </w:r>
      <w:hyperlink r:id="rId22" w:history="1">
        <w:r w:rsidRPr="00BE5FDF">
          <w:rPr>
            <w:rStyle w:val="Hyperlink"/>
            <w:rFonts w:asciiTheme="majorBidi" w:eastAsia="Arial" w:hAnsiTheme="majorBidi" w:cstheme="majorBidi"/>
            <w:sz w:val="24"/>
            <w:szCs w:val="24"/>
          </w:rPr>
          <w:t>https://doi.org/10.52462/jlls.68</w:t>
        </w:r>
      </w:hyperlink>
      <w:r w:rsidRPr="00BE5FDF">
        <w:rPr>
          <w:rFonts w:asciiTheme="majorBidi" w:eastAsia="Arial" w:hAnsiTheme="majorBidi" w:cstheme="majorBidi"/>
          <w:sz w:val="24"/>
          <w:szCs w:val="24"/>
        </w:rPr>
        <w:t xml:space="preserve">  </w:t>
      </w:r>
    </w:p>
    <w:p w14:paraId="02AE9B91"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Backhaus, P. (2005). Signs of multilingualism in Tokyo — a diachronic look at the linguistic landscape. </w:t>
      </w:r>
      <w:r w:rsidRPr="00BE5FDF">
        <w:rPr>
          <w:rFonts w:asciiTheme="majorBidi" w:eastAsia="Arial" w:hAnsiTheme="majorBidi" w:cstheme="majorBidi"/>
          <w:i/>
          <w:iCs/>
          <w:sz w:val="24"/>
          <w:szCs w:val="24"/>
        </w:rPr>
        <w:t>International Journal of the Sociology of Language</w:t>
      </w:r>
      <w:r w:rsidRPr="00BE5FDF">
        <w:rPr>
          <w:rFonts w:asciiTheme="majorBidi" w:eastAsia="Arial" w:hAnsiTheme="majorBidi" w:cstheme="majorBidi"/>
          <w:sz w:val="24"/>
          <w:szCs w:val="24"/>
        </w:rPr>
        <w:t xml:space="preserve">. 103-121. </w:t>
      </w:r>
      <w:hyperlink r:id="rId23" w:history="1">
        <w:r w:rsidRPr="00BE5FDF">
          <w:rPr>
            <w:rStyle w:val="Hyperlink"/>
            <w:rFonts w:asciiTheme="majorBidi" w:eastAsia="Arial" w:hAnsiTheme="majorBidi" w:cstheme="majorBidi"/>
            <w:sz w:val="24"/>
            <w:szCs w:val="24"/>
          </w:rPr>
          <w:t>https://doi.org/10.1515/ijsl.2005.2005.175-176.103</w:t>
        </w:r>
      </w:hyperlink>
      <w:r w:rsidRPr="00BE5FDF">
        <w:rPr>
          <w:rFonts w:asciiTheme="majorBidi" w:eastAsia="Arial" w:hAnsiTheme="majorBidi" w:cstheme="majorBidi"/>
          <w:sz w:val="24"/>
          <w:szCs w:val="24"/>
        </w:rPr>
        <w:t xml:space="preserve">   </w:t>
      </w:r>
    </w:p>
    <w:p w14:paraId="7F92B415"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Badan </w:t>
      </w:r>
      <w:proofErr w:type="spellStart"/>
      <w:r w:rsidRPr="00BE5FDF">
        <w:rPr>
          <w:rFonts w:asciiTheme="majorBidi" w:eastAsia="Arial" w:hAnsiTheme="majorBidi" w:cstheme="majorBidi"/>
          <w:sz w:val="24"/>
          <w:szCs w:val="24"/>
        </w:rPr>
        <w:t>Pengembangan</w:t>
      </w:r>
      <w:proofErr w:type="spellEnd"/>
      <w:r w:rsidRPr="00BE5FDF">
        <w:rPr>
          <w:rFonts w:asciiTheme="majorBidi" w:eastAsia="Arial" w:hAnsiTheme="majorBidi" w:cstheme="majorBidi"/>
          <w:sz w:val="24"/>
          <w:szCs w:val="24"/>
        </w:rPr>
        <w:t xml:space="preserve"> dan </w:t>
      </w:r>
      <w:proofErr w:type="spellStart"/>
      <w:r w:rsidRPr="00BE5FDF">
        <w:rPr>
          <w:rFonts w:asciiTheme="majorBidi" w:eastAsia="Arial" w:hAnsiTheme="majorBidi" w:cstheme="majorBidi"/>
          <w:sz w:val="24"/>
          <w:szCs w:val="24"/>
        </w:rPr>
        <w:t>Pembinaan</w:t>
      </w:r>
      <w:proofErr w:type="spellEnd"/>
      <w:r w:rsidRPr="00BE5FDF">
        <w:rPr>
          <w:rFonts w:asciiTheme="majorBidi" w:eastAsia="Arial" w:hAnsiTheme="majorBidi" w:cstheme="majorBidi"/>
          <w:sz w:val="24"/>
          <w:szCs w:val="24"/>
        </w:rPr>
        <w:t xml:space="preserve"> Bahasa. (2016). KBBI Daring. Kementerian Pendidikan Dan </w:t>
      </w:r>
      <w:proofErr w:type="spellStart"/>
      <w:r w:rsidRPr="00BE5FDF">
        <w:rPr>
          <w:rFonts w:asciiTheme="majorBidi" w:eastAsia="Arial" w:hAnsiTheme="majorBidi" w:cstheme="majorBidi"/>
          <w:sz w:val="24"/>
          <w:szCs w:val="24"/>
        </w:rPr>
        <w:t>Kebudayaan</w:t>
      </w:r>
      <w:proofErr w:type="spellEnd"/>
      <w:r w:rsidRPr="00BE5FDF">
        <w:rPr>
          <w:rFonts w:asciiTheme="majorBidi" w:eastAsia="Arial" w:hAnsiTheme="majorBidi" w:cstheme="majorBidi"/>
          <w:sz w:val="24"/>
          <w:szCs w:val="24"/>
        </w:rPr>
        <w:t xml:space="preserve"> Indonesia.</w:t>
      </w:r>
    </w:p>
    <w:p w14:paraId="3A13827E"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Baranova, V., &amp; Fedorova, K. (2020). Growing visibility: Migration and transformations in saint </w:t>
      </w:r>
      <w:proofErr w:type="spellStart"/>
      <w:r w:rsidRPr="00BE5FDF">
        <w:rPr>
          <w:rFonts w:asciiTheme="majorBidi" w:eastAsia="Arial" w:hAnsiTheme="majorBidi" w:cstheme="majorBidi"/>
          <w:sz w:val="24"/>
          <w:szCs w:val="24"/>
        </w:rPr>
        <w:t>petersburg’s</w:t>
      </w:r>
      <w:proofErr w:type="spellEnd"/>
      <w:r w:rsidRPr="00BE5FDF">
        <w:rPr>
          <w:rFonts w:asciiTheme="majorBidi" w:eastAsia="Arial" w:hAnsiTheme="majorBidi" w:cstheme="majorBidi"/>
          <w:sz w:val="24"/>
          <w:szCs w:val="24"/>
        </w:rPr>
        <w:t xml:space="preserve"> linguistic landscape. </w:t>
      </w:r>
      <w:proofErr w:type="spellStart"/>
      <w:r w:rsidRPr="00BE5FDF">
        <w:rPr>
          <w:rFonts w:asciiTheme="majorBidi" w:eastAsia="Arial" w:hAnsiTheme="majorBidi" w:cstheme="majorBidi"/>
          <w:i/>
          <w:iCs/>
          <w:sz w:val="24"/>
          <w:szCs w:val="24"/>
        </w:rPr>
        <w:t>Laboratorium</w:t>
      </w:r>
      <w:proofErr w:type="spellEnd"/>
      <w:r w:rsidRPr="00BE5FDF">
        <w:rPr>
          <w:rFonts w:asciiTheme="majorBidi" w:eastAsia="Arial" w:hAnsiTheme="majorBidi" w:cstheme="majorBidi"/>
          <w:i/>
          <w:iCs/>
          <w:sz w:val="24"/>
          <w:szCs w:val="24"/>
        </w:rPr>
        <w:t>: Russian Review of Social Research. 12</w:t>
      </w:r>
      <w:r w:rsidRPr="00BE5FDF">
        <w:rPr>
          <w:rFonts w:asciiTheme="majorBidi" w:eastAsia="Arial" w:hAnsiTheme="majorBidi" w:cstheme="majorBidi"/>
          <w:sz w:val="24"/>
          <w:szCs w:val="24"/>
        </w:rPr>
        <w:t xml:space="preserve">(1), 48-80. </w:t>
      </w:r>
      <w:hyperlink r:id="rId24" w:history="1">
        <w:r w:rsidRPr="00BE5FDF">
          <w:rPr>
            <w:rStyle w:val="Hyperlink"/>
            <w:rFonts w:asciiTheme="majorBidi" w:eastAsia="Arial" w:hAnsiTheme="majorBidi" w:cstheme="majorBidi"/>
            <w:sz w:val="24"/>
            <w:szCs w:val="24"/>
          </w:rPr>
          <w:t>https://doi.org/10.25285/2078-1938-2020-12-1-48-80</w:t>
        </w:r>
      </w:hyperlink>
      <w:r w:rsidRPr="00BE5FDF">
        <w:rPr>
          <w:rFonts w:asciiTheme="majorBidi" w:eastAsia="Arial" w:hAnsiTheme="majorBidi" w:cstheme="majorBidi"/>
          <w:sz w:val="24"/>
          <w:szCs w:val="24"/>
        </w:rPr>
        <w:t xml:space="preserve">  </w:t>
      </w:r>
    </w:p>
    <w:p w14:paraId="1981E5BB"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Begum, N., &amp; Sinha, S. (2021). The languages of the divine space: A case study from India. </w:t>
      </w:r>
      <w:proofErr w:type="spellStart"/>
      <w:r w:rsidRPr="00BE5FDF">
        <w:rPr>
          <w:rFonts w:asciiTheme="majorBidi" w:eastAsia="Arial" w:hAnsiTheme="majorBidi" w:cstheme="majorBidi"/>
          <w:i/>
          <w:iCs/>
          <w:sz w:val="24"/>
          <w:szCs w:val="24"/>
        </w:rPr>
        <w:t>Dialectologia</w:t>
      </w:r>
      <w:proofErr w:type="spellEnd"/>
      <w:r w:rsidRPr="00BE5FDF">
        <w:rPr>
          <w:rFonts w:asciiTheme="majorBidi" w:eastAsia="Arial" w:hAnsiTheme="majorBidi" w:cstheme="majorBidi"/>
          <w:sz w:val="24"/>
          <w:szCs w:val="24"/>
        </w:rPr>
        <w:t xml:space="preserve">. 33-48. </w:t>
      </w:r>
      <w:hyperlink r:id="rId25" w:history="1">
        <w:r w:rsidRPr="00BE5FDF">
          <w:rPr>
            <w:rStyle w:val="Hyperlink"/>
            <w:rFonts w:asciiTheme="majorBidi" w:eastAsia="Arial" w:hAnsiTheme="majorBidi" w:cstheme="majorBidi"/>
            <w:sz w:val="24"/>
            <w:szCs w:val="24"/>
          </w:rPr>
          <w:t>https://doi.org/10.1344/Dialectologia2021.27.2</w:t>
        </w:r>
      </w:hyperlink>
      <w:r w:rsidRPr="00BE5FDF">
        <w:rPr>
          <w:rFonts w:asciiTheme="majorBidi" w:eastAsia="Arial" w:hAnsiTheme="majorBidi" w:cstheme="majorBidi"/>
          <w:sz w:val="24"/>
          <w:szCs w:val="24"/>
        </w:rPr>
        <w:t xml:space="preserve">  </w:t>
      </w:r>
    </w:p>
    <w:p w14:paraId="2756F520"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Ben-Rafael, E., &amp; Ben-Rafael, M. (2015). Linguistic landscapes in an era of multiple globalizations. Linguistic Landscape. </w:t>
      </w:r>
      <w:r w:rsidRPr="00BE5FDF">
        <w:rPr>
          <w:rFonts w:asciiTheme="majorBidi" w:eastAsia="Arial" w:hAnsiTheme="majorBidi" w:cstheme="majorBidi"/>
          <w:i/>
          <w:iCs/>
          <w:sz w:val="24"/>
          <w:szCs w:val="24"/>
        </w:rPr>
        <w:t>An International Journal. 1</w:t>
      </w:r>
      <w:r w:rsidRPr="00BE5FDF">
        <w:rPr>
          <w:rFonts w:asciiTheme="majorBidi" w:eastAsia="Arial" w:hAnsiTheme="majorBidi" w:cstheme="majorBidi"/>
          <w:sz w:val="24"/>
          <w:szCs w:val="24"/>
        </w:rPr>
        <w:t xml:space="preserve">(1-2), 19-37. </w:t>
      </w:r>
      <w:hyperlink r:id="rId26" w:history="1">
        <w:r w:rsidRPr="00BE5FDF">
          <w:rPr>
            <w:rStyle w:val="Hyperlink"/>
            <w:rFonts w:asciiTheme="majorBidi" w:eastAsia="Arial" w:hAnsiTheme="majorBidi" w:cstheme="majorBidi"/>
            <w:sz w:val="24"/>
            <w:szCs w:val="24"/>
          </w:rPr>
          <w:t>https://doi.org/10.1075/ll.1.1-2.02ben</w:t>
        </w:r>
      </w:hyperlink>
      <w:r w:rsidRPr="00BE5FDF">
        <w:rPr>
          <w:rFonts w:asciiTheme="majorBidi" w:eastAsia="Arial" w:hAnsiTheme="majorBidi" w:cstheme="majorBidi"/>
          <w:sz w:val="24"/>
          <w:szCs w:val="24"/>
        </w:rPr>
        <w:t xml:space="preserve">  </w:t>
      </w:r>
    </w:p>
    <w:p w14:paraId="4E069D52"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Burr, S. (2021). Linguistic Landscape Signs in E-Textbooks: Teaching Language as a Compass for Exploring Multimodal Texts, Multilingualism, and Digital Resources. </w:t>
      </w:r>
      <w:r w:rsidRPr="00BE5FDF">
        <w:rPr>
          <w:rFonts w:asciiTheme="majorBidi" w:eastAsia="Arial" w:hAnsiTheme="majorBidi" w:cstheme="majorBidi"/>
          <w:i/>
          <w:iCs/>
          <w:sz w:val="24"/>
          <w:szCs w:val="24"/>
        </w:rPr>
        <w:t xml:space="preserve">Human, Technologies and Quality </w:t>
      </w:r>
      <w:proofErr w:type="gramStart"/>
      <w:r w:rsidRPr="00BE5FDF">
        <w:rPr>
          <w:rFonts w:asciiTheme="majorBidi" w:eastAsia="Arial" w:hAnsiTheme="majorBidi" w:cstheme="majorBidi"/>
          <w:i/>
          <w:iCs/>
          <w:sz w:val="24"/>
          <w:szCs w:val="24"/>
        </w:rPr>
        <w:t>Of</w:t>
      </w:r>
      <w:proofErr w:type="gramEnd"/>
      <w:r w:rsidRPr="00BE5FDF">
        <w:rPr>
          <w:rFonts w:asciiTheme="majorBidi" w:eastAsia="Arial" w:hAnsiTheme="majorBidi" w:cstheme="majorBidi"/>
          <w:i/>
          <w:iCs/>
          <w:sz w:val="24"/>
          <w:szCs w:val="24"/>
        </w:rPr>
        <w:t xml:space="preserve"> Education.</w:t>
      </w:r>
      <w:r w:rsidRPr="00BE5FDF">
        <w:rPr>
          <w:rFonts w:asciiTheme="majorBidi" w:eastAsia="Arial" w:hAnsiTheme="majorBidi" w:cstheme="majorBidi"/>
          <w:sz w:val="24"/>
          <w:szCs w:val="24"/>
        </w:rPr>
        <w:t xml:space="preserve"> 937-952. </w:t>
      </w:r>
      <w:hyperlink r:id="rId27" w:history="1">
        <w:r w:rsidRPr="00BE5FDF">
          <w:rPr>
            <w:rStyle w:val="Hyperlink"/>
            <w:rFonts w:asciiTheme="majorBidi" w:eastAsia="Arial" w:hAnsiTheme="majorBidi" w:cstheme="majorBidi"/>
            <w:sz w:val="24"/>
            <w:szCs w:val="24"/>
          </w:rPr>
          <w:t>https://doi.org/10.22364/htqe.2021.74</w:t>
        </w:r>
      </w:hyperlink>
      <w:r w:rsidRPr="00BE5FDF">
        <w:rPr>
          <w:rFonts w:asciiTheme="majorBidi" w:eastAsia="Arial" w:hAnsiTheme="majorBidi" w:cstheme="majorBidi"/>
          <w:sz w:val="24"/>
          <w:szCs w:val="24"/>
        </w:rPr>
        <w:t xml:space="preserve">  </w:t>
      </w:r>
    </w:p>
    <w:p w14:paraId="6ECE44AD"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Chamberlain, L., &amp; Snyman, G. (2017). Lawyering protest - critique and creativity: Where to from here in the public interest legal sector? </w:t>
      </w:r>
      <w:r w:rsidRPr="00BE5FDF">
        <w:rPr>
          <w:rFonts w:asciiTheme="majorBidi" w:eastAsia="Arial" w:hAnsiTheme="majorBidi" w:cstheme="majorBidi"/>
          <w:i/>
          <w:iCs/>
          <w:sz w:val="24"/>
          <w:szCs w:val="24"/>
        </w:rPr>
        <w:t>South African Crime Quarterly</w:t>
      </w:r>
      <w:r w:rsidRPr="00BE5FDF">
        <w:rPr>
          <w:rFonts w:asciiTheme="majorBidi" w:eastAsia="Arial" w:hAnsiTheme="majorBidi" w:cstheme="majorBidi"/>
          <w:sz w:val="24"/>
          <w:szCs w:val="24"/>
        </w:rPr>
        <w:t xml:space="preserve">. </w:t>
      </w:r>
      <w:r w:rsidRPr="00BE5FDF">
        <w:rPr>
          <w:rFonts w:asciiTheme="majorBidi" w:eastAsia="Arial" w:hAnsiTheme="majorBidi" w:cstheme="majorBidi"/>
          <w:i/>
          <w:iCs/>
          <w:sz w:val="24"/>
          <w:szCs w:val="24"/>
        </w:rPr>
        <w:t>62</w:t>
      </w:r>
      <w:r w:rsidRPr="00BE5FDF">
        <w:rPr>
          <w:rFonts w:asciiTheme="majorBidi" w:eastAsia="Arial" w:hAnsiTheme="majorBidi" w:cstheme="majorBidi"/>
          <w:sz w:val="24"/>
          <w:szCs w:val="24"/>
        </w:rPr>
        <w:t xml:space="preserve">, 7-20. </w:t>
      </w:r>
      <w:hyperlink r:id="rId28" w:history="1">
        <w:r w:rsidRPr="00BE5FDF">
          <w:rPr>
            <w:rStyle w:val="Hyperlink"/>
            <w:rFonts w:asciiTheme="majorBidi" w:eastAsia="Arial" w:hAnsiTheme="majorBidi" w:cstheme="majorBidi"/>
            <w:sz w:val="24"/>
            <w:szCs w:val="24"/>
          </w:rPr>
          <w:t>https://doi.org/10.17159/2413-3108/2017/v0n62a3059</w:t>
        </w:r>
      </w:hyperlink>
      <w:r w:rsidRPr="00BE5FDF">
        <w:rPr>
          <w:rFonts w:asciiTheme="majorBidi" w:eastAsia="Arial" w:hAnsiTheme="majorBidi" w:cstheme="majorBidi"/>
          <w:sz w:val="24"/>
          <w:szCs w:val="24"/>
        </w:rPr>
        <w:t xml:space="preserve">  </w:t>
      </w:r>
    </w:p>
    <w:p w14:paraId="7A2DA4A5"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Christoph Steinhardt, H., &amp; Wu, F. (2016). In the name of the public: Environmental protest and the changing landscape of popular contention in China. </w:t>
      </w:r>
      <w:r w:rsidRPr="00BE5FDF">
        <w:rPr>
          <w:rFonts w:asciiTheme="majorBidi" w:eastAsia="Arial" w:hAnsiTheme="majorBidi" w:cstheme="majorBidi"/>
          <w:i/>
          <w:iCs/>
          <w:sz w:val="24"/>
          <w:szCs w:val="24"/>
        </w:rPr>
        <w:t>China Journal. 75</w:t>
      </w:r>
      <w:r w:rsidRPr="00BE5FDF">
        <w:rPr>
          <w:rFonts w:asciiTheme="majorBidi" w:eastAsia="Arial" w:hAnsiTheme="majorBidi" w:cstheme="majorBidi"/>
          <w:sz w:val="24"/>
          <w:szCs w:val="24"/>
        </w:rPr>
        <w:t xml:space="preserve">(1), 61-82. </w:t>
      </w:r>
      <w:hyperlink r:id="rId29" w:history="1">
        <w:r w:rsidRPr="00BE5FDF">
          <w:rPr>
            <w:rStyle w:val="Hyperlink"/>
            <w:rFonts w:asciiTheme="majorBidi" w:eastAsia="Arial" w:hAnsiTheme="majorBidi" w:cstheme="majorBidi"/>
            <w:sz w:val="24"/>
            <w:szCs w:val="24"/>
          </w:rPr>
          <w:t>https://doi.org/10.1086/684010</w:t>
        </w:r>
      </w:hyperlink>
      <w:r w:rsidRPr="00BE5FDF">
        <w:rPr>
          <w:rFonts w:asciiTheme="majorBidi" w:eastAsia="Arial" w:hAnsiTheme="majorBidi" w:cstheme="majorBidi"/>
          <w:sz w:val="24"/>
          <w:szCs w:val="24"/>
        </w:rPr>
        <w:t xml:space="preserve">  </w:t>
      </w:r>
    </w:p>
    <w:p w14:paraId="44123B43"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Dabbour</w:t>
      </w:r>
      <w:proofErr w:type="spellEnd"/>
      <w:r w:rsidRPr="00BE5FDF">
        <w:rPr>
          <w:rFonts w:asciiTheme="majorBidi" w:eastAsia="Arial" w:hAnsiTheme="majorBidi" w:cstheme="majorBidi"/>
          <w:sz w:val="24"/>
          <w:szCs w:val="24"/>
        </w:rPr>
        <w:t xml:space="preserve">, K. (2017). The Linguistic Landscape of Tahrir Square Protest Signs and Egyptian National Identity. </w:t>
      </w:r>
      <w:r w:rsidRPr="00BE5FDF">
        <w:rPr>
          <w:rFonts w:asciiTheme="majorBidi" w:eastAsia="Arial" w:hAnsiTheme="majorBidi" w:cstheme="majorBidi"/>
          <w:i/>
          <w:iCs/>
          <w:sz w:val="24"/>
          <w:szCs w:val="24"/>
        </w:rPr>
        <w:t>Studies in Linguistics and Literature. 1</w:t>
      </w:r>
      <w:r w:rsidRPr="00BE5FDF">
        <w:rPr>
          <w:rFonts w:asciiTheme="majorBidi" w:eastAsia="Arial" w:hAnsiTheme="majorBidi" w:cstheme="majorBidi"/>
          <w:sz w:val="24"/>
          <w:szCs w:val="24"/>
        </w:rPr>
        <w:t xml:space="preserve">(2), 142-161. </w:t>
      </w:r>
      <w:hyperlink r:id="rId30" w:history="1">
        <w:r w:rsidRPr="00BE5FDF">
          <w:rPr>
            <w:rStyle w:val="Hyperlink"/>
            <w:rFonts w:asciiTheme="majorBidi" w:eastAsia="Arial" w:hAnsiTheme="majorBidi" w:cstheme="majorBidi"/>
            <w:sz w:val="24"/>
            <w:szCs w:val="24"/>
          </w:rPr>
          <w:t>https://doi.org/10.22158/sll.v1n2p142</w:t>
        </w:r>
      </w:hyperlink>
      <w:r w:rsidRPr="00BE5FDF">
        <w:rPr>
          <w:rFonts w:asciiTheme="majorBidi" w:eastAsia="Arial" w:hAnsiTheme="majorBidi" w:cstheme="majorBidi"/>
          <w:sz w:val="24"/>
          <w:szCs w:val="24"/>
        </w:rPr>
        <w:t xml:space="preserve">  </w:t>
      </w:r>
    </w:p>
    <w:p w14:paraId="0A7853C8"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Dal Negro, S. (2009). Local Policy Modeling the Linguistic Landscape. In Linguistic Landscape. </w:t>
      </w:r>
      <w:r w:rsidRPr="00BE5FDF">
        <w:rPr>
          <w:rFonts w:asciiTheme="majorBidi" w:eastAsia="Arial" w:hAnsiTheme="majorBidi" w:cstheme="majorBidi"/>
          <w:i/>
          <w:iCs/>
          <w:sz w:val="24"/>
          <w:szCs w:val="24"/>
        </w:rPr>
        <w:t>Expanding the Scenery.</w:t>
      </w:r>
      <w:r w:rsidRPr="00BE5FDF">
        <w:rPr>
          <w:rFonts w:asciiTheme="majorBidi" w:eastAsia="Arial" w:hAnsiTheme="majorBidi" w:cstheme="majorBidi"/>
          <w:sz w:val="24"/>
          <w:szCs w:val="24"/>
        </w:rPr>
        <w:t xml:space="preserve"> 206-218. </w:t>
      </w:r>
      <w:hyperlink r:id="rId31" w:history="1">
        <w:r w:rsidRPr="00BE5FDF">
          <w:rPr>
            <w:rStyle w:val="Hyperlink"/>
            <w:rFonts w:asciiTheme="majorBidi" w:eastAsia="Arial" w:hAnsiTheme="majorBidi" w:cstheme="majorBidi"/>
            <w:sz w:val="24"/>
            <w:szCs w:val="24"/>
          </w:rPr>
          <w:t>https://www.taylorfrancis.com/chapters/edit/10.4324/9780203930960-21/local-policy-modeling-linguistic-landscape-silvia-dal-negro</w:t>
        </w:r>
      </w:hyperlink>
      <w:r w:rsidRPr="00BE5FDF">
        <w:rPr>
          <w:rFonts w:asciiTheme="majorBidi" w:eastAsia="Arial" w:hAnsiTheme="majorBidi" w:cstheme="majorBidi"/>
          <w:sz w:val="24"/>
          <w:szCs w:val="24"/>
        </w:rPr>
        <w:t xml:space="preserve">  </w:t>
      </w:r>
    </w:p>
    <w:p w14:paraId="4532DC59"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lastRenderedPageBreak/>
        <w:t>Dalimunte</w:t>
      </w:r>
      <w:proofErr w:type="spellEnd"/>
      <w:r w:rsidRPr="00BE5FDF">
        <w:rPr>
          <w:rFonts w:asciiTheme="majorBidi" w:eastAsia="Arial" w:hAnsiTheme="majorBidi" w:cstheme="majorBidi"/>
          <w:sz w:val="24"/>
          <w:szCs w:val="24"/>
        </w:rPr>
        <w:t xml:space="preserve">, A. A. (2017). </w:t>
      </w:r>
      <w:proofErr w:type="spellStart"/>
      <w:r w:rsidRPr="00BE5FDF">
        <w:rPr>
          <w:rFonts w:asciiTheme="majorBidi" w:eastAsia="Arial" w:hAnsiTheme="majorBidi" w:cstheme="majorBidi"/>
          <w:sz w:val="24"/>
          <w:szCs w:val="24"/>
        </w:rPr>
        <w:t>Implementasi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Kebijakan</w:t>
      </w:r>
      <w:proofErr w:type="spellEnd"/>
      <w:r w:rsidRPr="00BE5FDF">
        <w:rPr>
          <w:rFonts w:asciiTheme="majorBidi" w:eastAsia="Arial" w:hAnsiTheme="majorBidi" w:cstheme="majorBidi"/>
          <w:sz w:val="24"/>
          <w:szCs w:val="24"/>
        </w:rPr>
        <w:t xml:space="preserve"> Bahasa dan </w:t>
      </w:r>
      <w:proofErr w:type="spellStart"/>
      <w:r w:rsidRPr="00BE5FDF">
        <w:rPr>
          <w:rFonts w:asciiTheme="majorBidi" w:eastAsia="Arial" w:hAnsiTheme="majorBidi" w:cstheme="majorBidi"/>
          <w:sz w:val="24"/>
          <w:szCs w:val="24"/>
        </w:rPr>
        <w:t>Implikasinya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dalam</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Penguatan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Identitas</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Integritas</w:t>
      </w:r>
      <w:proofErr w:type="spellEnd"/>
      <w:r w:rsidRPr="00BE5FDF">
        <w:rPr>
          <w:rFonts w:asciiTheme="majorBidi" w:eastAsia="Arial" w:hAnsiTheme="majorBidi" w:cstheme="majorBidi"/>
          <w:sz w:val="24"/>
          <w:szCs w:val="24"/>
        </w:rPr>
        <w:t xml:space="preserve">, dan </w:t>
      </w:r>
      <w:proofErr w:type="spellStart"/>
      <w:r w:rsidRPr="00BE5FDF">
        <w:rPr>
          <w:rFonts w:asciiTheme="majorBidi" w:eastAsia="Arial" w:hAnsiTheme="majorBidi" w:cstheme="majorBidi"/>
          <w:sz w:val="24"/>
          <w:szCs w:val="24"/>
        </w:rPr>
        <w:t>Pluralitas</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Bangsa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i/>
          <w:iCs/>
          <w:sz w:val="24"/>
          <w:szCs w:val="24"/>
        </w:rPr>
        <w:t>Jurnal</w:t>
      </w:r>
      <w:proofErr w:type="spellEnd"/>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Humaniora</w:t>
      </w:r>
      <w:proofErr w:type="spellEnd"/>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Teknologi</w:t>
      </w:r>
      <w:proofErr w:type="spellEnd"/>
      <w:r w:rsidRPr="00BE5FDF">
        <w:rPr>
          <w:rFonts w:asciiTheme="majorBidi" w:eastAsia="Arial" w:hAnsiTheme="majorBidi" w:cstheme="majorBidi"/>
          <w:i/>
          <w:iCs/>
          <w:sz w:val="24"/>
          <w:szCs w:val="24"/>
        </w:rPr>
        <w:t>. 2</w:t>
      </w:r>
      <w:r w:rsidRPr="00BE5FDF">
        <w:rPr>
          <w:rFonts w:asciiTheme="majorBidi" w:eastAsia="Arial" w:hAnsiTheme="majorBidi" w:cstheme="majorBidi"/>
          <w:sz w:val="24"/>
          <w:szCs w:val="24"/>
        </w:rPr>
        <w:t xml:space="preserve">(1). </w:t>
      </w:r>
      <w:hyperlink r:id="rId32" w:history="1">
        <w:r w:rsidRPr="00BE5FDF">
          <w:rPr>
            <w:rStyle w:val="Hyperlink"/>
            <w:rFonts w:asciiTheme="majorBidi" w:eastAsia="Arial" w:hAnsiTheme="majorBidi" w:cstheme="majorBidi"/>
            <w:sz w:val="24"/>
            <w:szCs w:val="24"/>
          </w:rPr>
          <w:t>https://doi.org/10.34128/jht.v2i1.3</w:t>
        </w:r>
      </w:hyperlink>
      <w:r w:rsidRPr="00BE5FDF">
        <w:rPr>
          <w:rFonts w:asciiTheme="majorBidi" w:eastAsia="Arial" w:hAnsiTheme="majorBidi" w:cstheme="majorBidi"/>
          <w:sz w:val="24"/>
          <w:szCs w:val="24"/>
        </w:rPr>
        <w:t xml:space="preserve">  </w:t>
      </w:r>
    </w:p>
    <w:p w14:paraId="4B3C211E"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Dube, T. (2020). Language, Resistance and Multilingualism in Post-Colonial Zimbabwe: The Kalanga and their Struggle for Recognition. </w:t>
      </w:r>
      <w:r w:rsidRPr="00BE5FDF">
        <w:rPr>
          <w:rFonts w:asciiTheme="majorBidi" w:eastAsia="Arial" w:hAnsiTheme="majorBidi" w:cstheme="majorBidi"/>
          <w:i/>
          <w:iCs/>
          <w:sz w:val="24"/>
          <w:szCs w:val="24"/>
        </w:rPr>
        <w:t>Journal of Southern African Studies. 46</w:t>
      </w:r>
      <w:r w:rsidRPr="00BE5FDF">
        <w:rPr>
          <w:rFonts w:asciiTheme="majorBidi" w:eastAsia="Arial" w:hAnsiTheme="majorBidi" w:cstheme="majorBidi"/>
          <w:sz w:val="24"/>
          <w:szCs w:val="24"/>
        </w:rPr>
        <w:t xml:space="preserve">(6), 1183-1201. </w:t>
      </w:r>
      <w:hyperlink r:id="rId33" w:history="1">
        <w:r w:rsidRPr="00BE5FDF">
          <w:rPr>
            <w:rStyle w:val="Hyperlink"/>
            <w:rFonts w:asciiTheme="majorBidi" w:eastAsia="Arial" w:hAnsiTheme="majorBidi" w:cstheme="majorBidi"/>
            <w:sz w:val="24"/>
            <w:szCs w:val="24"/>
          </w:rPr>
          <w:t>https://doi.org/10.1080/03057070.2020.1834238</w:t>
        </w:r>
      </w:hyperlink>
      <w:r w:rsidRPr="00BE5FDF">
        <w:rPr>
          <w:rFonts w:asciiTheme="majorBidi" w:eastAsia="Arial" w:hAnsiTheme="majorBidi" w:cstheme="majorBidi"/>
          <w:sz w:val="24"/>
          <w:szCs w:val="24"/>
        </w:rPr>
        <w:t xml:space="preserve"> </w:t>
      </w:r>
    </w:p>
    <w:p w14:paraId="5CCF4D1F"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Ebrahimi, M., &amp; Taheri, A. (2017). The Tragedy in the Story of Rostam and Sohrab in Ferdowsi’s Shahnameh. </w:t>
      </w:r>
      <w:r w:rsidRPr="00BE5FDF">
        <w:rPr>
          <w:rFonts w:asciiTheme="majorBidi" w:eastAsia="Arial" w:hAnsiTheme="majorBidi" w:cstheme="majorBidi"/>
          <w:i/>
          <w:iCs/>
          <w:sz w:val="24"/>
          <w:szCs w:val="24"/>
        </w:rPr>
        <w:t>Journal of History Culture and Art Research, 6</w:t>
      </w:r>
      <w:r w:rsidRPr="00BE5FDF">
        <w:rPr>
          <w:rFonts w:asciiTheme="majorBidi" w:eastAsia="Arial" w:hAnsiTheme="majorBidi" w:cstheme="majorBidi"/>
          <w:sz w:val="24"/>
          <w:szCs w:val="24"/>
        </w:rPr>
        <w:t xml:space="preserve">(1), 96-105. </w:t>
      </w:r>
      <w:hyperlink r:id="rId34" w:history="1">
        <w:r w:rsidRPr="00BE5FDF">
          <w:rPr>
            <w:rStyle w:val="Hyperlink"/>
            <w:rFonts w:asciiTheme="majorBidi" w:eastAsia="Arial" w:hAnsiTheme="majorBidi" w:cstheme="majorBidi"/>
            <w:sz w:val="24"/>
            <w:szCs w:val="24"/>
          </w:rPr>
          <w:t>http://kutaksam.karabuk.edu.tr/index.php/ilk/article/view/707</w:t>
        </w:r>
      </w:hyperlink>
      <w:r w:rsidRPr="00BE5FDF">
        <w:rPr>
          <w:rFonts w:asciiTheme="majorBidi" w:eastAsia="Arial" w:hAnsiTheme="majorBidi" w:cstheme="majorBidi"/>
          <w:sz w:val="24"/>
          <w:szCs w:val="24"/>
        </w:rPr>
        <w:t xml:space="preserve">  </w:t>
      </w:r>
    </w:p>
    <w:p w14:paraId="17CE7435"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Eduard Lukman. (2022).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Kanjuruhan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Kompas.Id</w:t>
      </w:r>
      <w:proofErr w:type="spellEnd"/>
      <w:r w:rsidRPr="00BE5FDF">
        <w:rPr>
          <w:rFonts w:asciiTheme="majorBidi" w:eastAsia="Arial" w:hAnsiTheme="majorBidi" w:cstheme="majorBidi"/>
          <w:sz w:val="24"/>
          <w:szCs w:val="24"/>
        </w:rPr>
        <w:t xml:space="preserve">. </w:t>
      </w:r>
      <w:hyperlink r:id="rId35" w:history="1">
        <w:r w:rsidRPr="00BE5FDF">
          <w:rPr>
            <w:rStyle w:val="Hyperlink"/>
            <w:rFonts w:asciiTheme="majorBidi" w:eastAsia="Arial" w:hAnsiTheme="majorBidi" w:cstheme="majorBidi"/>
            <w:sz w:val="24"/>
            <w:szCs w:val="24"/>
          </w:rPr>
          <w:t>https://www.kompas.id/baca/opini/2022/10/12/tragedi-kanjuruhan-2</w:t>
        </w:r>
      </w:hyperlink>
      <w:r w:rsidRPr="00BE5FDF">
        <w:rPr>
          <w:rFonts w:asciiTheme="majorBidi" w:eastAsia="Arial" w:hAnsiTheme="majorBidi" w:cstheme="majorBidi"/>
          <w:sz w:val="24"/>
          <w:szCs w:val="24"/>
        </w:rPr>
        <w:t xml:space="preserve">  </w:t>
      </w:r>
    </w:p>
    <w:p w14:paraId="664CD5D7"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Edwin Shri </w:t>
      </w:r>
      <w:proofErr w:type="spellStart"/>
      <w:r w:rsidRPr="00BE5FDF">
        <w:rPr>
          <w:rFonts w:asciiTheme="majorBidi" w:eastAsia="Arial" w:hAnsiTheme="majorBidi" w:cstheme="majorBidi"/>
          <w:sz w:val="24"/>
          <w:szCs w:val="24"/>
        </w:rPr>
        <w:t>Bimo</w:t>
      </w:r>
      <w:proofErr w:type="spellEnd"/>
      <w:r w:rsidRPr="00BE5FDF">
        <w:rPr>
          <w:rFonts w:asciiTheme="majorBidi" w:eastAsia="Arial" w:hAnsiTheme="majorBidi" w:cstheme="majorBidi"/>
          <w:sz w:val="24"/>
          <w:szCs w:val="24"/>
        </w:rPr>
        <w:t xml:space="preserve">. (2022). Kini Indonesia Salah Satu </w:t>
      </w:r>
      <w:proofErr w:type="spellStart"/>
      <w:r w:rsidRPr="00BE5FDF">
        <w:rPr>
          <w:rFonts w:asciiTheme="majorBidi" w:eastAsia="Arial" w:hAnsiTheme="majorBidi" w:cstheme="majorBidi"/>
          <w:sz w:val="24"/>
          <w:szCs w:val="24"/>
        </w:rPr>
        <w:t>Peringkat</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Teratas</w:t>
      </w:r>
      <w:proofErr w:type="spellEnd"/>
      <w:r w:rsidRPr="00BE5FDF">
        <w:rPr>
          <w:rFonts w:asciiTheme="majorBidi" w:eastAsia="Arial" w:hAnsiTheme="majorBidi" w:cstheme="majorBidi"/>
          <w:sz w:val="24"/>
          <w:szCs w:val="24"/>
        </w:rPr>
        <w:t xml:space="preserve"> Korban </w:t>
      </w:r>
      <w:proofErr w:type="spellStart"/>
      <w:r w:rsidRPr="00BE5FDF">
        <w:rPr>
          <w:rFonts w:asciiTheme="majorBidi" w:eastAsia="Arial" w:hAnsiTheme="majorBidi" w:cstheme="majorBidi"/>
          <w:sz w:val="24"/>
          <w:szCs w:val="24"/>
        </w:rPr>
        <w:t>Tewas</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Sepak</w:t>
      </w:r>
      <w:proofErr w:type="spellEnd"/>
      <w:r w:rsidRPr="00BE5FDF">
        <w:rPr>
          <w:rFonts w:asciiTheme="majorBidi" w:eastAsia="Arial" w:hAnsiTheme="majorBidi" w:cstheme="majorBidi"/>
          <w:sz w:val="24"/>
          <w:szCs w:val="24"/>
        </w:rPr>
        <w:t xml:space="preserve"> Bola Dunia, Ini </w:t>
      </w:r>
      <w:proofErr w:type="spellStart"/>
      <w:r w:rsidRPr="00BE5FDF">
        <w:rPr>
          <w:rFonts w:asciiTheme="majorBidi" w:eastAsia="Arial" w:hAnsiTheme="majorBidi" w:cstheme="majorBidi"/>
          <w:sz w:val="24"/>
          <w:szCs w:val="24"/>
        </w:rPr>
        <w:t>Daftarnya</w:t>
      </w:r>
      <w:proofErr w:type="spellEnd"/>
      <w:r w:rsidRPr="00BE5FDF">
        <w:rPr>
          <w:rFonts w:asciiTheme="majorBidi" w:eastAsia="Arial" w:hAnsiTheme="majorBidi" w:cstheme="majorBidi"/>
          <w:sz w:val="24"/>
          <w:szCs w:val="24"/>
        </w:rPr>
        <w:t xml:space="preserve">. KOMPAS TV. </w:t>
      </w:r>
      <w:hyperlink r:id="rId36" w:history="1">
        <w:r w:rsidRPr="00BE5FDF">
          <w:rPr>
            <w:rStyle w:val="Hyperlink"/>
            <w:rFonts w:asciiTheme="majorBidi" w:eastAsia="Arial" w:hAnsiTheme="majorBidi" w:cstheme="majorBidi"/>
            <w:sz w:val="24"/>
            <w:szCs w:val="24"/>
          </w:rPr>
          <w:t>https://www.kompas.tv/article/334089/kini-indonesia-salah-satu-peringkat-teratas-korban-tewas-tragedi-sepak-bola-dunia-ini-daftarnya</w:t>
        </w:r>
      </w:hyperlink>
      <w:r w:rsidRPr="00BE5FDF">
        <w:rPr>
          <w:rFonts w:asciiTheme="majorBidi" w:eastAsia="Arial" w:hAnsiTheme="majorBidi" w:cstheme="majorBidi"/>
          <w:sz w:val="24"/>
          <w:szCs w:val="24"/>
        </w:rPr>
        <w:t xml:space="preserve">  </w:t>
      </w:r>
    </w:p>
    <w:p w14:paraId="2CB488F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Eka </w:t>
      </w:r>
      <w:proofErr w:type="spellStart"/>
      <w:r w:rsidRPr="00BE5FDF">
        <w:rPr>
          <w:rFonts w:asciiTheme="majorBidi" w:eastAsia="Arial" w:hAnsiTheme="majorBidi" w:cstheme="majorBidi"/>
          <w:sz w:val="24"/>
          <w:szCs w:val="24"/>
        </w:rPr>
        <w:t>Yudha</w:t>
      </w:r>
      <w:proofErr w:type="spellEnd"/>
      <w:r w:rsidRPr="00BE5FDF">
        <w:rPr>
          <w:rFonts w:asciiTheme="majorBidi" w:eastAsia="Arial" w:hAnsiTheme="majorBidi" w:cstheme="majorBidi"/>
          <w:sz w:val="24"/>
          <w:szCs w:val="24"/>
        </w:rPr>
        <w:t xml:space="preserve"> Saputra. (2022). </w:t>
      </w:r>
      <w:proofErr w:type="spellStart"/>
      <w:r w:rsidRPr="00BE5FDF">
        <w:rPr>
          <w:rFonts w:asciiTheme="majorBidi" w:eastAsia="Arial" w:hAnsiTheme="majorBidi" w:cstheme="majorBidi"/>
          <w:sz w:val="24"/>
          <w:szCs w:val="24"/>
        </w:rPr>
        <w:t>Kronologi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Kanjuruhan</w:t>
      </w:r>
      <w:proofErr w:type="spellEnd"/>
      <w:r w:rsidRPr="00BE5FDF">
        <w:rPr>
          <w:rFonts w:asciiTheme="majorBidi" w:eastAsia="Arial" w:hAnsiTheme="majorBidi" w:cstheme="majorBidi"/>
          <w:sz w:val="24"/>
          <w:szCs w:val="24"/>
        </w:rPr>
        <w:t xml:space="preserve"> Malang yang </w:t>
      </w:r>
      <w:proofErr w:type="spellStart"/>
      <w:r w:rsidRPr="00BE5FDF">
        <w:rPr>
          <w:rFonts w:asciiTheme="majorBidi" w:eastAsia="Arial" w:hAnsiTheme="majorBidi" w:cstheme="majorBidi"/>
          <w:sz w:val="24"/>
          <w:szCs w:val="24"/>
        </w:rPr>
        <w:t>Dipaparkan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Kapolri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Tempo.Co</w:t>
      </w:r>
      <w:proofErr w:type="spellEnd"/>
      <w:r w:rsidRPr="00BE5FDF">
        <w:rPr>
          <w:rFonts w:asciiTheme="majorBidi" w:eastAsia="Arial" w:hAnsiTheme="majorBidi" w:cstheme="majorBidi"/>
          <w:sz w:val="24"/>
          <w:szCs w:val="24"/>
        </w:rPr>
        <w:t xml:space="preserve">. </w:t>
      </w:r>
      <w:hyperlink r:id="rId37" w:history="1">
        <w:r w:rsidRPr="00BE5FDF">
          <w:rPr>
            <w:rStyle w:val="Hyperlink"/>
            <w:rFonts w:asciiTheme="majorBidi" w:eastAsia="Arial" w:hAnsiTheme="majorBidi" w:cstheme="majorBidi"/>
            <w:sz w:val="24"/>
            <w:szCs w:val="24"/>
          </w:rPr>
          <w:t>https://nasional.tempo.co/read/1642553/kronologi-tragedi-kanjuruhan-malang-yang-dipaparkan-kapolri</w:t>
        </w:r>
      </w:hyperlink>
      <w:r w:rsidRPr="00BE5FDF">
        <w:rPr>
          <w:rFonts w:asciiTheme="majorBidi" w:eastAsia="Arial" w:hAnsiTheme="majorBidi" w:cstheme="majorBidi"/>
          <w:sz w:val="24"/>
          <w:szCs w:val="24"/>
        </w:rPr>
        <w:t xml:space="preserve">   </w:t>
      </w:r>
    </w:p>
    <w:p w14:paraId="24F79991"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Friedrich Nietzsche. (2015). </w:t>
      </w:r>
      <w:proofErr w:type="spellStart"/>
      <w:r w:rsidRPr="00BE5FDF">
        <w:rPr>
          <w:rFonts w:asciiTheme="majorBidi" w:eastAsia="Arial" w:hAnsiTheme="majorBidi" w:cstheme="majorBidi"/>
          <w:sz w:val="24"/>
          <w:szCs w:val="24"/>
        </w:rPr>
        <w:t>Lahirnya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Yogyakarta: Narasi. </w:t>
      </w:r>
      <w:hyperlink r:id="rId38" w:history="1">
        <w:r w:rsidRPr="00BE5FDF">
          <w:rPr>
            <w:rStyle w:val="Hyperlink"/>
            <w:rFonts w:asciiTheme="majorBidi" w:eastAsia="Arial" w:hAnsiTheme="majorBidi" w:cstheme="majorBidi"/>
            <w:sz w:val="24"/>
            <w:szCs w:val="24"/>
          </w:rPr>
          <w:t>https://opac.perpusnas.go.id/DetailOpac.aspx?id=945660</w:t>
        </w:r>
      </w:hyperlink>
      <w:r w:rsidRPr="00BE5FDF">
        <w:rPr>
          <w:rFonts w:asciiTheme="majorBidi" w:eastAsia="Arial" w:hAnsiTheme="majorBidi" w:cstheme="majorBidi"/>
          <w:sz w:val="24"/>
          <w:szCs w:val="24"/>
        </w:rPr>
        <w:t xml:space="preserve">  </w:t>
      </w:r>
    </w:p>
    <w:p w14:paraId="49CB12BD"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Habashi, J. (2008). Language of political socialization: Language of resistance. </w:t>
      </w:r>
      <w:r w:rsidRPr="00BE5FDF">
        <w:rPr>
          <w:rFonts w:asciiTheme="majorBidi" w:eastAsia="Arial" w:hAnsiTheme="majorBidi" w:cstheme="majorBidi"/>
          <w:i/>
          <w:iCs/>
          <w:sz w:val="24"/>
          <w:szCs w:val="24"/>
        </w:rPr>
        <w:t>Children’s Geographies. 6</w:t>
      </w:r>
      <w:r w:rsidRPr="00BE5FDF">
        <w:rPr>
          <w:rFonts w:asciiTheme="majorBidi" w:eastAsia="Arial" w:hAnsiTheme="majorBidi" w:cstheme="majorBidi"/>
          <w:sz w:val="24"/>
          <w:szCs w:val="24"/>
        </w:rPr>
        <w:t xml:space="preserve">(3), 269-280. </w:t>
      </w:r>
      <w:hyperlink r:id="rId39" w:history="1">
        <w:r w:rsidRPr="00BE5FDF">
          <w:rPr>
            <w:rStyle w:val="Hyperlink"/>
            <w:rFonts w:asciiTheme="majorBidi" w:eastAsia="Arial" w:hAnsiTheme="majorBidi" w:cstheme="majorBidi"/>
            <w:sz w:val="24"/>
            <w:szCs w:val="24"/>
          </w:rPr>
          <w:t>https://doi.org/10.1080/14733280802183999</w:t>
        </w:r>
      </w:hyperlink>
      <w:r w:rsidRPr="00BE5FDF">
        <w:rPr>
          <w:rFonts w:asciiTheme="majorBidi" w:eastAsia="Arial" w:hAnsiTheme="majorBidi" w:cstheme="majorBidi"/>
          <w:sz w:val="24"/>
          <w:szCs w:val="24"/>
        </w:rPr>
        <w:t xml:space="preserve">  </w:t>
      </w:r>
    </w:p>
    <w:p w14:paraId="0E9AA5F2"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Ikhwan, I. (2020). </w:t>
      </w:r>
      <w:proofErr w:type="spellStart"/>
      <w:r w:rsidRPr="00BE5FDF">
        <w:rPr>
          <w:rFonts w:asciiTheme="majorBidi" w:eastAsia="Arial" w:hAnsiTheme="majorBidi" w:cstheme="majorBidi"/>
          <w:sz w:val="24"/>
          <w:szCs w:val="24"/>
        </w:rPr>
        <w:t>Makna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dalam</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konteks</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kebudayaan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Suatu</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Tafsiran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Bebas</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Terhadap</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Pandangan</w:t>
      </w:r>
      <w:proofErr w:type="spellEnd"/>
      <w:r w:rsidRPr="00BE5FDF">
        <w:rPr>
          <w:rFonts w:asciiTheme="majorBidi" w:eastAsia="Arial" w:hAnsiTheme="majorBidi" w:cstheme="majorBidi"/>
          <w:sz w:val="24"/>
          <w:szCs w:val="24"/>
        </w:rPr>
        <w:t xml:space="preserve"> Friedrich Nietzsche). </w:t>
      </w:r>
      <w:proofErr w:type="spellStart"/>
      <w:r w:rsidRPr="00BE5FDF">
        <w:rPr>
          <w:rFonts w:asciiTheme="majorBidi" w:eastAsia="Arial" w:hAnsiTheme="majorBidi" w:cstheme="majorBidi"/>
          <w:i/>
          <w:iCs/>
          <w:sz w:val="24"/>
          <w:szCs w:val="24"/>
        </w:rPr>
        <w:t>Jurnal</w:t>
      </w:r>
      <w:proofErr w:type="spellEnd"/>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Adabiya</w:t>
      </w:r>
      <w:proofErr w:type="spellEnd"/>
      <w:r w:rsidRPr="00BE5FDF">
        <w:rPr>
          <w:rFonts w:asciiTheme="majorBidi" w:eastAsia="Arial" w:hAnsiTheme="majorBidi" w:cstheme="majorBidi"/>
          <w:i/>
          <w:iCs/>
          <w:sz w:val="24"/>
          <w:szCs w:val="24"/>
        </w:rPr>
        <w:t>. 22</w:t>
      </w:r>
      <w:r w:rsidRPr="00BE5FDF">
        <w:rPr>
          <w:rFonts w:asciiTheme="majorBidi" w:eastAsia="Arial" w:hAnsiTheme="majorBidi" w:cstheme="majorBidi"/>
          <w:sz w:val="24"/>
          <w:szCs w:val="24"/>
        </w:rPr>
        <w:t xml:space="preserve">(1), 120-104. </w:t>
      </w:r>
      <w:hyperlink r:id="rId40" w:history="1">
        <w:r w:rsidRPr="00BE5FDF">
          <w:rPr>
            <w:rStyle w:val="Hyperlink"/>
            <w:rFonts w:asciiTheme="majorBidi" w:eastAsia="Arial" w:hAnsiTheme="majorBidi" w:cstheme="majorBidi"/>
            <w:sz w:val="24"/>
            <w:szCs w:val="24"/>
          </w:rPr>
          <w:t>https://doi.org/10.22373/adabiya.v22i1.7464</w:t>
        </w:r>
      </w:hyperlink>
      <w:r w:rsidRPr="00BE5FDF">
        <w:rPr>
          <w:rFonts w:asciiTheme="majorBidi" w:eastAsia="Arial" w:hAnsiTheme="majorBidi" w:cstheme="majorBidi"/>
          <w:sz w:val="24"/>
          <w:szCs w:val="24"/>
        </w:rPr>
        <w:t xml:space="preserve">  </w:t>
      </w:r>
    </w:p>
    <w:p w14:paraId="5DDCDAC0"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Inya, B. T. (2019). Linguistic landscape of religious signboards in ado </w:t>
      </w:r>
      <w:proofErr w:type="spellStart"/>
      <w:r w:rsidRPr="00BE5FDF">
        <w:rPr>
          <w:rFonts w:asciiTheme="majorBidi" w:eastAsia="Arial" w:hAnsiTheme="majorBidi" w:cstheme="majorBidi"/>
          <w:sz w:val="24"/>
          <w:szCs w:val="24"/>
        </w:rPr>
        <w:t>ekiti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nigeria</w:t>
      </w:r>
      <w:proofErr w:type="spellEnd"/>
      <w:r w:rsidRPr="00BE5FDF">
        <w:rPr>
          <w:rFonts w:asciiTheme="majorBidi" w:eastAsia="Arial" w:hAnsiTheme="majorBidi" w:cstheme="majorBidi"/>
          <w:sz w:val="24"/>
          <w:szCs w:val="24"/>
        </w:rPr>
        <w:t xml:space="preserve">: Culture, identity and </w:t>
      </w:r>
      <w:proofErr w:type="spellStart"/>
      <w:r w:rsidRPr="00BE5FDF">
        <w:rPr>
          <w:rFonts w:asciiTheme="majorBidi" w:eastAsia="Arial" w:hAnsiTheme="majorBidi" w:cstheme="majorBidi"/>
          <w:sz w:val="24"/>
          <w:szCs w:val="24"/>
        </w:rPr>
        <w:t>globalisation</w:t>
      </w:r>
      <w:proofErr w:type="spellEnd"/>
      <w:r w:rsidRPr="00BE5FDF">
        <w:rPr>
          <w:rFonts w:asciiTheme="majorBidi" w:eastAsia="Arial" w:hAnsiTheme="majorBidi" w:cstheme="majorBidi"/>
          <w:sz w:val="24"/>
          <w:szCs w:val="24"/>
        </w:rPr>
        <w:t xml:space="preserve">. </w:t>
      </w:r>
      <w:r w:rsidRPr="00BE5FDF">
        <w:rPr>
          <w:rFonts w:asciiTheme="majorBidi" w:eastAsia="Arial" w:hAnsiTheme="majorBidi" w:cstheme="majorBidi"/>
          <w:i/>
          <w:iCs/>
          <w:sz w:val="24"/>
          <w:szCs w:val="24"/>
        </w:rPr>
        <w:t>Theory and Practice in Language Studies. 9</w:t>
      </w:r>
      <w:r w:rsidRPr="00BE5FDF">
        <w:rPr>
          <w:rFonts w:asciiTheme="majorBidi" w:eastAsia="Arial" w:hAnsiTheme="majorBidi" w:cstheme="majorBidi"/>
          <w:sz w:val="24"/>
          <w:szCs w:val="24"/>
        </w:rPr>
        <w:t xml:space="preserve">(9), 1146-1159. </w:t>
      </w:r>
      <w:hyperlink r:id="rId41" w:history="1">
        <w:r w:rsidRPr="00BE5FDF">
          <w:rPr>
            <w:rStyle w:val="Hyperlink"/>
            <w:rFonts w:asciiTheme="majorBidi" w:eastAsia="Arial" w:hAnsiTheme="majorBidi" w:cstheme="majorBidi"/>
            <w:sz w:val="24"/>
            <w:szCs w:val="24"/>
          </w:rPr>
          <w:t>https://doi.org/10.17507/tpls.0909.11</w:t>
        </w:r>
      </w:hyperlink>
      <w:r w:rsidRPr="00BE5FDF">
        <w:rPr>
          <w:rFonts w:asciiTheme="majorBidi" w:eastAsia="Arial" w:hAnsiTheme="majorBidi" w:cstheme="majorBidi"/>
          <w:sz w:val="24"/>
          <w:szCs w:val="24"/>
        </w:rPr>
        <w:t xml:space="preserve">  </w:t>
      </w:r>
    </w:p>
    <w:p w14:paraId="7CC0ED89"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Kasanga, L. A. (2014). The linguistic landscape: Mobile signs, code choice, symbolic meaning and territoriality in the discourse of protest. </w:t>
      </w:r>
      <w:r w:rsidRPr="00BE5FDF">
        <w:rPr>
          <w:rFonts w:asciiTheme="majorBidi" w:eastAsia="Arial" w:hAnsiTheme="majorBidi" w:cstheme="majorBidi"/>
          <w:i/>
          <w:iCs/>
          <w:sz w:val="24"/>
          <w:szCs w:val="24"/>
        </w:rPr>
        <w:t>International Journal of the Sociology of Language.</w:t>
      </w:r>
      <w:r w:rsidRPr="00BE5FDF">
        <w:rPr>
          <w:rFonts w:asciiTheme="majorBidi" w:eastAsia="Arial" w:hAnsiTheme="majorBidi" w:cstheme="majorBidi"/>
          <w:sz w:val="24"/>
          <w:szCs w:val="24"/>
        </w:rPr>
        <w:t xml:space="preserve"> (230), 19-44. </w:t>
      </w:r>
      <w:hyperlink r:id="rId42" w:history="1">
        <w:r w:rsidRPr="00BE5FDF">
          <w:rPr>
            <w:rStyle w:val="Hyperlink"/>
            <w:rFonts w:asciiTheme="majorBidi" w:eastAsia="Arial" w:hAnsiTheme="majorBidi" w:cstheme="majorBidi"/>
            <w:sz w:val="24"/>
            <w:szCs w:val="24"/>
          </w:rPr>
          <w:t>https://doi.org/10.1515/ijsl-2014-0025</w:t>
        </w:r>
      </w:hyperlink>
      <w:r w:rsidRPr="00BE5FDF">
        <w:rPr>
          <w:rFonts w:asciiTheme="majorBidi" w:eastAsia="Arial" w:hAnsiTheme="majorBidi" w:cstheme="majorBidi"/>
          <w:sz w:val="24"/>
          <w:szCs w:val="24"/>
        </w:rPr>
        <w:t xml:space="preserve">  </w:t>
      </w:r>
    </w:p>
    <w:p w14:paraId="10658F4B"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Komnas</w:t>
      </w:r>
      <w:proofErr w:type="spellEnd"/>
      <w:r w:rsidRPr="00BE5FDF">
        <w:rPr>
          <w:rFonts w:asciiTheme="majorBidi" w:eastAsia="Arial" w:hAnsiTheme="majorBidi" w:cstheme="majorBidi"/>
          <w:sz w:val="24"/>
          <w:szCs w:val="24"/>
        </w:rPr>
        <w:t xml:space="preserve"> HAM. (2022).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Kanjuruhan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Komnas</w:t>
      </w:r>
      <w:proofErr w:type="spellEnd"/>
      <w:r w:rsidRPr="00BE5FDF">
        <w:rPr>
          <w:rFonts w:asciiTheme="majorBidi" w:eastAsia="Arial" w:hAnsiTheme="majorBidi" w:cstheme="majorBidi"/>
          <w:sz w:val="24"/>
          <w:szCs w:val="24"/>
        </w:rPr>
        <w:t xml:space="preserve"> HAM </w:t>
      </w:r>
      <w:proofErr w:type="spellStart"/>
      <w:r w:rsidRPr="00BE5FDF">
        <w:rPr>
          <w:rFonts w:asciiTheme="majorBidi" w:eastAsia="Arial" w:hAnsiTheme="majorBidi" w:cstheme="majorBidi"/>
          <w:sz w:val="24"/>
          <w:szCs w:val="24"/>
        </w:rPr>
        <w:t>temukan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pelanggaran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pidana</w:t>
      </w:r>
      <w:proofErr w:type="spellEnd"/>
      <w:r w:rsidRPr="00BE5FDF">
        <w:rPr>
          <w:rFonts w:asciiTheme="majorBidi" w:eastAsia="Arial" w:hAnsiTheme="majorBidi" w:cstheme="majorBidi"/>
          <w:sz w:val="24"/>
          <w:szCs w:val="24"/>
        </w:rPr>
        <w:t xml:space="preserve">” - “Harus </w:t>
      </w:r>
      <w:proofErr w:type="spellStart"/>
      <w:r w:rsidRPr="00BE5FDF">
        <w:rPr>
          <w:rFonts w:asciiTheme="majorBidi" w:eastAsia="Arial" w:hAnsiTheme="majorBidi" w:cstheme="majorBidi"/>
          <w:sz w:val="24"/>
          <w:szCs w:val="24"/>
        </w:rPr>
        <w:t>ada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pertanggungjawaban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hukum</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terhadap</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meninggalnya</w:t>
      </w:r>
      <w:proofErr w:type="spellEnd"/>
      <w:r w:rsidRPr="00BE5FDF">
        <w:rPr>
          <w:rFonts w:asciiTheme="majorBidi" w:eastAsia="Arial" w:hAnsiTheme="majorBidi" w:cstheme="majorBidi"/>
          <w:sz w:val="24"/>
          <w:szCs w:val="24"/>
        </w:rPr>
        <w:t xml:space="preserve"> 135 orang.” Bbc.Com. </w:t>
      </w:r>
      <w:hyperlink r:id="rId43" w:history="1">
        <w:r w:rsidRPr="00BE5FDF">
          <w:rPr>
            <w:rStyle w:val="Hyperlink"/>
            <w:rFonts w:asciiTheme="majorBidi" w:eastAsia="Arial" w:hAnsiTheme="majorBidi" w:cstheme="majorBidi"/>
            <w:sz w:val="24"/>
            <w:szCs w:val="24"/>
          </w:rPr>
          <w:t>https://www.bbc.com/indonesia/articles/c98w3yyd3pdo</w:t>
        </w:r>
      </w:hyperlink>
      <w:r w:rsidRPr="00BE5FDF">
        <w:rPr>
          <w:rFonts w:asciiTheme="majorBidi" w:eastAsia="Arial" w:hAnsiTheme="majorBidi" w:cstheme="majorBidi"/>
          <w:sz w:val="24"/>
          <w:szCs w:val="24"/>
        </w:rPr>
        <w:t xml:space="preserve">  </w:t>
      </w:r>
    </w:p>
    <w:p w14:paraId="2336E0B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Ku, E. K. (2020). Waiting for my red envelope: discourses of sameness in the linguistic landscape of a marriage equality demonstration in Taiwan. </w:t>
      </w:r>
      <w:r w:rsidRPr="00BE5FDF">
        <w:rPr>
          <w:rFonts w:asciiTheme="majorBidi" w:eastAsia="Arial" w:hAnsiTheme="majorBidi" w:cstheme="majorBidi"/>
          <w:i/>
          <w:iCs/>
          <w:sz w:val="24"/>
          <w:szCs w:val="24"/>
        </w:rPr>
        <w:t>Critical Discourse Studies. 17</w:t>
      </w:r>
      <w:r w:rsidRPr="00BE5FDF">
        <w:rPr>
          <w:rFonts w:asciiTheme="majorBidi" w:eastAsia="Arial" w:hAnsiTheme="majorBidi" w:cstheme="majorBidi"/>
          <w:sz w:val="24"/>
          <w:szCs w:val="24"/>
        </w:rPr>
        <w:t xml:space="preserve">(2), 156-174. </w:t>
      </w:r>
      <w:hyperlink r:id="rId44" w:history="1">
        <w:r w:rsidRPr="00BE5FDF">
          <w:rPr>
            <w:rStyle w:val="Hyperlink"/>
            <w:rFonts w:asciiTheme="majorBidi" w:eastAsia="Arial" w:hAnsiTheme="majorBidi" w:cstheme="majorBidi"/>
            <w:sz w:val="24"/>
            <w:szCs w:val="24"/>
          </w:rPr>
          <w:t>https://doi.org/10.1080/17405904.2019.1656655</w:t>
        </w:r>
      </w:hyperlink>
      <w:r w:rsidRPr="00BE5FDF">
        <w:rPr>
          <w:rFonts w:asciiTheme="majorBidi" w:eastAsia="Arial" w:hAnsiTheme="majorBidi" w:cstheme="majorBidi"/>
          <w:sz w:val="24"/>
          <w:szCs w:val="24"/>
        </w:rPr>
        <w:t xml:space="preserve">  </w:t>
      </w:r>
    </w:p>
    <w:p w14:paraId="0B58070E"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lastRenderedPageBreak/>
        <w:t xml:space="preserve">Kull, C. A. (2002). Madagascar aflame: Landscape burning as peasant protest, resistance, or a resource management tool? </w:t>
      </w:r>
      <w:r w:rsidRPr="00BE5FDF">
        <w:rPr>
          <w:rFonts w:asciiTheme="majorBidi" w:eastAsia="Arial" w:hAnsiTheme="majorBidi" w:cstheme="majorBidi"/>
          <w:i/>
          <w:iCs/>
          <w:sz w:val="24"/>
          <w:szCs w:val="24"/>
        </w:rPr>
        <w:t>Political Geography. 21</w:t>
      </w:r>
      <w:r w:rsidRPr="00BE5FDF">
        <w:rPr>
          <w:rFonts w:asciiTheme="majorBidi" w:eastAsia="Arial" w:hAnsiTheme="majorBidi" w:cstheme="majorBidi"/>
          <w:sz w:val="24"/>
          <w:szCs w:val="24"/>
        </w:rPr>
        <w:t xml:space="preserve">(7), 927-953.   </w:t>
      </w:r>
      <w:hyperlink r:id="rId45" w:history="1">
        <w:r w:rsidRPr="00BE5FDF">
          <w:rPr>
            <w:rStyle w:val="Hyperlink"/>
            <w:rFonts w:asciiTheme="majorBidi" w:eastAsia="Arial" w:hAnsiTheme="majorBidi" w:cstheme="majorBidi"/>
            <w:sz w:val="24"/>
            <w:szCs w:val="24"/>
          </w:rPr>
          <w:t>https://doi.org/10.1016/S0962-6298(02)00054-9</w:t>
        </w:r>
      </w:hyperlink>
      <w:r w:rsidRPr="00BE5FDF">
        <w:rPr>
          <w:rFonts w:asciiTheme="majorBidi" w:eastAsia="Arial" w:hAnsiTheme="majorBidi" w:cstheme="majorBidi"/>
          <w:sz w:val="24"/>
          <w:szCs w:val="24"/>
        </w:rPr>
        <w:t xml:space="preserve">  </w:t>
      </w:r>
    </w:p>
    <w:p w14:paraId="4B136280"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Kurniawan, K. (2017). </w:t>
      </w:r>
      <w:proofErr w:type="spellStart"/>
      <w:r w:rsidRPr="00BE5FDF">
        <w:rPr>
          <w:rFonts w:asciiTheme="majorBidi" w:eastAsia="Arial" w:hAnsiTheme="majorBidi" w:cstheme="majorBidi"/>
          <w:sz w:val="24"/>
          <w:szCs w:val="24"/>
        </w:rPr>
        <w:t>Kebijakan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nasional</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kebahasaan</w:t>
      </w:r>
      <w:proofErr w:type="spellEnd"/>
      <w:r w:rsidRPr="00BE5FDF">
        <w:rPr>
          <w:rFonts w:asciiTheme="majorBidi" w:eastAsia="Arial" w:hAnsiTheme="majorBidi" w:cstheme="majorBidi"/>
          <w:sz w:val="24"/>
          <w:szCs w:val="24"/>
        </w:rPr>
        <w:t xml:space="preserve"> dan </w:t>
      </w:r>
      <w:proofErr w:type="spellStart"/>
      <w:r w:rsidRPr="00BE5FDF">
        <w:rPr>
          <w:rFonts w:asciiTheme="majorBidi" w:eastAsia="Arial" w:hAnsiTheme="majorBidi" w:cstheme="majorBidi"/>
          <w:sz w:val="24"/>
          <w:szCs w:val="24"/>
        </w:rPr>
        <w:t>pelindungan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bahasa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daerah</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Jurnal</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Handayani</w:t>
      </w:r>
      <w:proofErr w:type="spellEnd"/>
      <w:r w:rsidRPr="00BE5FDF">
        <w:rPr>
          <w:rFonts w:asciiTheme="majorBidi" w:eastAsia="Arial" w:hAnsiTheme="majorBidi" w:cstheme="majorBidi"/>
          <w:sz w:val="24"/>
          <w:szCs w:val="24"/>
        </w:rPr>
        <w:t xml:space="preserve">. 7(1), 1-12. </w:t>
      </w:r>
      <w:hyperlink r:id="rId46" w:history="1">
        <w:r w:rsidRPr="00BE5FDF">
          <w:rPr>
            <w:rStyle w:val="Hyperlink"/>
            <w:rFonts w:asciiTheme="majorBidi" w:eastAsia="Arial" w:hAnsiTheme="majorBidi" w:cstheme="majorBidi"/>
            <w:sz w:val="24"/>
            <w:szCs w:val="24"/>
          </w:rPr>
          <w:t>https://doi.org/10.24114/jh.v7i1.6569</w:t>
        </w:r>
      </w:hyperlink>
      <w:r w:rsidRPr="00BE5FDF">
        <w:rPr>
          <w:rFonts w:asciiTheme="majorBidi" w:eastAsia="Arial" w:hAnsiTheme="majorBidi" w:cstheme="majorBidi"/>
          <w:sz w:val="24"/>
          <w:szCs w:val="24"/>
        </w:rPr>
        <w:t xml:space="preserve">  </w:t>
      </w:r>
    </w:p>
    <w:p w14:paraId="41B6AE1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Landry, R., &amp; </w:t>
      </w:r>
      <w:proofErr w:type="spellStart"/>
      <w:r w:rsidRPr="00BE5FDF">
        <w:rPr>
          <w:rFonts w:asciiTheme="majorBidi" w:eastAsia="Arial" w:hAnsiTheme="majorBidi" w:cstheme="majorBidi"/>
          <w:sz w:val="24"/>
          <w:szCs w:val="24"/>
        </w:rPr>
        <w:t>Bourhis</w:t>
      </w:r>
      <w:proofErr w:type="spellEnd"/>
      <w:r w:rsidRPr="00BE5FDF">
        <w:rPr>
          <w:rFonts w:asciiTheme="majorBidi" w:eastAsia="Arial" w:hAnsiTheme="majorBidi" w:cstheme="majorBidi"/>
          <w:sz w:val="24"/>
          <w:szCs w:val="24"/>
        </w:rPr>
        <w:t xml:space="preserve">, R. Y. (1997). Linguistic landscape and ethnolinguistic vitality: An empirical study. </w:t>
      </w:r>
      <w:r w:rsidRPr="00BE5FDF">
        <w:rPr>
          <w:rFonts w:asciiTheme="majorBidi" w:eastAsia="Arial" w:hAnsiTheme="majorBidi" w:cstheme="majorBidi"/>
          <w:i/>
          <w:iCs/>
          <w:sz w:val="24"/>
          <w:szCs w:val="24"/>
        </w:rPr>
        <w:t>Journal of Language and Social Psychology. 16</w:t>
      </w:r>
      <w:r w:rsidRPr="00BE5FDF">
        <w:rPr>
          <w:rFonts w:asciiTheme="majorBidi" w:eastAsia="Arial" w:hAnsiTheme="majorBidi" w:cstheme="majorBidi"/>
          <w:sz w:val="24"/>
          <w:szCs w:val="24"/>
        </w:rPr>
        <w:t xml:space="preserve">(1), 23-49. </w:t>
      </w:r>
      <w:hyperlink r:id="rId47" w:history="1">
        <w:r w:rsidRPr="00BE5FDF">
          <w:rPr>
            <w:rStyle w:val="Hyperlink"/>
            <w:rFonts w:asciiTheme="majorBidi" w:eastAsia="Arial" w:hAnsiTheme="majorBidi" w:cstheme="majorBidi"/>
            <w:sz w:val="24"/>
            <w:szCs w:val="24"/>
          </w:rPr>
          <w:t>https://doi.org/10.1177/0261927X970161002</w:t>
        </w:r>
      </w:hyperlink>
      <w:r w:rsidRPr="00BE5FDF">
        <w:rPr>
          <w:rFonts w:asciiTheme="majorBidi" w:eastAsia="Arial" w:hAnsiTheme="majorBidi" w:cstheme="majorBidi"/>
          <w:sz w:val="24"/>
          <w:szCs w:val="24"/>
        </w:rPr>
        <w:t xml:space="preserve">  </w:t>
      </w:r>
    </w:p>
    <w:p w14:paraId="184200FA"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Liawati</w:t>
      </w:r>
      <w:proofErr w:type="spellEnd"/>
      <w:r w:rsidRPr="00BE5FDF">
        <w:rPr>
          <w:rFonts w:asciiTheme="majorBidi" w:eastAsia="Arial" w:hAnsiTheme="majorBidi" w:cstheme="majorBidi"/>
          <w:sz w:val="24"/>
          <w:szCs w:val="24"/>
        </w:rPr>
        <w:t xml:space="preserve">, T. (2019). </w:t>
      </w:r>
      <w:proofErr w:type="spellStart"/>
      <w:r w:rsidRPr="00BE5FDF">
        <w:rPr>
          <w:rFonts w:asciiTheme="majorBidi" w:eastAsia="Arial" w:hAnsiTheme="majorBidi" w:cstheme="majorBidi"/>
          <w:sz w:val="24"/>
          <w:szCs w:val="24"/>
        </w:rPr>
        <w:t>Nasionalisme</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dalam</w:t>
      </w:r>
      <w:proofErr w:type="spellEnd"/>
      <w:r w:rsidRPr="00BE5FDF">
        <w:rPr>
          <w:rFonts w:asciiTheme="majorBidi" w:eastAsia="Arial" w:hAnsiTheme="majorBidi" w:cstheme="majorBidi"/>
          <w:sz w:val="24"/>
          <w:szCs w:val="24"/>
        </w:rPr>
        <w:t xml:space="preserve"> Drama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Kereta Api Maut </w:t>
      </w:r>
      <w:proofErr w:type="spellStart"/>
      <w:r w:rsidRPr="00BE5FDF">
        <w:rPr>
          <w:rFonts w:asciiTheme="majorBidi" w:eastAsia="Arial" w:hAnsiTheme="majorBidi" w:cstheme="majorBidi"/>
          <w:sz w:val="24"/>
          <w:szCs w:val="24"/>
        </w:rPr>
        <w:t>Karya</w:t>
      </w:r>
      <w:proofErr w:type="spellEnd"/>
      <w:r w:rsidRPr="00BE5FDF">
        <w:rPr>
          <w:rFonts w:asciiTheme="majorBidi" w:eastAsia="Arial" w:hAnsiTheme="majorBidi" w:cstheme="majorBidi"/>
          <w:sz w:val="24"/>
          <w:szCs w:val="24"/>
        </w:rPr>
        <w:t xml:space="preserve"> Achmad Toha (Nationalism in The Kereta Api Maut Tragedy Drama by Achmad Toha). Sirok </w:t>
      </w:r>
      <w:proofErr w:type="spellStart"/>
      <w:r w:rsidRPr="00BE5FDF">
        <w:rPr>
          <w:rFonts w:asciiTheme="majorBidi" w:eastAsia="Arial" w:hAnsiTheme="majorBidi" w:cstheme="majorBidi"/>
          <w:sz w:val="24"/>
          <w:szCs w:val="24"/>
        </w:rPr>
        <w:t>Bastra</w:t>
      </w:r>
      <w:proofErr w:type="spellEnd"/>
      <w:r w:rsidRPr="00BE5FDF">
        <w:rPr>
          <w:rFonts w:asciiTheme="majorBidi" w:eastAsia="Arial" w:hAnsiTheme="majorBidi" w:cstheme="majorBidi"/>
          <w:sz w:val="24"/>
          <w:szCs w:val="24"/>
        </w:rPr>
        <w:t xml:space="preserve">. 7(1), 97-106. </w:t>
      </w:r>
      <w:hyperlink r:id="rId48" w:history="1">
        <w:r w:rsidRPr="00BE5FDF">
          <w:rPr>
            <w:rStyle w:val="Hyperlink"/>
            <w:rFonts w:asciiTheme="majorBidi" w:eastAsia="Arial" w:hAnsiTheme="majorBidi" w:cstheme="majorBidi"/>
            <w:sz w:val="24"/>
            <w:szCs w:val="24"/>
          </w:rPr>
          <w:t>https://doi.org/10.37671/sb.v7i1.158</w:t>
        </w:r>
      </w:hyperlink>
      <w:r w:rsidRPr="00BE5FDF">
        <w:rPr>
          <w:rFonts w:asciiTheme="majorBidi" w:eastAsia="Arial" w:hAnsiTheme="majorBidi" w:cstheme="majorBidi"/>
          <w:sz w:val="24"/>
          <w:szCs w:val="24"/>
        </w:rPr>
        <w:t xml:space="preserve">  </w:t>
      </w:r>
    </w:p>
    <w:p w14:paraId="372C2F04"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Hélot</w:t>
      </w:r>
      <w:proofErr w:type="spellEnd"/>
      <w:r w:rsidRPr="00BE5FDF">
        <w:rPr>
          <w:rFonts w:asciiTheme="majorBidi" w:eastAsia="Arial" w:hAnsiTheme="majorBidi" w:cstheme="majorBidi"/>
          <w:sz w:val="24"/>
          <w:szCs w:val="24"/>
        </w:rPr>
        <w:t xml:space="preserve">, C., Barni, M., Janssens, R., Bagna, C. (2013). Linguistic Landscapes, Multilingualism and Social Change. 16. </w:t>
      </w:r>
      <w:hyperlink r:id="rId49" w:history="1">
        <w:r w:rsidRPr="00BE5FDF">
          <w:rPr>
            <w:rStyle w:val="Hyperlink"/>
            <w:rFonts w:asciiTheme="majorBidi" w:eastAsia="Arial" w:hAnsiTheme="majorBidi" w:cstheme="majorBidi"/>
            <w:sz w:val="24"/>
            <w:szCs w:val="24"/>
          </w:rPr>
          <w:t>https://doi.org/10.3726/978-3-653-02576-7</w:t>
        </w:r>
      </w:hyperlink>
      <w:r w:rsidRPr="00BE5FDF">
        <w:rPr>
          <w:rFonts w:asciiTheme="majorBidi" w:eastAsia="Arial" w:hAnsiTheme="majorBidi" w:cstheme="majorBidi"/>
          <w:sz w:val="24"/>
          <w:szCs w:val="24"/>
        </w:rPr>
        <w:t xml:space="preserve">  </w:t>
      </w:r>
    </w:p>
    <w:p w14:paraId="35148F22"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Lintz, G., &amp; </w:t>
      </w:r>
      <w:proofErr w:type="spellStart"/>
      <w:r w:rsidRPr="00BE5FDF">
        <w:rPr>
          <w:rFonts w:asciiTheme="majorBidi" w:eastAsia="Arial" w:hAnsiTheme="majorBidi" w:cstheme="majorBidi"/>
          <w:sz w:val="24"/>
          <w:szCs w:val="24"/>
        </w:rPr>
        <w:t>Leibenath</w:t>
      </w:r>
      <w:proofErr w:type="spellEnd"/>
      <w:r w:rsidRPr="00BE5FDF">
        <w:rPr>
          <w:rFonts w:asciiTheme="majorBidi" w:eastAsia="Arial" w:hAnsiTheme="majorBidi" w:cstheme="majorBidi"/>
          <w:sz w:val="24"/>
          <w:szCs w:val="24"/>
        </w:rPr>
        <w:t xml:space="preserve">, M. (2020). The politics of energy landscapes: The influence of local anti-wind initiatives on state policies in Saxony, Germany. </w:t>
      </w:r>
      <w:r w:rsidRPr="00BE5FDF">
        <w:rPr>
          <w:rFonts w:asciiTheme="majorBidi" w:eastAsia="Arial" w:hAnsiTheme="majorBidi" w:cstheme="majorBidi"/>
          <w:i/>
          <w:iCs/>
          <w:sz w:val="24"/>
          <w:szCs w:val="24"/>
        </w:rPr>
        <w:t>Energy, Sustainability and Society. 10</w:t>
      </w:r>
      <w:r w:rsidRPr="00BE5FDF">
        <w:rPr>
          <w:rFonts w:asciiTheme="majorBidi" w:eastAsia="Arial" w:hAnsiTheme="majorBidi" w:cstheme="majorBidi"/>
          <w:sz w:val="24"/>
          <w:szCs w:val="24"/>
        </w:rPr>
        <w:t xml:space="preserve">(1), 1-22. </w:t>
      </w:r>
      <w:hyperlink r:id="rId50" w:history="1">
        <w:r w:rsidRPr="00BE5FDF">
          <w:rPr>
            <w:rStyle w:val="Hyperlink"/>
            <w:rFonts w:asciiTheme="majorBidi" w:eastAsia="Arial" w:hAnsiTheme="majorBidi" w:cstheme="majorBidi"/>
            <w:sz w:val="24"/>
            <w:szCs w:val="24"/>
          </w:rPr>
          <w:t>https://doi.org/10.1186/s13705-019-0230-3</w:t>
        </w:r>
      </w:hyperlink>
      <w:r w:rsidRPr="00BE5FDF">
        <w:rPr>
          <w:rFonts w:asciiTheme="majorBidi" w:eastAsia="Arial" w:hAnsiTheme="majorBidi" w:cstheme="majorBidi"/>
          <w:sz w:val="24"/>
          <w:szCs w:val="24"/>
        </w:rPr>
        <w:t xml:space="preserve">  </w:t>
      </w:r>
    </w:p>
    <w:p w14:paraId="70C3EDA8"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Mahfud MD. (2022).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Kanjuruhan</w:t>
      </w:r>
      <w:proofErr w:type="spellEnd"/>
      <w:r w:rsidRPr="00BE5FDF">
        <w:rPr>
          <w:rFonts w:asciiTheme="majorBidi" w:eastAsia="Arial" w:hAnsiTheme="majorBidi" w:cstheme="majorBidi"/>
          <w:sz w:val="24"/>
          <w:szCs w:val="24"/>
        </w:rPr>
        <w:t>: “</w:t>
      </w:r>
      <w:proofErr w:type="spellStart"/>
      <w:r w:rsidRPr="00BE5FDF">
        <w:rPr>
          <w:rFonts w:asciiTheme="majorBidi" w:eastAsia="Arial" w:hAnsiTheme="majorBidi" w:cstheme="majorBidi"/>
          <w:sz w:val="24"/>
          <w:szCs w:val="24"/>
        </w:rPr>
        <w:t>Lebih</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mengerikan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daripada</w:t>
      </w:r>
      <w:proofErr w:type="spellEnd"/>
      <w:r w:rsidRPr="00BE5FDF">
        <w:rPr>
          <w:rFonts w:asciiTheme="majorBidi" w:eastAsia="Arial" w:hAnsiTheme="majorBidi" w:cstheme="majorBidi"/>
          <w:sz w:val="24"/>
          <w:szCs w:val="24"/>
        </w:rPr>
        <w:t xml:space="preserve"> yang di </w:t>
      </w:r>
      <w:proofErr w:type="spellStart"/>
      <w:r w:rsidRPr="00BE5FDF">
        <w:rPr>
          <w:rFonts w:asciiTheme="majorBidi" w:eastAsia="Arial" w:hAnsiTheme="majorBidi" w:cstheme="majorBidi"/>
          <w:sz w:val="24"/>
          <w:szCs w:val="24"/>
        </w:rPr>
        <w:t>medsos</w:t>
      </w:r>
      <w:proofErr w:type="spellEnd"/>
      <w:r w:rsidRPr="00BE5FDF">
        <w:rPr>
          <w:rFonts w:asciiTheme="majorBidi" w:eastAsia="Arial" w:hAnsiTheme="majorBidi" w:cstheme="majorBidi"/>
          <w:sz w:val="24"/>
          <w:szCs w:val="24"/>
        </w:rPr>
        <w:t xml:space="preserve"> dan </w:t>
      </w:r>
      <w:proofErr w:type="spellStart"/>
      <w:r w:rsidRPr="00BE5FDF">
        <w:rPr>
          <w:rFonts w:asciiTheme="majorBidi" w:eastAsia="Arial" w:hAnsiTheme="majorBidi" w:cstheme="majorBidi"/>
          <w:sz w:val="24"/>
          <w:szCs w:val="24"/>
        </w:rPr>
        <w:t>televisi</w:t>
      </w:r>
      <w:proofErr w:type="spellEnd"/>
      <w:r w:rsidRPr="00BE5FDF">
        <w:rPr>
          <w:rFonts w:asciiTheme="majorBidi" w:eastAsia="Arial" w:hAnsiTheme="majorBidi" w:cstheme="majorBidi"/>
          <w:sz w:val="24"/>
          <w:szCs w:val="24"/>
        </w:rPr>
        <w:t xml:space="preserve">”, TGIPF </w:t>
      </w:r>
      <w:proofErr w:type="spellStart"/>
      <w:r w:rsidRPr="00BE5FDF">
        <w:rPr>
          <w:rFonts w:asciiTheme="majorBidi" w:eastAsia="Arial" w:hAnsiTheme="majorBidi" w:cstheme="majorBidi"/>
          <w:sz w:val="24"/>
          <w:szCs w:val="24"/>
        </w:rPr>
        <w:t>pastikan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kematian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massal</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terutama</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disebabkan</w:t>
      </w:r>
      <w:proofErr w:type="spellEnd"/>
      <w:r w:rsidRPr="00BE5FDF">
        <w:rPr>
          <w:rFonts w:asciiTheme="majorBidi" w:eastAsia="Arial" w:hAnsiTheme="majorBidi" w:cstheme="majorBidi"/>
          <w:sz w:val="24"/>
          <w:szCs w:val="24"/>
        </w:rPr>
        <w:t xml:space="preserve"> gas air </w:t>
      </w:r>
      <w:proofErr w:type="spellStart"/>
      <w:r w:rsidRPr="00BE5FDF">
        <w:rPr>
          <w:rFonts w:asciiTheme="majorBidi" w:eastAsia="Arial" w:hAnsiTheme="majorBidi" w:cstheme="majorBidi"/>
          <w:sz w:val="24"/>
          <w:szCs w:val="24"/>
        </w:rPr>
        <w:t>mata</w:t>
      </w:r>
      <w:proofErr w:type="spellEnd"/>
      <w:r w:rsidRPr="00BE5FDF">
        <w:rPr>
          <w:rFonts w:asciiTheme="majorBidi" w:eastAsia="Arial" w:hAnsiTheme="majorBidi" w:cstheme="majorBidi"/>
          <w:sz w:val="24"/>
          <w:szCs w:val="24"/>
        </w:rPr>
        <w:t xml:space="preserve">.” Bbc.Com. </w:t>
      </w:r>
      <w:hyperlink r:id="rId51" w:history="1">
        <w:r w:rsidRPr="00BE5FDF">
          <w:rPr>
            <w:rStyle w:val="Hyperlink"/>
            <w:rFonts w:asciiTheme="majorBidi" w:eastAsia="Arial" w:hAnsiTheme="majorBidi" w:cstheme="majorBidi"/>
            <w:sz w:val="24"/>
            <w:szCs w:val="24"/>
          </w:rPr>
          <w:t>https://www.bbc.com/indonesia/indonesia-63254091</w:t>
        </w:r>
      </w:hyperlink>
      <w:r w:rsidRPr="00BE5FDF">
        <w:rPr>
          <w:rFonts w:asciiTheme="majorBidi" w:eastAsia="Arial" w:hAnsiTheme="majorBidi" w:cstheme="majorBidi"/>
          <w:sz w:val="24"/>
          <w:szCs w:val="24"/>
        </w:rPr>
        <w:t xml:space="preserve">  </w:t>
      </w:r>
    </w:p>
    <w:p w14:paraId="27812BDC"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Miles, M. B., &amp; Huberman, A. M. (2016). Miles, M. B., &amp; Huberman, A. M. (1994). Qualitative data analysis: An expanded sourcebook. In Nursing standard (Royal College of Nursing (Great Britain): 1987)</w:t>
      </w:r>
    </w:p>
    <w:p w14:paraId="217C6B12"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Minocha, D. A. (2020). Languages of Resistance: Women in the Print and Oral Cultures of Colonial Punjab. </w:t>
      </w:r>
      <w:r w:rsidRPr="00BE5FDF">
        <w:rPr>
          <w:rFonts w:asciiTheme="majorBidi" w:eastAsia="Arial" w:hAnsiTheme="majorBidi" w:cstheme="majorBidi"/>
          <w:i/>
          <w:iCs/>
          <w:sz w:val="24"/>
          <w:szCs w:val="24"/>
        </w:rPr>
        <w:t xml:space="preserve">New </w:t>
      </w:r>
      <w:proofErr w:type="spellStart"/>
      <w:r w:rsidRPr="00BE5FDF">
        <w:rPr>
          <w:rFonts w:asciiTheme="majorBidi" w:eastAsia="Arial" w:hAnsiTheme="majorBidi" w:cstheme="majorBidi"/>
          <w:i/>
          <w:iCs/>
          <w:sz w:val="24"/>
          <w:szCs w:val="24"/>
        </w:rPr>
        <w:t>Literaria</w:t>
      </w:r>
      <w:proofErr w:type="spellEnd"/>
      <w:r w:rsidRPr="00BE5FDF">
        <w:rPr>
          <w:rFonts w:asciiTheme="majorBidi" w:eastAsia="Arial" w:hAnsiTheme="majorBidi" w:cstheme="majorBidi"/>
          <w:i/>
          <w:iCs/>
          <w:sz w:val="24"/>
          <w:szCs w:val="24"/>
        </w:rPr>
        <w:t>. 1</w:t>
      </w:r>
      <w:r w:rsidRPr="00BE5FDF">
        <w:rPr>
          <w:rFonts w:asciiTheme="majorBidi" w:eastAsia="Arial" w:hAnsiTheme="majorBidi" w:cstheme="majorBidi"/>
          <w:sz w:val="24"/>
          <w:szCs w:val="24"/>
        </w:rPr>
        <w:t xml:space="preserve">(2), 137-145. </w:t>
      </w:r>
      <w:hyperlink r:id="rId52" w:history="1">
        <w:r w:rsidRPr="00BE5FDF">
          <w:rPr>
            <w:rStyle w:val="Hyperlink"/>
            <w:rFonts w:asciiTheme="majorBidi" w:eastAsia="Arial" w:hAnsiTheme="majorBidi" w:cstheme="majorBidi"/>
            <w:sz w:val="24"/>
            <w:szCs w:val="24"/>
          </w:rPr>
          <w:t>https://doi.org/10.48189/nl.2020.v01i2.006</w:t>
        </w:r>
      </w:hyperlink>
      <w:r w:rsidRPr="00BE5FDF">
        <w:rPr>
          <w:rFonts w:asciiTheme="majorBidi" w:eastAsia="Arial" w:hAnsiTheme="majorBidi" w:cstheme="majorBidi"/>
          <w:sz w:val="24"/>
          <w:szCs w:val="24"/>
        </w:rPr>
        <w:t xml:space="preserve">  </w:t>
      </w:r>
    </w:p>
    <w:p w14:paraId="3D244457"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Monje, J. (2017). Hindi </w:t>
      </w:r>
      <w:proofErr w:type="spellStart"/>
      <w:r w:rsidRPr="00BE5FDF">
        <w:rPr>
          <w:rFonts w:asciiTheme="majorBidi" w:eastAsia="Arial" w:hAnsiTheme="majorBidi" w:cstheme="majorBidi"/>
          <w:sz w:val="24"/>
          <w:szCs w:val="24"/>
        </w:rPr>
        <w:t>bayani</w:t>
      </w:r>
      <w:proofErr w:type="spellEnd"/>
      <w:r w:rsidRPr="00BE5FDF">
        <w:rPr>
          <w:rFonts w:asciiTheme="majorBidi" w:eastAsia="Arial" w:hAnsiTheme="majorBidi" w:cstheme="majorBidi"/>
          <w:sz w:val="24"/>
          <w:szCs w:val="24"/>
        </w:rPr>
        <w:t xml:space="preserve">/not a hero: The linguistic landscape of protest in Manila. </w:t>
      </w:r>
      <w:r w:rsidRPr="00BE5FDF">
        <w:rPr>
          <w:rFonts w:asciiTheme="majorBidi" w:eastAsia="Arial" w:hAnsiTheme="majorBidi" w:cstheme="majorBidi"/>
          <w:i/>
          <w:iCs/>
          <w:sz w:val="24"/>
          <w:szCs w:val="24"/>
        </w:rPr>
        <w:t>Social Inclusion. 5</w:t>
      </w:r>
      <w:r w:rsidRPr="00BE5FDF">
        <w:rPr>
          <w:rFonts w:asciiTheme="majorBidi" w:eastAsia="Arial" w:hAnsiTheme="majorBidi" w:cstheme="majorBidi"/>
          <w:sz w:val="24"/>
          <w:szCs w:val="24"/>
        </w:rPr>
        <w:t xml:space="preserve">(4), 14-28. </w:t>
      </w:r>
      <w:hyperlink r:id="rId53" w:history="1">
        <w:r w:rsidRPr="00BE5FDF">
          <w:rPr>
            <w:rStyle w:val="Hyperlink"/>
            <w:rFonts w:asciiTheme="majorBidi" w:eastAsia="Arial" w:hAnsiTheme="majorBidi" w:cstheme="majorBidi"/>
            <w:sz w:val="24"/>
            <w:szCs w:val="24"/>
          </w:rPr>
          <w:t>https://doi.org/10.17645/si.v5i4.1151</w:t>
        </w:r>
      </w:hyperlink>
      <w:r w:rsidRPr="00BE5FDF">
        <w:rPr>
          <w:rFonts w:asciiTheme="majorBidi" w:eastAsia="Arial" w:hAnsiTheme="majorBidi" w:cstheme="majorBidi"/>
          <w:sz w:val="24"/>
          <w:szCs w:val="24"/>
        </w:rPr>
        <w:t xml:space="preserve">  </w:t>
      </w:r>
    </w:p>
    <w:p w14:paraId="335E9D4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Nash, J. (2016). Is linguistic landscape necessary? Landscape Research. 41(3), 380-384. </w:t>
      </w:r>
      <w:hyperlink r:id="rId54" w:history="1">
        <w:r w:rsidRPr="00BE5FDF">
          <w:rPr>
            <w:rStyle w:val="Hyperlink"/>
            <w:rFonts w:asciiTheme="majorBidi" w:eastAsia="Arial" w:hAnsiTheme="majorBidi" w:cstheme="majorBidi"/>
            <w:sz w:val="24"/>
            <w:szCs w:val="24"/>
          </w:rPr>
          <w:t>https://doi.org/10.1080/01426397.2016.1152356</w:t>
        </w:r>
      </w:hyperlink>
      <w:r w:rsidRPr="00BE5FDF">
        <w:rPr>
          <w:rFonts w:asciiTheme="majorBidi" w:eastAsia="Arial" w:hAnsiTheme="majorBidi" w:cstheme="majorBidi"/>
          <w:sz w:val="24"/>
          <w:szCs w:val="24"/>
        </w:rPr>
        <w:t xml:space="preserve">   </w:t>
      </w:r>
    </w:p>
    <w:p w14:paraId="4FC4F7FF"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Orman, J. (2008). Durk Gorter (ed): Linguistic Landscape: A New Approach to Multilingualism. </w:t>
      </w:r>
      <w:r w:rsidRPr="00BE5FDF">
        <w:rPr>
          <w:rFonts w:asciiTheme="majorBidi" w:eastAsia="Arial" w:hAnsiTheme="majorBidi" w:cstheme="majorBidi"/>
          <w:i/>
          <w:iCs/>
          <w:sz w:val="24"/>
          <w:szCs w:val="24"/>
        </w:rPr>
        <w:t>Language Policy</w:t>
      </w:r>
      <w:r w:rsidRPr="00BE5FDF">
        <w:rPr>
          <w:rFonts w:asciiTheme="majorBidi" w:eastAsia="Arial" w:hAnsiTheme="majorBidi" w:cstheme="majorBidi"/>
          <w:sz w:val="24"/>
          <w:szCs w:val="24"/>
        </w:rPr>
        <w:t xml:space="preserve">. </w:t>
      </w:r>
      <w:hyperlink r:id="rId55" w:history="1">
        <w:r w:rsidRPr="00BE5FDF">
          <w:rPr>
            <w:rStyle w:val="Hyperlink"/>
            <w:rFonts w:asciiTheme="majorBidi" w:eastAsia="Arial" w:hAnsiTheme="majorBidi" w:cstheme="majorBidi"/>
            <w:sz w:val="24"/>
            <w:szCs w:val="24"/>
          </w:rPr>
          <w:t>https://doi.org/10.1007/s10993-007-9063-6</w:t>
        </w:r>
      </w:hyperlink>
      <w:r w:rsidRPr="00BE5FDF">
        <w:rPr>
          <w:rFonts w:asciiTheme="majorBidi" w:eastAsia="Arial" w:hAnsiTheme="majorBidi" w:cstheme="majorBidi"/>
          <w:sz w:val="24"/>
          <w:szCs w:val="24"/>
        </w:rPr>
        <w:t xml:space="preserve">  </w:t>
      </w:r>
    </w:p>
    <w:p w14:paraId="526AE2D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Papen, U. (2012). Commercial discourses, gentrification and citizens’ protest: The linguistic landscape of Prenzlauer Berg, Berlin. </w:t>
      </w:r>
      <w:r w:rsidRPr="00BE5FDF">
        <w:rPr>
          <w:rFonts w:asciiTheme="majorBidi" w:eastAsia="Arial" w:hAnsiTheme="majorBidi" w:cstheme="majorBidi"/>
          <w:i/>
          <w:iCs/>
          <w:sz w:val="24"/>
          <w:szCs w:val="24"/>
        </w:rPr>
        <w:t>Journal of Sociolinguistics. 16</w:t>
      </w:r>
      <w:r w:rsidRPr="00BE5FDF">
        <w:rPr>
          <w:rFonts w:asciiTheme="majorBidi" w:eastAsia="Arial" w:hAnsiTheme="majorBidi" w:cstheme="majorBidi"/>
          <w:sz w:val="24"/>
          <w:szCs w:val="24"/>
        </w:rPr>
        <w:t xml:space="preserve">(1), 56-80. </w:t>
      </w:r>
      <w:hyperlink r:id="rId56" w:history="1">
        <w:r w:rsidRPr="00BE5FDF">
          <w:rPr>
            <w:rStyle w:val="Hyperlink"/>
            <w:rFonts w:asciiTheme="majorBidi" w:eastAsia="Arial" w:hAnsiTheme="majorBidi" w:cstheme="majorBidi"/>
            <w:sz w:val="24"/>
            <w:szCs w:val="24"/>
          </w:rPr>
          <w:t>https://doi.org/10.1111/j.1467-9841.2011.00518.x</w:t>
        </w:r>
      </w:hyperlink>
      <w:r w:rsidRPr="00BE5FDF">
        <w:rPr>
          <w:rFonts w:asciiTheme="majorBidi" w:eastAsia="Arial" w:hAnsiTheme="majorBidi" w:cstheme="majorBidi"/>
          <w:sz w:val="24"/>
          <w:szCs w:val="24"/>
        </w:rPr>
        <w:t xml:space="preserve">  </w:t>
      </w:r>
    </w:p>
    <w:p w14:paraId="698DB0A4"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Peterman, W. E., Winiarski, K. J., Moore, C. E., Carvalho, C. da S., Gilbert, A. L., &amp; Spear, S. F. (2019). A comparison of popular approaches to optimize landscape resistance </w:t>
      </w:r>
      <w:r w:rsidRPr="00BE5FDF">
        <w:rPr>
          <w:rFonts w:asciiTheme="majorBidi" w:eastAsia="Arial" w:hAnsiTheme="majorBidi" w:cstheme="majorBidi"/>
          <w:sz w:val="24"/>
          <w:szCs w:val="24"/>
        </w:rPr>
        <w:lastRenderedPageBreak/>
        <w:t xml:space="preserve">surfaces. </w:t>
      </w:r>
      <w:r w:rsidRPr="00BE5FDF">
        <w:rPr>
          <w:rFonts w:asciiTheme="majorBidi" w:eastAsia="Arial" w:hAnsiTheme="majorBidi" w:cstheme="majorBidi"/>
          <w:i/>
          <w:iCs/>
          <w:sz w:val="24"/>
          <w:szCs w:val="24"/>
        </w:rPr>
        <w:t>Landscape Ecology. 34</w:t>
      </w:r>
      <w:r w:rsidRPr="00BE5FDF">
        <w:rPr>
          <w:rFonts w:asciiTheme="majorBidi" w:eastAsia="Arial" w:hAnsiTheme="majorBidi" w:cstheme="majorBidi"/>
          <w:sz w:val="24"/>
          <w:szCs w:val="24"/>
        </w:rPr>
        <w:t xml:space="preserve">, 2197-2208. </w:t>
      </w:r>
      <w:hyperlink r:id="rId57" w:history="1">
        <w:r w:rsidRPr="00BE5FDF">
          <w:rPr>
            <w:rStyle w:val="Hyperlink"/>
            <w:rFonts w:asciiTheme="majorBidi" w:eastAsia="Arial" w:hAnsiTheme="majorBidi" w:cstheme="majorBidi"/>
            <w:sz w:val="24"/>
            <w:szCs w:val="24"/>
          </w:rPr>
          <w:t>https://doi.org/10.1007/s10980-019-00870-3</w:t>
        </w:r>
      </w:hyperlink>
      <w:r w:rsidRPr="00BE5FDF">
        <w:rPr>
          <w:rFonts w:asciiTheme="majorBidi" w:eastAsia="Arial" w:hAnsiTheme="majorBidi" w:cstheme="majorBidi"/>
          <w:sz w:val="24"/>
          <w:szCs w:val="24"/>
        </w:rPr>
        <w:t xml:space="preserve">  </w:t>
      </w:r>
    </w:p>
    <w:p w14:paraId="7BBE6F8C"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Przymus, S. D., &amp; Kohler, A. T. (2018). SIGNS: Uncovering the mechanisms by which messages in the linguistic landscape influence language/race ideologies and educational opportunities: Linguistics and education. </w:t>
      </w:r>
      <w:r w:rsidRPr="00BE5FDF">
        <w:rPr>
          <w:rFonts w:asciiTheme="majorBidi" w:eastAsia="Arial" w:hAnsiTheme="majorBidi" w:cstheme="majorBidi"/>
          <w:i/>
          <w:iCs/>
          <w:sz w:val="24"/>
          <w:szCs w:val="24"/>
        </w:rPr>
        <w:t>Linguistics and Education. 44</w:t>
      </w:r>
      <w:r w:rsidRPr="00BE5FDF">
        <w:rPr>
          <w:rFonts w:asciiTheme="majorBidi" w:eastAsia="Arial" w:hAnsiTheme="majorBidi" w:cstheme="majorBidi"/>
          <w:sz w:val="24"/>
          <w:szCs w:val="24"/>
        </w:rPr>
        <w:t xml:space="preserve">, 58-68. </w:t>
      </w:r>
      <w:hyperlink r:id="rId58" w:history="1">
        <w:r w:rsidRPr="00BE5FDF">
          <w:rPr>
            <w:rStyle w:val="Hyperlink"/>
            <w:rFonts w:asciiTheme="majorBidi" w:eastAsia="Arial" w:hAnsiTheme="majorBidi" w:cstheme="majorBidi"/>
            <w:sz w:val="24"/>
            <w:szCs w:val="24"/>
          </w:rPr>
          <w:t>https://doi.org/10.1016/j.linged.2017.10.002</w:t>
        </w:r>
      </w:hyperlink>
      <w:r w:rsidRPr="00BE5FDF">
        <w:rPr>
          <w:rFonts w:asciiTheme="majorBidi" w:eastAsia="Arial" w:hAnsiTheme="majorBidi" w:cstheme="majorBidi"/>
          <w:sz w:val="24"/>
          <w:szCs w:val="24"/>
        </w:rPr>
        <w:t xml:space="preserve">  </w:t>
      </w:r>
    </w:p>
    <w:p w14:paraId="53CA443F"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Rafael, E. B.-, </w:t>
      </w:r>
      <w:proofErr w:type="spellStart"/>
      <w:r w:rsidRPr="00BE5FDF">
        <w:rPr>
          <w:rFonts w:asciiTheme="majorBidi" w:eastAsia="Arial" w:hAnsiTheme="majorBidi" w:cstheme="majorBidi"/>
          <w:sz w:val="24"/>
          <w:szCs w:val="24"/>
        </w:rPr>
        <w:t>Shohamy</w:t>
      </w:r>
      <w:proofErr w:type="spellEnd"/>
      <w:r w:rsidRPr="00BE5FDF">
        <w:rPr>
          <w:rFonts w:asciiTheme="majorBidi" w:eastAsia="Arial" w:hAnsiTheme="majorBidi" w:cstheme="majorBidi"/>
          <w:sz w:val="24"/>
          <w:szCs w:val="24"/>
        </w:rPr>
        <w:t xml:space="preserve">, E., Amara, M. H., &amp; Hecht, N. T.-. (2018). Linguistic Landscape as Symbolic Construction of the Public Space: The Case of Israel. In </w:t>
      </w:r>
      <w:r w:rsidRPr="00BE5FDF">
        <w:rPr>
          <w:rFonts w:asciiTheme="majorBidi" w:eastAsia="Arial" w:hAnsiTheme="majorBidi" w:cstheme="majorBidi"/>
          <w:i/>
          <w:iCs/>
          <w:sz w:val="24"/>
          <w:szCs w:val="24"/>
        </w:rPr>
        <w:t>Linguistic Landscape. 3</w:t>
      </w:r>
      <w:r w:rsidRPr="00BE5FDF">
        <w:rPr>
          <w:rFonts w:asciiTheme="majorBidi" w:eastAsia="Arial" w:hAnsiTheme="majorBidi" w:cstheme="majorBidi"/>
          <w:sz w:val="24"/>
          <w:szCs w:val="24"/>
        </w:rPr>
        <w:t xml:space="preserve">(1), 7-30. </w:t>
      </w:r>
      <w:hyperlink r:id="rId59" w:history="1">
        <w:r w:rsidRPr="00BE5FDF">
          <w:rPr>
            <w:rStyle w:val="Hyperlink"/>
            <w:rFonts w:asciiTheme="majorBidi" w:eastAsia="Arial" w:hAnsiTheme="majorBidi" w:cstheme="majorBidi"/>
            <w:sz w:val="24"/>
            <w:szCs w:val="24"/>
          </w:rPr>
          <w:t>https://doi.org/10.21832/9781853599170-002</w:t>
        </w:r>
      </w:hyperlink>
      <w:r w:rsidRPr="00BE5FDF">
        <w:rPr>
          <w:rFonts w:asciiTheme="majorBidi" w:eastAsia="Arial" w:hAnsiTheme="majorBidi" w:cstheme="majorBidi"/>
          <w:sz w:val="24"/>
          <w:szCs w:val="24"/>
        </w:rPr>
        <w:t xml:space="preserve">  </w:t>
      </w:r>
    </w:p>
    <w:p w14:paraId="11A8FE6E"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Rahayu, S. (2022). </w:t>
      </w:r>
      <w:proofErr w:type="spellStart"/>
      <w:r w:rsidRPr="00BE5FDF">
        <w:rPr>
          <w:rFonts w:asciiTheme="majorBidi" w:eastAsia="Arial" w:hAnsiTheme="majorBidi" w:cstheme="majorBidi"/>
          <w:sz w:val="24"/>
          <w:szCs w:val="24"/>
        </w:rPr>
        <w:t>Tragedi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Kanjuruhan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Renggut</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Ratusan</w:t>
      </w:r>
      <w:proofErr w:type="spellEnd"/>
      <w:r w:rsidRPr="00BE5FDF">
        <w:rPr>
          <w:rFonts w:asciiTheme="majorBidi" w:eastAsia="Arial" w:hAnsiTheme="majorBidi" w:cstheme="majorBidi"/>
          <w:sz w:val="24"/>
          <w:szCs w:val="24"/>
        </w:rPr>
        <w:t xml:space="preserve"> Nyawa, Indonesia </w:t>
      </w:r>
      <w:proofErr w:type="spellStart"/>
      <w:r w:rsidRPr="00BE5FDF">
        <w:rPr>
          <w:rFonts w:asciiTheme="majorBidi" w:eastAsia="Arial" w:hAnsiTheme="majorBidi" w:cstheme="majorBidi"/>
          <w:sz w:val="24"/>
          <w:szCs w:val="24"/>
        </w:rPr>
        <w:t>Disorot</w:t>
      </w:r>
      <w:proofErr w:type="spellEnd"/>
      <w:r w:rsidRPr="00BE5FDF">
        <w:rPr>
          <w:rFonts w:asciiTheme="majorBidi" w:eastAsia="Arial" w:hAnsiTheme="majorBidi" w:cstheme="majorBidi"/>
          <w:sz w:val="24"/>
          <w:szCs w:val="24"/>
        </w:rPr>
        <w:t xml:space="preserve"> Dunia. Kompas.Com. </w:t>
      </w:r>
      <w:hyperlink r:id="rId60" w:history="1">
        <w:r w:rsidRPr="00BE5FDF">
          <w:rPr>
            <w:rStyle w:val="Hyperlink"/>
            <w:rFonts w:asciiTheme="majorBidi" w:eastAsia="Arial" w:hAnsiTheme="majorBidi" w:cstheme="majorBidi"/>
            <w:sz w:val="24"/>
            <w:szCs w:val="24"/>
          </w:rPr>
          <w:t>https://bola.kompas.com/read/2022/10/02/13403128/tragedi-kanjuruhan-renggut-ratusan-nyawa-indonesia-disorot-dunia?page=all</w:t>
        </w:r>
      </w:hyperlink>
      <w:r w:rsidRPr="00BE5FDF">
        <w:rPr>
          <w:rFonts w:asciiTheme="majorBidi" w:eastAsia="Arial" w:hAnsiTheme="majorBidi" w:cstheme="majorBidi"/>
          <w:sz w:val="24"/>
          <w:szCs w:val="24"/>
        </w:rPr>
        <w:t xml:space="preserve">  </w:t>
      </w:r>
    </w:p>
    <w:p w14:paraId="1B3577C3"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Rumandang</w:t>
      </w:r>
      <w:proofErr w:type="spellEnd"/>
      <w:r w:rsidRPr="00BE5FDF">
        <w:rPr>
          <w:rFonts w:asciiTheme="majorBidi" w:eastAsia="Arial" w:hAnsiTheme="majorBidi" w:cstheme="majorBidi"/>
          <w:sz w:val="24"/>
          <w:szCs w:val="24"/>
        </w:rPr>
        <w:t xml:space="preserve"> Bulan, D. (2019). Bahasa Indonesia </w:t>
      </w:r>
      <w:proofErr w:type="spellStart"/>
      <w:r w:rsidRPr="00BE5FDF">
        <w:rPr>
          <w:rFonts w:asciiTheme="majorBidi" w:eastAsia="Arial" w:hAnsiTheme="majorBidi" w:cstheme="majorBidi"/>
          <w:sz w:val="24"/>
          <w:szCs w:val="24"/>
        </w:rPr>
        <w:t>Sebagai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Identitas</w:t>
      </w:r>
      <w:proofErr w:type="spellEnd"/>
      <w:r w:rsidRPr="00BE5FDF">
        <w:rPr>
          <w:rFonts w:asciiTheme="majorBidi" w:eastAsia="Arial" w:hAnsiTheme="majorBidi" w:cstheme="majorBidi"/>
          <w:sz w:val="24"/>
          <w:szCs w:val="24"/>
        </w:rPr>
        <w:t xml:space="preserve"> Nasional </w:t>
      </w:r>
      <w:proofErr w:type="spellStart"/>
      <w:r w:rsidRPr="00BE5FDF">
        <w:rPr>
          <w:rFonts w:asciiTheme="majorBidi" w:eastAsia="Arial" w:hAnsiTheme="majorBidi" w:cstheme="majorBidi"/>
          <w:sz w:val="24"/>
          <w:szCs w:val="24"/>
        </w:rPr>
        <w:t>Bangsa</w:t>
      </w:r>
      <w:proofErr w:type="spellEnd"/>
      <w:r w:rsidRPr="00BE5FDF">
        <w:rPr>
          <w:rFonts w:asciiTheme="majorBidi" w:eastAsia="Arial" w:hAnsiTheme="majorBidi" w:cstheme="majorBidi"/>
          <w:sz w:val="24"/>
          <w:szCs w:val="24"/>
        </w:rPr>
        <w:t xml:space="preserve"> Indonesia. </w:t>
      </w:r>
      <w:proofErr w:type="spellStart"/>
      <w:r w:rsidRPr="00BE5FDF">
        <w:rPr>
          <w:rFonts w:asciiTheme="majorBidi" w:eastAsia="Arial" w:hAnsiTheme="majorBidi" w:cstheme="majorBidi"/>
          <w:i/>
          <w:iCs/>
          <w:sz w:val="24"/>
          <w:szCs w:val="24"/>
        </w:rPr>
        <w:t>Jurnal</w:t>
      </w:r>
      <w:proofErr w:type="spellEnd"/>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Jisipol</w:t>
      </w:r>
      <w:proofErr w:type="spellEnd"/>
      <w:r w:rsidRPr="00BE5FDF">
        <w:rPr>
          <w:rFonts w:asciiTheme="majorBidi" w:eastAsia="Arial" w:hAnsiTheme="majorBidi" w:cstheme="majorBidi"/>
          <w:i/>
          <w:iCs/>
          <w:sz w:val="24"/>
          <w:szCs w:val="24"/>
        </w:rPr>
        <w:t>. 3</w:t>
      </w:r>
      <w:r w:rsidRPr="00BE5FDF">
        <w:rPr>
          <w:rFonts w:asciiTheme="majorBidi" w:eastAsia="Arial" w:hAnsiTheme="majorBidi" w:cstheme="majorBidi"/>
          <w:sz w:val="24"/>
          <w:szCs w:val="24"/>
        </w:rPr>
        <w:t xml:space="preserve">(2), 23-29. </w:t>
      </w:r>
      <w:hyperlink r:id="rId61" w:history="1">
        <w:r w:rsidRPr="00BE5FDF">
          <w:rPr>
            <w:rStyle w:val="Hyperlink"/>
            <w:rFonts w:asciiTheme="majorBidi" w:eastAsia="Arial" w:hAnsiTheme="majorBidi" w:cstheme="majorBidi"/>
            <w:sz w:val="24"/>
            <w:szCs w:val="24"/>
          </w:rPr>
          <w:t>https://unibba.ac.id/ejournal/index.php/jisipol/article/view/115</w:t>
        </w:r>
      </w:hyperlink>
      <w:r w:rsidRPr="00BE5FDF">
        <w:rPr>
          <w:rFonts w:asciiTheme="majorBidi" w:eastAsia="Arial" w:hAnsiTheme="majorBidi" w:cstheme="majorBidi"/>
          <w:sz w:val="24"/>
          <w:szCs w:val="24"/>
        </w:rPr>
        <w:t xml:space="preserve">  </w:t>
      </w:r>
    </w:p>
    <w:p w14:paraId="6D403759"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Sánchez-López, L. (2019). Transforming the community's linguistic landscape in a mixed-learner </w:t>
      </w:r>
      <w:proofErr w:type="gramStart"/>
      <w:r w:rsidRPr="00BE5FDF">
        <w:rPr>
          <w:rFonts w:asciiTheme="majorBidi" w:eastAsia="Arial" w:hAnsiTheme="majorBidi" w:cstheme="majorBidi"/>
          <w:sz w:val="24"/>
          <w:szCs w:val="24"/>
        </w:rPr>
        <w:t>service learning</w:t>
      </w:r>
      <w:proofErr w:type="gramEnd"/>
      <w:r w:rsidRPr="00BE5FDF">
        <w:rPr>
          <w:rFonts w:asciiTheme="majorBidi" w:eastAsia="Arial" w:hAnsiTheme="majorBidi" w:cstheme="majorBidi"/>
          <w:sz w:val="24"/>
          <w:szCs w:val="24"/>
        </w:rPr>
        <w:t xml:space="preserve"> capstone course in a Spanish for specific purposes program</w:t>
      </w:r>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Revista</w:t>
      </w:r>
      <w:proofErr w:type="spellEnd"/>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Signos</w:t>
      </w:r>
      <w:proofErr w:type="spellEnd"/>
      <w:r w:rsidRPr="00BE5FDF">
        <w:rPr>
          <w:rFonts w:asciiTheme="majorBidi" w:eastAsia="Arial" w:hAnsiTheme="majorBidi" w:cstheme="majorBidi"/>
          <w:i/>
          <w:iCs/>
          <w:sz w:val="24"/>
          <w:szCs w:val="24"/>
        </w:rPr>
        <w:t>. 52</w:t>
      </w:r>
      <w:r w:rsidRPr="00BE5FDF">
        <w:rPr>
          <w:rFonts w:asciiTheme="majorBidi" w:eastAsia="Arial" w:hAnsiTheme="majorBidi" w:cstheme="majorBidi"/>
          <w:sz w:val="24"/>
          <w:szCs w:val="24"/>
        </w:rPr>
        <w:t xml:space="preserve">(101). </w:t>
      </w:r>
      <w:hyperlink r:id="rId62" w:history="1">
        <w:r w:rsidRPr="00BE5FDF">
          <w:rPr>
            <w:rStyle w:val="Hyperlink"/>
            <w:rFonts w:asciiTheme="majorBidi" w:eastAsia="Arial" w:hAnsiTheme="majorBidi" w:cstheme="majorBidi"/>
            <w:sz w:val="24"/>
            <w:szCs w:val="24"/>
          </w:rPr>
          <w:t>https://doi.org/10.4067/S0718-09342019000300996</w:t>
        </w:r>
      </w:hyperlink>
      <w:r w:rsidRPr="00BE5FDF">
        <w:rPr>
          <w:rFonts w:asciiTheme="majorBidi" w:eastAsia="Arial" w:hAnsiTheme="majorBidi" w:cstheme="majorBidi"/>
          <w:sz w:val="24"/>
          <w:szCs w:val="24"/>
        </w:rPr>
        <w:t xml:space="preserve">  </w:t>
      </w:r>
    </w:p>
    <w:p w14:paraId="5398446C"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Sanjaya, M. D. (2017). Bahasa Indonesia Dan Daerah </w:t>
      </w:r>
      <w:proofErr w:type="spellStart"/>
      <w:r w:rsidRPr="00BE5FDF">
        <w:rPr>
          <w:rFonts w:asciiTheme="majorBidi" w:eastAsia="Arial" w:hAnsiTheme="majorBidi" w:cstheme="majorBidi"/>
          <w:sz w:val="24"/>
          <w:szCs w:val="24"/>
        </w:rPr>
        <w:t>Sebagai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Perekat</w:t>
      </w:r>
      <w:proofErr w:type="spellEnd"/>
      <w:r w:rsidRPr="00BE5FDF">
        <w:rPr>
          <w:rFonts w:asciiTheme="majorBidi" w:eastAsia="Arial" w:hAnsiTheme="majorBidi" w:cstheme="majorBidi"/>
          <w:sz w:val="24"/>
          <w:szCs w:val="24"/>
        </w:rPr>
        <w:t xml:space="preserve"> Jati Diri Dan Martabat </w:t>
      </w:r>
      <w:proofErr w:type="spellStart"/>
      <w:r w:rsidRPr="00BE5FDF">
        <w:rPr>
          <w:rFonts w:asciiTheme="majorBidi" w:eastAsia="Arial" w:hAnsiTheme="majorBidi" w:cstheme="majorBidi"/>
          <w:sz w:val="24"/>
          <w:szCs w:val="24"/>
        </w:rPr>
        <w:t>Bangsa</w:t>
      </w:r>
      <w:proofErr w:type="spellEnd"/>
      <w:r w:rsidRPr="00BE5FDF">
        <w:rPr>
          <w:rFonts w:asciiTheme="majorBidi" w:eastAsia="Arial" w:hAnsiTheme="majorBidi" w:cstheme="majorBidi"/>
          <w:sz w:val="24"/>
          <w:szCs w:val="24"/>
        </w:rPr>
        <w:t xml:space="preserve"> Di Era </w:t>
      </w:r>
      <w:proofErr w:type="spellStart"/>
      <w:r w:rsidRPr="00BE5FDF">
        <w:rPr>
          <w:rFonts w:asciiTheme="majorBidi" w:eastAsia="Arial" w:hAnsiTheme="majorBidi" w:cstheme="majorBidi"/>
          <w:sz w:val="24"/>
          <w:szCs w:val="24"/>
        </w:rPr>
        <w:t>Globalisasi</w:t>
      </w:r>
      <w:proofErr w:type="spellEnd"/>
      <w:r w:rsidRPr="00BE5FDF">
        <w:rPr>
          <w:rFonts w:asciiTheme="majorBidi" w:eastAsia="Arial" w:hAnsiTheme="majorBidi" w:cstheme="majorBidi"/>
          <w:i/>
          <w:iCs/>
          <w:sz w:val="24"/>
          <w:szCs w:val="24"/>
        </w:rPr>
        <w:t xml:space="preserve">. </w:t>
      </w:r>
      <w:proofErr w:type="spellStart"/>
      <w:r w:rsidRPr="00BE5FDF">
        <w:rPr>
          <w:rFonts w:asciiTheme="majorBidi" w:eastAsia="Arial" w:hAnsiTheme="majorBidi" w:cstheme="majorBidi"/>
          <w:i/>
          <w:iCs/>
          <w:sz w:val="24"/>
          <w:szCs w:val="24"/>
        </w:rPr>
        <w:t>Jurnal</w:t>
      </w:r>
      <w:proofErr w:type="spellEnd"/>
      <w:r w:rsidRPr="00BE5FDF">
        <w:rPr>
          <w:rFonts w:asciiTheme="majorBidi" w:eastAsia="Arial" w:hAnsiTheme="majorBidi" w:cstheme="majorBidi"/>
          <w:i/>
          <w:iCs/>
          <w:sz w:val="24"/>
          <w:szCs w:val="24"/>
        </w:rPr>
        <w:t xml:space="preserve"> Bindo Sastra</w:t>
      </w:r>
      <w:r w:rsidRPr="00BE5FDF">
        <w:rPr>
          <w:rFonts w:asciiTheme="majorBidi" w:eastAsia="Arial" w:hAnsiTheme="majorBidi" w:cstheme="majorBidi"/>
          <w:sz w:val="24"/>
          <w:szCs w:val="24"/>
        </w:rPr>
        <w:t xml:space="preserve">. </w:t>
      </w:r>
      <w:hyperlink r:id="rId63" w:history="1">
        <w:r w:rsidRPr="00BE5FDF">
          <w:rPr>
            <w:rStyle w:val="Hyperlink"/>
            <w:rFonts w:asciiTheme="majorBidi" w:eastAsia="Arial" w:hAnsiTheme="majorBidi" w:cstheme="majorBidi"/>
            <w:sz w:val="24"/>
            <w:szCs w:val="24"/>
          </w:rPr>
          <w:t>https://doi.org/10.32502/jbs.v1i1.662</w:t>
        </w:r>
      </w:hyperlink>
      <w:r w:rsidRPr="00BE5FDF">
        <w:rPr>
          <w:rFonts w:asciiTheme="majorBidi" w:eastAsia="Arial" w:hAnsiTheme="majorBidi" w:cstheme="majorBidi"/>
          <w:sz w:val="24"/>
          <w:szCs w:val="24"/>
        </w:rPr>
        <w:t xml:space="preserve">  </w:t>
      </w:r>
    </w:p>
    <w:p w14:paraId="1385BD14"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Sayer, P. (2009). Using the linguistic landscape as a pedagogical resource. </w:t>
      </w:r>
      <w:r w:rsidRPr="00BE5FDF">
        <w:rPr>
          <w:rFonts w:asciiTheme="majorBidi" w:eastAsia="Arial" w:hAnsiTheme="majorBidi" w:cstheme="majorBidi"/>
          <w:i/>
          <w:iCs/>
          <w:sz w:val="24"/>
          <w:szCs w:val="24"/>
        </w:rPr>
        <w:t>ELT Journal. 1</w:t>
      </w:r>
      <w:r w:rsidRPr="00BE5FDF">
        <w:rPr>
          <w:rFonts w:asciiTheme="majorBidi" w:eastAsia="Arial" w:hAnsiTheme="majorBidi" w:cstheme="majorBidi"/>
          <w:sz w:val="24"/>
          <w:szCs w:val="24"/>
        </w:rPr>
        <w:t xml:space="preserve">(1), 10-14. </w:t>
      </w:r>
      <w:hyperlink r:id="rId64" w:history="1">
        <w:r w:rsidRPr="00BE5FDF">
          <w:rPr>
            <w:rStyle w:val="Hyperlink"/>
            <w:rFonts w:asciiTheme="majorBidi" w:eastAsia="Arial" w:hAnsiTheme="majorBidi" w:cstheme="majorBidi"/>
            <w:sz w:val="24"/>
            <w:szCs w:val="24"/>
          </w:rPr>
          <w:t>https://doi.org/10.1093/elt/ccp051</w:t>
        </w:r>
      </w:hyperlink>
      <w:r w:rsidRPr="00BE5FDF">
        <w:rPr>
          <w:rFonts w:asciiTheme="majorBidi" w:eastAsia="Arial" w:hAnsiTheme="majorBidi" w:cstheme="majorBidi"/>
          <w:sz w:val="24"/>
          <w:szCs w:val="24"/>
        </w:rPr>
        <w:t xml:space="preserve">  </w:t>
      </w:r>
    </w:p>
    <w:p w14:paraId="0CB35394"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Sayer, P. (2020). Ethnographic language learning projects through the linguistic landscape. In </w:t>
      </w:r>
      <w:r w:rsidRPr="00BE5FDF">
        <w:rPr>
          <w:rFonts w:asciiTheme="majorBidi" w:eastAsia="Arial" w:hAnsiTheme="majorBidi" w:cstheme="majorBidi"/>
          <w:i/>
          <w:iCs/>
          <w:sz w:val="24"/>
          <w:szCs w:val="24"/>
        </w:rPr>
        <w:t>Educational Linguistics</w:t>
      </w:r>
      <w:r w:rsidRPr="00BE5FDF">
        <w:rPr>
          <w:rFonts w:asciiTheme="majorBidi" w:eastAsia="Arial" w:hAnsiTheme="majorBidi" w:cstheme="majorBidi"/>
          <w:sz w:val="24"/>
          <w:szCs w:val="24"/>
        </w:rPr>
        <w:t xml:space="preserve">. 327-347. </w:t>
      </w:r>
      <w:hyperlink r:id="rId65" w:history="1">
        <w:r w:rsidRPr="00BE5FDF">
          <w:rPr>
            <w:rStyle w:val="Hyperlink"/>
            <w:rFonts w:asciiTheme="majorBidi" w:eastAsia="Arial" w:hAnsiTheme="majorBidi" w:cstheme="majorBidi"/>
            <w:sz w:val="24"/>
            <w:szCs w:val="24"/>
          </w:rPr>
          <w:t>https://doi.org/10.1007/978-3-030-55761-4_14</w:t>
        </w:r>
      </w:hyperlink>
      <w:r w:rsidRPr="00BE5FDF">
        <w:rPr>
          <w:rFonts w:asciiTheme="majorBidi" w:eastAsia="Arial" w:hAnsiTheme="majorBidi" w:cstheme="majorBidi"/>
          <w:sz w:val="24"/>
          <w:szCs w:val="24"/>
        </w:rPr>
        <w:t xml:space="preserve">  </w:t>
      </w:r>
    </w:p>
    <w:p w14:paraId="569A07C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Scott, J. C. (2000). </w:t>
      </w:r>
      <w:proofErr w:type="spellStart"/>
      <w:r w:rsidRPr="00BE5FDF">
        <w:rPr>
          <w:rFonts w:asciiTheme="majorBidi" w:eastAsia="Arial" w:hAnsiTheme="majorBidi" w:cstheme="majorBidi"/>
          <w:sz w:val="24"/>
          <w:szCs w:val="24"/>
        </w:rPr>
        <w:t>Senjatanya</w:t>
      </w:r>
      <w:proofErr w:type="spellEnd"/>
      <w:r w:rsidRPr="00BE5FDF">
        <w:rPr>
          <w:rFonts w:asciiTheme="majorBidi" w:eastAsia="Arial" w:hAnsiTheme="majorBidi" w:cstheme="majorBidi"/>
          <w:sz w:val="24"/>
          <w:szCs w:val="24"/>
        </w:rPr>
        <w:t xml:space="preserve"> Orang-orang yang Kalah: </w:t>
      </w:r>
      <w:proofErr w:type="spellStart"/>
      <w:r w:rsidRPr="00BE5FDF">
        <w:rPr>
          <w:rFonts w:asciiTheme="majorBidi" w:eastAsia="Arial" w:hAnsiTheme="majorBidi" w:cstheme="majorBidi"/>
          <w:sz w:val="24"/>
          <w:szCs w:val="24"/>
        </w:rPr>
        <w:t>Bentuk-bentuk</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perlawanan</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sehari-hari</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kaum</w:t>
      </w:r>
      <w:proofErr w:type="spellEnd"/>
      <w:r w:rsidRPr="00BE5FDF">
        <w:rPr>
          <w:rFonts w:asciiTheme="majorBidi" w:eastAsia="Arial" w:hAnsiTheme="majorBidi" w:cstheme="majorBidi"/>
          <w:sz w:val="24"/>
          <w:szCs w:val="24"/>
        </w:rPr>
        <w:t xml:space="preserve"> </w:t>
      </w:r>
      <w:proofErr w:type="spellStart"/>
      <w:r w:rsidRPr="00BE5FDF">
        <w:rPr>
          <w:rFonts w:asciiTheme="majorBidi" w:eastAsia="Arial" w:hAnsiTheme="majorBidi" w:cstheme="majorBidi"/>
          <w:sz w:val="24"/>
          <w:szCs w:val="24"/>
        </w:rPr>
        <w:t>tani</w:t>
      </w:r>
      <w:proofErr w:type="spellEnd"/>
      <w:r w:rsidRPr="00BE5FDF">
        <w:rPr>
          <w:rFonts w:asciiTheme="majorBidi" w:eastAsia="Arial" w:hAnsiTheme="majorBidi" w:cstheme="majorBidi"/>
          <w:sz w:val="24"/>
          <w:szCs w:val="24"/>
        </w:rPr>
        <w:t xml:space="preserve">. Yayasan </w:t>
      </w:r>
      <w:proofErr w:type="spellStart"/>
      <w:r w:rsidRPr="00BE5FDF">
        <w:rPr>
          <w:rFonts w:asciiTheme="majorBidi" w:eastAsia="Arial" w:hAnsiTheme="majorBidi" w:cstheme="majorBidi"/>
          <w:sz w:val="24"/>
          <w:szCs w:val="24"/>
        </w:rPr>
        <w:t>Obor</w:t>
      </w:r>
      <w:proofErr w:type="spellEnd"/>
      <w:r w:rsidRPr="00BE5FDF">
        <w:rPr>
          <w:rFonts w:asciiTheme="majorBidi" w:eastAsia="Arial" w:hAnsiTheme="majorBidi" w:cstheme="majorBidi"/>
          <w:sz w:val="24"/>
          <w:szCs w:val="24"/>
        </w:rPr>
        <w:t xml:space="preserve"> Indonesia. </w:t>
      </w:r>
      <w:hyperlink r:id="rId66" w:history="1">
        <w:r w:rsidRPr="00BE5FDF">
          <w:rPr>
            <w:rStyle w:val="Hyperlink"/>
            <w:rFonts w:asciiTheme="majorBidi" w:eastAsia="Arial" w:hAnsiTheme="majorBidi" w:cstheme="majorBidi"/>
            <w:sz w:val="24"/>
            <w:szCs w:val="24"/>
          </w:rPr>
          <w:t>https://cir.nii.ac.jp/crid/1130282270313550208</w:t>
        </w:r>
      </w:hyperlink>
      <w:r w:rsidRPr="00BE5FDF">
        <w:rPr>
          <w:rFonts w:asciiTheme="majorBidi" w:eastAsia="Arial" w:hAnsiTheme="majorBidi" w:cstheme="majorBidi"/>
          <w:sz w:val="24"/>
          <w:szCs w:val="24"/>
        </w:rPr>
        <w:t xml:space="preserve">  </w:t>
      </w:r>
    </w:p>
    <w:p w14:paraId="6E29C4F8" w14:textId="77777777" w:rsidR="00FD130B" w:rsidRPr="00BE5FDF" w:rsidRDefault="00FD130B" w:rsidP="00FD130B">
      <w:pPr>
        <w:spacing w:after="120"/>
        <w:ind w:left="567" w:hanging="567"/>
        <w:rPr>
          <w:rFonts w:asciiTheme="majorBidi" w:eastAsia="Arial" w:hAnsiTheme="majorBidi" w:cstheme="majorBidi"/>
          <w:sz w:val="24"/>
          <w:szCs w:val="24"/>
        </w:rPr>
      </w:pPr>
      <w:proofErr w:type="spellStart"/>
      <w:r w:rsidRPr="00BE5FDF">
        <w:rPr>
          <w:rFonts w:asciiTheme="majorBidi" w:eastAsia="Arial" w:hAnsiTheme="majorBidi" w:cstheme="majorBidi"/>
          <w:sz w:val="24"/>
          <w:szCs w:val="24"/>
        </w:rPr>
        <w:t>Seloni</w:t>
      </w:r>
      <w:proofErr w:type="spellEnd"/>
      <w:r w:rsidRPr="00BE5FDF">
        <w:rPr>
          <w:rFonts w:asciiTheme="majorBidi" w:eastAsia="Arial" w:hAnsiTheme="majorBidi" w:cstheme="majorBidi"/>
          <w:sz w:val="24"/>
          <w:szCs w:val="24"/>
        </w:rPr>
        <w:t xml:space="preserve">, L., &amp; Sarfati, Y. (2017). Linguistic landscape of Gezi Park protests in Turkey: A discourse analysis of graffiti. </w:t>
      </w:r>
      <w:r w:rsidRPr="00BE5FDF">
        <w:rPr>
          <w:rFonts w:asciiTheme="majorBidi" w:eastAsia="Arial" w:hAnsiTheme="majorBidi" w:cstheme="majorBidi"/>
          <w:i/>
          <w:iCs/>
          <w:sz w:val="24"/>
          <w:szCs w:val="24"/>
        </w:rPr>
        <w:t>Journal of Language and Politics. 16</w:t>
      </w:r>
      <w:r w:rsidRPr="00BE5FDF">
        <w:rPr>
          <w:rFonts w:asciiTheme="majorBidi" w:eastAsia="Arial" w:hAnsiTheme="majorBidi" w:cstheme="majorBidi"/>
          <w:sz w:val="24"/>
          <w:szCs w:val="24"/>
        </w:rPr>
        <w:t xml:space="preserve">(6), 782-808. </w:t>
      </w:r>
      <w:hyperlink r:id="rId67" w:history="1">
        <w:r w:rsidRPr="00BE5FDF">
          <w:rPr>
            <w:rStyle w:val="Hyperlink"/>
            <w:rFonts w:asciiTheme="majorBidi" w:eastAsia="Arial" w:hAnsiTheme="majorBidi" w:cstheme="majorBidi"/>
            <w:sz w:val="24"/>
            <w:szCs w:val="24"/>
          </w:rPr>
          <w:t>https://doi.org/10.1075/jlp.15037.sel</w:t>
        </w:r>
      </w:hyperlink>
      <w:r w:rsidRPr="00BE5FDF">
        <w:rPr>
          <w:rFonts w:asciiTheme="majorBidi" w:eastAsia="Arial" w:hAnsiTheme="majorBidi" w:cstheme="majorBidi"/>
          <w:sz w:val="24"/>
          <w:szCs w:val="24"/>
        </w:rPr>
        <w:t xml:space="preserve">  </w:t>
      </w:r>
    </w:p>
    <w:p w14:paraId="53765035"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 xml:space="preserve">Shiri, S. (2015). Co-Constructing Dissent in the Transient Linguistic Landscape: Multilingual Protest Signs of the Tunisian Revolution. In </w:t>
      </w:r>
      <w:r w:rsidRPr="00BE5FDF">
        <w:rPr>
          <w:rFonts w:asciiTheme="majorBidi" w:eastAsia="Arial" w:hAnsiTheme="majorBidi" w:cstheme="majorBidi"/>
          <w:i/>
          <w:iCs/>
          <w:sz w:val="24"/>
          <w:szCs w:val="24"/>
        </w:rPr>
        <w:t>Conflict, Exclusion and Dissent in the Linguistic Landscape.</w:t>
      </w:r>
      <w:r w:rsidRPr="00BE5FDF">
        <w:rPr>
          <w:rFonts w:asciiTheme="majorBidi" w:eastAsia="Arial" w:hAnsiTheme="majorBidi" w:cstheme="majorBidi"/>
          <w:sz w:val="24"/>
          <w:szCs w:val="24"/>
        </w:rPr>
        <w:t xml:space="preserve"> 239-259. </w:t>
      </w:r>
      <w:hyperlink r:id="rId68" w:history="1">
        <w:r w:rsidRPr="00BE5FDF">
          <w:rPr>
            <w:rStyle w:val="Hyperlink"/>
            <w:rFonts w:asciiTheme="majorBidi" w:eastAsia="Arial" w:hAnsiTheme="majorBidi" w:cstheme="majorBidi"/>
            <w:sz w:val="24"/>
            <w:szCs w:val="24"/>
          </w:rPr>
          <w:t>https://doi.org/10.1057/9781137426284_12</w:t>
        </w:r>
      </w:hyperlink>
      <w:r w:rsidRPr="00BE5FDF">
        <w:rPr>
          <w:rFonts w:asciiTheme="majorBidi" w:eastAsia="Arial" w:hAnsiTheme="majorBidi" w:cstheme="majorBidi"/>
          <w:sz w:val="24"/>
          <w:szCs w:val="24"/>
        </w:rPr>
        <w:t xml:space="preserve">  </w:t>
      </w:r>
    </w:p>
    <w:p w14:paraId="7CEFF3AA" w14:textId="77777777" w:rsidR="00FD130B" w:rsidRPr="00BE5FDF" w:rsidRDefault="00FD130B" w:rsidP="00FD130B">
      <w:pPr>
        <w:spacing w:after="120"/>
        <w:ind w:left="567" w:hanging="567"/>
        <w:rPr>
          <w:rFonts w:asciiTheme="majorBidi" w:eastAsia="Arial" w:hAnsiTheme="majorBidi" w:cstheme="majorBidi"/>
          <w:sz w:val="24"/>
          <w:szCs w:val="24"/>
        </w:rPr>
      </w:pPr>
      <w:r w:rsidRPr="00BE5FDF">
        <w:rPr>
          <w:rFonts w:asciiTheme="majorBidi" w:eastAsia="Arial" w:hAnsiTheme="majorBidi" w:cstheme="majorBidi"/>
          <w:sz w:val="24"/>
          <w:szCs w:val="24"/>
        </w:rPr>
        <w:t>Syrjälä, V. (2022). Linguistic Landscapes in the Stockholm Archipelago—</w:t>
      </w:r>
      <w:r w:rsidRPr="00BE5FDF">
        <w:rPr>
          <w:rFonts w:asciiTheme="majorBidi" w:eastAsia="Arial" w:hAnsiTheme="majorBidi" w:cstheme="majorBidi"/>
          <w:i/>
          <w:iCs/>
          <w:sz w:val="24"/>
          <w:szCs w:val="24"/>
        </w:rPr>
        <w:t>Producing and Reflecting a Sense of Place. Languages. 7</w:t>
      </w:r>
      <w:r w:rsidRPr="00BE5FDF">
        <w:rPr>
          <w:rFonts w:asciiTheme="majorBidi" w:eastAsia="Arial" w:hAnsiTheme="majorBidi" w:cstheme="majorBidi"/>
          <w:sz w:val="24"/>
          <w:szCs w:val="24"/>
        </w:rPr>
        <w:t xml:space="preserve">(1), 37. </w:t>
      </w:r>
      <w:hyperlink r:id="rId69" w:history="1">
        <w:r w:rsidRPr="00BE5FDF">
          <w:rPr>
            <w:rStyle w:val="Hyperlink"/>
            <w:rFonts w:asciiTheme="majorBidi" w:eastAsia="Arial" w:hAnsiTheme="majorBidi" w:cstheme="majorBidi"/>
            <w:sz w:val="24"/>
            <w:szCs w:val="24"/>
          </w:rPr>
          <w:t>https://doi.org/10.3390/languages7010037</w:t>
        </w:r>
      </w:hyperlink>
      <w:r w:rsidRPr="00BE5FDF">
        <w:rPr>
          <w:rFonts w:asciiTheme="majorBidi" w:eastAsia="Arial" w:hAnsiTheme="majorBidi" w:cstheme="majorBidi"/>
          <w:sz w:val="24"/>
          <w:szCs w:val="24"/>
        </w:rPr>
        <w:t xml:space="preserve"> </w:t>
      </w:r>
    </w:p>
    <w:p w14:paraId="605BACDF" w14:textId="1C63CEF9" w:rsidR="00FD130B" w:rsidRDefault="00FD130B" w:rsidP="00FD130B">
      <w:pPr>
        <w:widowControl w:val="0"/>
        <w:spacing w:line="240" w:lineRule="auto"/>
        <w:ind w:left="480" w:hanging="480"/>
        <w:jc w:val="both"/>
        <w:rPr>
          <w:rFonts w:ascii="Times New Roman" w:eastAsia="Times New Roman" w:hAnsi="Times New Roman" w:cs="Times New Roman"/>
          <w:sz w:val="24"/>
          <w:szCs w:val="24"/>
        </w:rPr>
      </w:pPr>
      <w:r w:rsidRPr="00BE5FDF">
        <w:rPr>
          <w:rFonts w:asciiTheme="majorBidi" w:eastAsia="Arial" w:hAnsiTheme="majorBidi" w:cstheme="majorBidi"/>
          <w:sz w:val="24"/>
          <w:szCs w:val="24"/>
        </w:rPr>
        <w:t xml:space="preserve">Taylor-Leech, K. (2020). Timorese talking back. Linguistic Landscape. </w:t>
      </w:r>
      <w:r w:rsidRPr="00BE5FDF">
        <w:rPr>
          <w:rFonts w:asciiTheme="majorBidi" w:eastAsia="Arial" w:hAnsiTheme="majorBidi" w:cstheme="majorBidi"/>
          <w:i/>
          <w:iCs/>
          <w:sz w:val="24"/>
          <w:szCs w:val="24"/>
        </w:rPr>
        <w:t>An International Journal. 6</w:t>
      </w:r>
      <w:r w:rsidRPr="00BE5FDF">
        <w:rPr>
          <w:rFonts w:asciiTheme="majorBidi" w:eastAsia="Arial" w:hAnsiTheme="majorBidi" w:cstheme="majorBidi"/>
          <w:sz w:val="24"/>
          <w:szCs w:val="24"/>
        </w:rPr>
        <w:t xml:space="preserve">(1), 29-51. </w:t>
      </w:r>
      <w:hyperlink r:id="rId70" w:history="1">
        <w:r w:rsidRPr="00BE5FDF">
          <w:rPr>
            <w:rStyle w:val="Hyperlink"/>
            <w:rFonts w:asciiTheme="majorBidi" w:eastAsia="Arial" w:hAnsiTheme="majorBidi" w:cstheme="majorBidi"/>
            <w:sz w:val="24"/>
            <w:szCs w:val="24"/>
          </w:rPr>
          <w:t>https://doi.org/10.1075/ll.00016.tay</w:t>
        </w:r>
      </w:hyperlink>
    </w:p>
    <w:sectPr w:rsidR="00FD130B">
      <w:headerReference w:type="default" r:id="rId71"/>
      <w:pgSz w:w="12240" w:h="15840"/>
      <w:pgMar w:top="1700" w:right="1417" w:bottom="1417"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784B2" w14:textId="77777777" w:rsidR="007155AE" w:rsidRDefault="007155AE">
      <w:pPr>
        <w:spacing w:after="0" w:line="240" w:lineRule="auto"/>
      </w:pPr>
      <w:r>
        <w:separator/>
      </w:r>
    </w:p>
  </w:endnote>
  <w:endnote w:type="continuationSeparator" w:id="0">
    <w:p w14:paraId="386CAA5E" w14:textId="77777777" w:rsidR="007155AE" w:rsidRDefault="0071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0D969" w14:textId="77777777" w:rsidR="007155AE" w:rsidRDefault="007155AE">
      <w:pPr>
        <w:spacing w:after="0" w:line="240" w:lineRule="auto"/>
      </w:pPr>
      <w:r>
        <w:separator/>
      </w:r>
    </w:p>
  </w:footnote>
  <w:footnote w:type="continuationSeparator" w:id="0">
    <w:p w14:paraId="6C81B5CB" w14:textId="77777777" w:rsidR="007155AE" w:rsidRDefault="00715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639B5" w14:textId="77777777" w:rsidR="003D71C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 margin: 3 cm                                          Right margin: 2.5 cm</w:t>
    </w:r>
  </w:p>
  <w:p w14:paraId="76309A6F" w14:textId="77777777" w:rsidR="003D71C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Left margin: 3 cm</w:t>
    </w:r>
    <w:r>
      <w:rPr>
        <w:color w:val="000000"/>
      </w:rPr>
      <w:t xml:space="preserve">                                                  </w:t>
    </w:r>
    <w:r>
      <w:rPr>
        <w:rFonts w:ascii="Times New Roman" w:eastAsia="Times New Roman" w:hAnsi="Times New Roman" w:cs="Times New Roman"/>
        <w:color w:val="000000"/>
        <w:sz w:val="24"/>
        <w:szCs w:val="24"/>
      </w:rPr>
      <w:t>Bottom margin: 2.5 cm</w:t>
    </w:r>
  </w:p>
  <w:p w14:paraId="41A191AE" w14:textId="77777777" w:rsidR="003D71C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CD"/>
    <w:rsid w:val="001076DE"/>
    <w:rsid w:val="002160D5"/>
    <w:rsid w:val="00317CDB"/>
    <w:rsid w:val="003D71CD"/>
    <w:rsid w:val="004103E9"/>
    <w:rsid w:val="00410634"/>
    <w:rsid w:val="0048324D"/>
    <w:rsid w:val="00516BEA"/>
    <w:rsid w:val="00680073"/>
    <w:rsid w:val="0070003F"/>
    <w:rsid w:val="007155AE"/>
    <w:rsid w:val="007B0342"/>
    <w:rsid w:val="007C125D"/>
    <w:rsid w:val="007F0002"/>
    <w:rsid w:val="0087412E"/>
    <w:rsid w:val="009240E2"/>
    <w:rsid w:val="009A764C"/>
    <w:rsid w:val="009F10EC"/>
    <w:rsid w:val="00A83438"/>
    <w:rsid w:val="00BA0009"/>
    <w:rsid w:val="00C22559"/>
    <w:rsid w:val="00CC6DD5"/>
    <w:rsid w:val="00EF0D5C"/>
    <w:rsid w:val="00F77390"/>
    <w:rsid w:val="00F93BC3"/>
    <w:rsid w:val="00FA0198"/>
    <w:rsid w:val="00FD130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D3A18"/>
  <w15:docId w15:val="{12DF820E-10AA-41C7-ABA9-F6C8ED52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80073"/>
    <w:rPr>
      <w:color w:val="0000FF" w:themeColor="hyperlink"/>
      <w:u w:val="single"/>
    </w:rPr>
  </w:style>
  <w:style w:type="character" w:styleId="UnresolvedMention">
    <w:name w:val="Unresolved Mention"/>
    <w:basedOn w:val="DefaultParagraphFont"/>
    <w:uiPriority w:val="99"/>
    <w:semiHidden/>
    <w:unhideWhenUsed/>
    <w:rsid w:val="00680073"/>
    <w:rPr>
      <w:color w:val="605E5C"/>
      <w:shd w:val="clear" w:color="auto" w:fill="E1DFDD"/>
    </w:rPr>
  </w:style>
  <w:style w:type="paragraph" w:styleId="ListParagraph">
    <w:name w:val="List Paragraph"/>
    <w:basedOn w:val="Normal"/>
    <w:uiPriority w:val="34"/>
    <w:qFormat/>
    <w:rsid w:val="00A83438"/>
    <w:pPr>
      <w:spacing w:after="200" w:line="276" w:lineRule="auto"/>
      <w:ind w:left="720"/>
      <w:contextualSpacing/>
    </w:pPr>
    <w:rPr>
      <w:lang w:val="en-GB"/>
    </w:rPr>
  </w:style>
  <w:style w:type="table" w:styleId="TableGrid">
    <w:name w:val="Table Grid"/>
    <w:basedOn w:val="TableNormal"/>
    <w:uiPriority w:val="39"/>
    <w:rsid w:val="00A83438"/>
    <w:pPr>
      <w:spacing w:after="0" w:line="240" w:lineRule="auto"/>
    </w:pPr>
    <w:rPr>
      <w:rFonts w:asciiTheme="minorHAnsi" w:eastAsiaTheme="minorHAnsi" w:hAnsiTheme="minorHAnsi" w:cstheme="minorBidi"/>
      <w:lang w:val="en"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rsid w:val="00F77390"/>
    <w:pPr>
      <w:spacing w:before="360" w:after="40" w:line="240" w:lineRule="auto"/>
      <w:jc w:val="center"/>
    </w:pPr>
    <w:rPr>
      <w:rFonts w:ascii="Times New Roman" w:eastAsia="SimSun" w:hAnsi="Times New Roman" w:cs="Times New Roman"/>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doi.org/10.1075/ll.1.1-2.02ben" TargetMode="External"/><Relationship Id="rId21" Type="http://schemas.openxmlformats.org/officeDocument/2006/relationships/image" Target="media/image12.jpeg"/><Relationship Id="rId42" Type="http://schemas.openxmlformats.org/officeDocument/2006/relationships/hyperlink" Target="https://doi.org/10.1515/ijsl-2014-0025" TargetMode="External"/><Relationship Id="rId47" Type="http://schemas.openxmlformats.org/officeDocument/2006/relationships/hyperlink" Target="https://doi.org/10.1177/0261927X970161002" TargetMode="External"/><Relationship Id="rId63" Type="http://schemas.openxmlformats.org/officeDocument/2006/relationships/hyperlink" Target="https://doi.org/10.32502/jbs.v1i1.662" TargetMode="External"/><Relationship Id="rId68" Type="http://schemas.openxmlformats.org/officeDocument/2006/relationships/hyperlink" Target="https://doi.org/10.1057/9781137426284_12" TargetMode="External"/><Relationship Id="rId2" Type="http://schemas.openxmlformats.org/officeDocument/2006/relationships/settings" Target="settings.xml"/><Relationship Id="rId16" Type="http://schemas.openxmlformats.org/officeDocument/2006/relationships/image" Target="media/image7.jpeg"/><Relationship Id="rId29" Type="http://schemas.openxmlformats.org/officeDocument/2006/relationships/hyperlink" Target="https://doi.org/10.1086/684010" TargetMode="External"/><Relationship Id="rId11" Type="http://schemas.openxmlformats.org/officeDocument/2006/relationships/image" Target="media/image2.jpeg"/><Relationship Id="rId24" Type="http://schemas.openxmlformats.org/officeDocument/2006/relationships/hyperlink" Target="https://doi.org/10.25285/2078-1938-2020-12-1-48-80" TargetMode="External"/><Relationship Id="rId32" Type="http://schemas.openxmlformats.org/officeDocument/2006/relationships/hyperlink" Target="https://doi.org/10.34128/jht.v2i1.3" TargetMode="External"/><Relationship Id="rId37" Type="http://schemas.openxmlformats.org/officeDocument/2006/relationships/hyperlink" Target="https://nasional.tempo.co/read/1642553/kronologi-tragedi-kanjuruhan-malang-yang-dipaparkan-kapolri" TargetMode="External"/><Relationship Id="rId40" Type="http://schemas.openxmlformats.org/officeDocument/2006/relationships/hyperlink" Target="https://doi.org/10.22373/adabiya.v22i1.7464" TargetMode="External"/><Relationship Id="rId45" Type="http://schemas.openxmlformats.org/officeDocument/2006/relationships/hyperlink" Target="https://doi.org/10.1016/S0962-6298(02)00054-9" TargetMode="External"/><Relationship Id="rId53" Type="http://schemas.openxmlformats.org/officeDocument/2006/relationships/hyperlink" Target="https://doi.org/10.17645/si.v5i4.1151" TargetMode="External"/><Relationship Id="rId58" Type="http://schemas.openxmlformats.org/officeDocument/2006/relationships/hyperlink" Target="https://doi.org/10.1016/j.linged.2017.10.002" TargetMode="External"/><Relationship Id="rId66" Type="http://schemas.openxmlformats.org/officeDocument/2006/relationships/hyperlink" Target="https://cir.nii.ac.jp/crid/1130282270313550208" TargetMode="External"/><Relationship Id="rId5" Type="http://schemas.openxmlformats.org/officeDocument/2006/relationships/endnotes" Target="endnotes.xml"/><Relationship Id="rId61" Type="http://schemas.openxmlformats.org/officeDocument/2006/relationships/hyperlink" Target="https://unibba.ac.id/ejournal/index.php/jisipol/article/view/115" TargetMode="Externa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hyperlink" Target="https://doi.org/10.52462/jlls.68" TargetMode="External"/><Relationship Id="rId27" Type="http://schemas.openxmlformats.org/officeDocument/2006/relationships/hyperlink" Target="https://doi.org/10.22364/htqe.2021.74" TargetMode="External"/><Relationship Id="rId30" Type="http://schemas.openxmlformats.org/officeDocument/2006/relationships/hyperlink" Target="https://doi.org/10.22158/sll.v1n2p142" TargetMode="External"/><Relationship Id="rId35" Type="http://schemas.openxmlformats.org/officeDocument/2006/relationships/hyperlink" Target="https://www.kompas.id/baca/opini/2022/10/12/tragedi-kanjuruhan-2" TargetMode="External"/><Relationship Id="rId43" Type="http://schemas.openxmlformats.org/officeDocument/2006/relationships/hyperlink" Target="https://www.bbc.com/indonesia/articles/c98w3yyd3pdo" TargetMode="External"/><Relationship Id="rId48" Type="http://schemas.openxmlformats.org/officeDocument/2006/relationships/hyperlink" Target="https://doi.org/10.37671/sb.v7i1.158" TargetMode="External"/><Relationship Id="rId56" Type="http://schemas.openxmlformats.org/officeDocument/2006/relationships/hyperlink" Target="https://doi.org/10.1111/j.1467-9841.2011.00518.x" TargetMode="External"/><Relationship Id="rId64" Type="http://schemas.openxmlformats.org/officeDocument/2006/relationships/hyperlink" Target="https://doi.org/10.1093/elt/ccp051" TargetMode="External"/><Relationship Id="rId69" Type="http://schemas.openxmlformats.org/officeDocument/2006/relationships/hyperlink" Target="https://doi.org/10.3390/languages7010037" TargetMode="External"/><Relationship Id="rId8" Type="http://schemas.openxmlformats.org/officeDocument/2006/relationships/hyperlink" Target="mailto:halimizuhdy@uin-malang.ac.id" TargetMode="External"/><Relationship Id="rId51" Type="http://schemas.openxmlformats.org/officeDocument/2006/relationships/hyperlink" Target="https://www.bbc.com/indonesia/indonesia-63254091"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doi.org/10.1344/Dialectologia2021.27.2" TargetMode="External"/><Relationship Id="rId33" Type="http://schemas.openxmlformats.org/officeDocument/2006/relationships/hyperlink" Target="https://doi.org/10.1080/03057070.2020.1834238" TargetMode="External"/><Relationship Id="rId38" Type="http://schemas.openxmlformats.org/officeDocument/2006/relationships/hyperlink" Target="https://opac.perpusnas.go.id/DetailOpac.aspx?id=945660" TargetMode="External"/><Relationship Id="rId46" Type="http://schemas.openxmlformats.org/officeDocument/2006/relationships/hyperlink" Target="https://doi.org/10.24114/jh.v7i1.6569" TargetMode="External"/><Relationship Id="rId59" Type="http://schemas.openxmlformats.org/officeDocument/2006/relationships/hyperlink" Target="https://doi.org/10.21832/9781853599170-002" TargetMode="External"/><Relationship Id="rId67" Type="http://schemas.openxmlformats.org/officeDocument/2006/relationships/hyperlink" Target="https://doi.org/10.1075/jlp.15037.sel" TargetMode="External"/><Relationship Id="rId20" Type="http://schemas.openxmlformats.org/officeDocument/2006/relationships/image" Target="media/image11.jpeg"/><Relationship Id="rId41" Type="http://schemas.openxmlformats.org/officeDocument/2006/relationships/hyperlink" Target="https://doi.org/10.17507/tpls.0909.11" TargetMode="External"/><Relationship Id="rId54" Type="http://schemas.openxmlformats.org/officeDocument/2006/relationships/hyperlink" Target="https://doi.org/10.1080/01426397.2016.1152356" TargetMode="External"/><Relationship Id="rId62" Type="http://schemas.openxmlformats.org/officeDocument/2006/relationships/hyperlink" Target="https://doi.org/10.4067/S0718-09342019000300996" TargetMode="External"/><Relationship Id="rId70" Type="http://schemas.openxmlformats.org/officeDocument/2006/relationships/hyperlink" Target="https://doi.org/10.1075/ll.00016.tay"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hyperlink" Target="https://doi.org/10.1515/ijsl.2005.2005.175-176.103" TargetMode="External"/><Relationship Id="rId28" Type="http://schemas.openxmlformats.org/officeDocument/2006/relationships/hyperlink" Target="https://doi.org/10.17159/2413-3108/2017/v0n62a3059" TargetMode="External"/><Relationship Id="rId36" Type="http://schemas.openxmlformats.org/officeDocument/2006/relationships/hyperlink" Target="https://www.kompas.tv/article/334089/kini-indonesia-salah-satu-peringkat-teratas-korban-tewas-tragedi-sepak-bola-dunia-ini-daftarnya" TargetMode="External"/><Relationship Id="rId49" Type="http://schemas.openxmlformats.org/officeDocument/2006/relationships/hyperlink" Target="https://doi.org/10.3726/978-3-653-02576-7" TargetMode="External"/><Relationship Id="rId57" Type="http://schemas.openxmlformats.org/officeDocument/2006/relationships/hyperlink" Target="https://doi.org/10.1007/s10980-019-00870-3" TargetMode="External"/><Relationship Id="rId10" Type="http://schemas.openxmlformats.org/officeDocument/2006/relationships/chart" Target="charts/chart1.xml"/><Relationship Id="rId31" Type="http://schemas.openxmlformats.org/officeDocument/2006/relationships/hyperlink" Target="https://www.taylorfrancis.com/chapters/edit/10.4324/9780203930960-21/local-policy-modeling-linguistic-landscape-silvia-dal-negro" TargetMode="External"/><Relationship Id="rId44" Type="http://schemas.openxmlformats.org/officeDocument/2006/relationships/hyperlink" Target="https://doi.org/10.1080/17405904.2019.1656655" TargetMode="External"/><Relationship Id="rId52" Type="http://schemas.openxmlformats.org/officeDocument/2006/relationships/hyperlink" Target="https://doi.org/10.48189/nl.2020.v01i2.006" TargetMode="External"/><Relationship Id="rId60" Type="http://schemas.openxmlformats.org/officeDocument/2006/relationships/hyperlink" Target="https://bola.kompas.com/read/2022/10/02/13403128/tragedi-kanjuruhan-renggut-ratusan-nyawa-indonesia-disorot-dunia?page=all" TargetMode="External"/><Relationship Id="rId65" Type="http://schemas.openxmlformats.org/officeDocument/2006/relationships/hyperlink" Target="https://doi.org/10.1007/978-3-030-55761-4_14" TargetMode="External"/><Relationship Id="rId7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220301210005@student.uin-malang.ac.id" TargetMode="Externa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s://doi.org/10.1080/14733280802183999" TargetMode="External"/><Relationship Id="rId34" Type="http://schemas.openxmlformats.org/officeDocument/2006/relationships/hyperlink" Target="http://kutaksam.karabuk.edu.tr/index.php/ilk/article/view/707" TargetMode="External"/><Relationship Id="rId50" Type="http://schemas.openxmlformats.org/officeDocument/2006/relationships/hyperlink" Target="https://doi.org/10.1186/s13705-019-0230-3" TargetMode="External"/><Relationship Id="rId55" Type="http://schemas.openxmlformats.org/officeDocument/2006/relationships/hyperlink" Target="https://doi.org/10.1007/s10993-007-9063-6" TargetMode="External"/><Relationship Id="rId7" Type="http://schemas.openxmlformats.org/officeDocument/2006/relationships/hyperlink" Target="mailto:faisol@bsa.uin-malang.ac.id" TargetMode="External"/><Relationship Id="rId71"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Monolingual</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Jalan raya</c:v>
                </c:pt>
                <c:pt idx="1">
                  <c:v>Jembatan</c:v>
                </c:pt>
                <c:pt idx="2">
                  <c:v>Kantor Polisi</c:v>
                </c:pt>
                <c:pt idx="3">
                  <c:v>Alun-alun</c:v>
                </c:pt>
                <c:pt idx="4">
                  <c:v>Balai kota</c:v>
                </c:pt>
                <c:pt idx="5">
                  <c:v>Stasiun</c:v>
                </c:pt>
                <c:pt idx="6">
                  <c:v>Toko </c:v>
                </c:pt>
              </c:strCache>
            </c:strRef>
          </c:cat>
          <c:val>
            <c:numRef>
              <c:f>Sheet1!$B$2:$B$8</c:f>
              <c:numCache>
                <c:formatCode>General</c:formatCode>
                <c:ptCount val="7"/>
                <c:pt idx="0">
                  <c:v>57</c:v>
                </c:pt>
                <c:pt idx="1">
                  <c:v>13</c:v>
                </c:pt>
                <c:pt idx="2">
                  <c:v>11</c:v>
                </c:pt>
                <c:pt idx="3">
                  <c:v>7</c:v>
                </c:pt>
                <c:pt idx="4">
                  <c:v>24</c:v>
                </c:pt>
                <c:pt idx="5">
                  <c:v>15</c:v>
                </c:pt>
                <c:pt idx="6">
                  <c:v>21</c:v>
                </c:pt>
              </c:numCache>
            </c:numRef>
          </c:val>
          <c:extLst>
            <c:ext xmlns:c16="http://schemas.microsoft.com/office/drawing/2014/chart" uri="{C3380CC4-5D6E-409C-BE32-E72D297353CC}">
              <c16:uniqueId val="{00000000-2A6E-427E-AA36-3E4083169A54}"/>
            </c:ext>
          </c:extLst>
        </c:ser>
        <c:ser>
          <c:idx val="1"/>
          <c:order val="1"/>
          <c:tx>
            <c:strRef>
              <c:f>Sheet1!$C$1</c:f>
              <c:strCache>
                <c:ptCount val="1"/>
                <c:pt idx="0">
                  <c:v>Bilingual</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Jalan raya</c:v>
                </c:pt>
                <c:pt idx="1">
                  <c:v>Jembatan</c:v>
                </c:pt>
                <c:pt idx="2">
                  <c:v>Kantor Polisi</c:v>
                </c:pt>
                <c:pt idx="3">
                  <c:v>Alun-alun</c:v>
                </c:pt>
                <c:pt idx="4">
                  <c:v>Balai kota</c:v>
                </c:pt>
                <c:pt idx="5">
                  <c:v>Stasiun</c:v>
                </c:pt>
                <c:pt idx="6">
                  <c:v>Toko </c:v>
                </c:pt>
              </c:strCache>
            </c:strRef>
          </c:cat>
          <c:val>
            <c:numRef>
              <c:f>Sheet1!$C$2:$C$8</c:f>
              <c:numCache>
                <c:formatCode>General</c:formatCode>
                <c:ptCount val="7"/>
                <c:pt idx="0">
                  <c:v>34</c:v>
                </c:pt>
                <c:pt idx="1">
                  <c:v>8</c:v>
                </c:pt>
                <c:pt idx="2">
                  <c:v>6</c:v>
                </c:pt>
                <c:pt idx="3">
                  <c:v>1</c:v>
                </c:pt>
                <c:pt idx="4">
                  <c:v>21</c:v>
                </c:pt>
                <c:pt idx="5">
                  <c:v>12</c:v>
                </c:pt>
                <c:pt idx="6">
                  <c:v>7</c:v>
                </c:pt>
              </c:numCache>
            </c:numRef>
          </c:val>
          <c:extLst>
            <c:ext xmlns:c16="http://schemas.microsoft.com/office/drawing/2014/chart" uri="{C3380CC4-5D6E-409C-BE32-E72D297353CC}">
              <c16:uniqueId val="{00000001-2A6E-427E-AA36-3E4083169A54}"/>
            </c:ext>
          </c:extLst>
        </c:ser>
        <c:dLbls>
          <c:dLblPos val="outEnd"/>
          <c:showLegendKey val="0"/>
          <c:showVal val="1"/>
          <c:showCatName val="0"/>
          <c:showSerName val="0"/>
          <c:showPercent val="0"/>
          <c:showBubbleSize val="0"/>
        </c:dLbls>
        <c:gapWidth val="80"/>
        <c:overlap val="25"/>
        <c:axId val="319725263"/>
        <c:axId val="319719855"/>
      </c:barChart>
      <c:catAx>
        <c:axId val="319725263"/>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19719855"/>
        <c:crosses val="autoZero"/>
        <c:auto val="1"/>
        <c:lblAlgn val="ctr"/>
        <c:lblOffset val="100"/>
        <c:noMultiLvlLbl val="0"/>
      </c:catAx>
      <c:valAx>
        <c:axId val="319719855"/>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19725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5880</Words>
  <Characters>35079</Characters>
  <Application>Microsoft Office Word</Application>
  <DocSecurity>0</DocSecurity>
  <Lines>634</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ASPIRE</cp:lastModifiedBy>
  <cp:revision>2</cp:revision>
  <dcterms:created xsi:type="dcterms:W3CDTF">2024-05-11T23:53:00Z</dcterms:created>
  <dcterms:modified xsi:type="dcterms:W3CDTF">2024-05-11T23:53:00Z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07349149c32a89346679b41af7dea1006ccdf619cab9438928c347f3282e2b21</vt:lpwstr>
  </property>
</Properties>
</file>