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7589" w14:textId="05373116" w:rsidR="00B82F6F" w:rsidRPr="00956E98" w:rsidRDefault="00CF4CFF" w:rsidP="00CB43DC">
      <w:pPr>
        <w:jc w:val="center"/>
        <w:rPr>
          <w:b/>
          <w:bCs/>
          <w:sz w:val="32"/>
          <w:szCs w:val="32"/>
        </w:rPr>
      </w:pPr>
      <w:r w:rsidRPr="00956E98">
        <w:rPr>
          <w:b/>
          <w:bCs/>
          <w:sz w:val="32"/>
          <w:szCs w:val="32"/>
        </w:rPr>
        <w:t>ISTIHSAN-BASED WAQF IN THE CAROTAI TRADITION IN THE TANANG RIVER COMMUNITY, AGAM DISTRICT, WEST SUMATRA</w:t>
      </w:r>
    </w:p>
    <w:p w14:paraId="241E9341" w14:textId="77777777" w:rsidR="00B82F6F" w:rsidRDefault="00B82F6F" w:rsidP="00A55DCB">
      <w:pPr>
        <w:jc w:val="both"/>
        <w:rPr>
          <w:b/>
          <w:bCs/>
          <w:sz w:val="28"/>
          <w:szCs w:val="28"/>
        </w:rPr>
      </w:pPr>
    </w:p>
    <w:p w14:paraId="1450E9AF" w14:textId="7BD851D3" w:rsidR="00B63D01" w:rsidRPr="00DA3010" w:rsidRDefault="00955FE3" w:rsidP="00DA3010">
      <w:pPr>
        <w:jc w:val="center"/>
        <w:rPr>
          <w:rStyle w:val="Hyperlink"/>
          <w:b/>
          <w:bCs/>
          <w:i/>
          <w:iCs/>
          <w:color w:val="auto"/>
          <w:u w:val="none"/>
        </w:rPr>
      </w:pPr>
      <w:proofErr w:type="spellStart"/>
      <w:r w:rsidRPr="00DA3010">
        <w:rPr>
          <w:b/>
          <w:bCs/>
          <w:i/>
          <w:iCs/>
        </w:rPr>
        <w:t>Nofiardi</w:t>
      </w:r>
      <w:proofErr w:type="spellEnd"/>
      <w:r w:rsidR="00DA3010" w:rsidRPr="00DA3010">
        <w:rPr>
          <w:b/>
          <w:bCs/>
          <w:i/>
          <w:iCs/>
        </w:rPr>
        <w:t xml:space="preserve">, and </w:t>
      </w:r>
      <w:r w:rsidR="00B63D01" w:rsidRPr="00DA3010">
        <w:rPr>
          <w:rStyle w:val="Hyperlink"/>
          <w:b/>
          <w:bCs/>
          <w:i/>
          <w:iCs/>
          <w:color w:val="auto"/>
          <w:u w:val="none"/>
        </w:rPr>
        <w:t>Muhammad Irfan Helm</w:t>
      </w:r>
      <w:r w:rsidR="0054619B" w:rsidRPr="00DA3010">
        <w:rPr>
          <w:rStyle w:val="Hyperlink"/>
          <w:b/>
          <w:bCs/>
          <w:i/>
          <w:iCs/>
          <w:color w:val="auto"/>
          <w:u w:val="none"/>
        </w:rPr>
        <w:t>y</w:t>
      </w:r>
    </w:p>
    <w:p w14:paraId="2C5D6781" w14:textId="77777777" w:rsidR="00955FE3" w:rsidRDefault="00955FE3" w:rsidP="00955FE3">
      <w:pPr>
        <w:jc w:val="center"/>
      </w:pPr>
    </w:p>
    <w:p w14:paraId="4A9351A8" w14:textId="77777777" w:rsidR="00DA3010" w:rsidRDefault="00DA3010" w:rsidP="008846C2">
      <w:pPr>
        <w:jc w:val="both"/>
        <w:rPr>
          <w:b/>
          <w:bCs/>
        </w:rPr>
      </w:pPr>
    </w:p>
    <w:p w14:paraId="5B4F5C65" w14:textId="2DABFF68" w:rsidR="00F87817" w:rsidRPr="005A56A6" w:rsidRDefault="00F87817" w:rsidP="00F87817">
      <w:pPr>
        <w:jc w:val="both"/>
        <w:rPr>
          <w:sz w:val="22"/>
          <w:szCs w:val="22"/>
        </w:rPr>
      </w:pPr>
      <w:proofErr w:type="spellStart"/>
      <w:r w:rsidRPr="005A56A6">
        <w:rPr>
          <w:b/>
          <w:bCs/>
          <w:sz w:val="22"/>
          <w:szCs w:val="22"/>
        </w:rPr>
        <w:t>Abstrak</w:t>
      </w:r>
      <w:proofErr w:type="spellEnd"/>
      <w:r w:rsidR="005A56A6" w:rsidRPr="005A56A6">
        <w:rPr>
          <w:b/>
          <w:bCs/>
          <w:sz w:val="22"/>
          <w:szCs w:val="22"/>
        </w:rPr>
        <w:t xml:space="preserve">: </w:t>
      </w:r>
      <w:r w:rsidRPr="005A56A6">
        <w:rPr>
          <w:sz w:val="22"/>
          <w:szCs w:val="22"/>
        </w:rPr>
        <w:t xml:space="preserve">Masyarakat Nagari Sungai </w:t>
      </w:r>
      <w:proofErr w:type="spellStart"/>
      <w:r w:rsidRPr="005A56A6">
        <w:rPr>
          <w:sz w:val="22"/>
          <w:szCs w:val="22"/>
        </w:rPr>
        <w:t>Tanang</w:t>
      </w:r>
      <w:proofErr w:type="spellEnd"/>
      <w:r w:rsidRPr="005A56A6">
        <w:rPr>
          <w:sz w:val="22"/>
          <w:szCs w:val="22"/>
        </w:rPr>
        <w:t xml:space="preserve"> </w:t>
      </w:r>
      <w:proofErr w:type="spellStart"/>
      <w:r w:rsidRPr="005A56A6">
        <w:rPr>
          <w:sz w:val="22"/>
          <w:szCs w:val="22"/>
        </w:rPr>
        <w:t>Kecamatan</w:t>
      </w:r>
      <w:proofErr w:type="spellEnd"/>
      <w:r w:rsidRPr="005A56A6">
        <w:rPr>
          <w:sz w:val="22"/>
          <w:szCs w:val="22"/>
        </w:rPr>
        <w:t xml:space="preserve"> </w:t>
      </w:r>
      <w:proofErr w:type="spellStart"/>
      <w:r w:rsidRPr="005A56A6">
        <w:rPr>
          <w:sz w:val="22"/>
          <w:szCs w:val="22"/>
        </w:rPr>
        <w:t>Banuhampu</w:t>
      </w:r>
      <w:proofErr w:type="spellEnd"/>
      <w:r w:rsidRPr="005A56A6">
        <w:rPr>
          <w:sz w:val="22"/>
          <w:szCs w:val="22"/>
        </w:rPr>
        <w:t xml:space="preserve"> </w:t>
      </w:r>
      <w:proofErr w:type="spellStart"/>
      <w:r w:rsidRPr="005A56A6">
        <w:rPr>
          <w:sz w:val="22"/>
          <w:szCs w:val="22"/>
        </w:rPr>
        <w:t>sudah</w:t>
      </w:r>
      <w:proofErr w:type="spellEnd"/>
      <w:r w:rsidRPr="005A56A6">
        <w:rPr>
          <w:sz w:val="22"/>
          <w:szCs w:val="22"/>
        </w:rPr>
        <w:t xml:space="preserve"> lama </w:t>
      </w:r>
      <w:proofErr w:type="spellStart"/>
      <w:r w:rsidRPr="005A56A6">
        <w:rPr>
          <w:sz w:val="22"/>
          <w:szCs w:val="22"/>
        </w:rPr>
        <w:t>melaksanakan</w:t>
      </w:r>
      <w:proofErr w:type="spellEnd"/>
      <w:r w:rsidRPr="005A56A6">
        <w:rPr>
          <w:sz w:val="22"/>
          <w:szCs w:val="22"/>
        </w:rPr>
        <w:t xml:space="preserve"> </w:t>
      </w:r>
      <w:proofErr w:type="spellStart"/>
      <w:r w:rsidRPr="005A56A6">
        <w:rPr>
          <w:sz w:val="22"/>
          <w:szCs w:val="22"/>
        </w:rPr>
        <w:t>wakaf</w:t>
      </w:r>
      <w:proofErr w:type="spellEnd"/>
      <w:r w:rsidRPr="005A56A6">
        <w:rPr>
          <w:sz w:val="22"/>
          <w:szCs w:val="22"/>
        </w:rPr>
        <w:t xml:space="preserve"> </w:t>
      </w:r>
      <w:proofErr w:type="spellStart"/>
      <w:r w:rsidRPr="005A56A6">
        <w:rPr>
          <w:sz w:val="22"/>
          <w:szCs w:val="22"/>
        </w:rPr>
        <w:t>dengan</w:t>
      </w:r>
      <w:proofErr w:type="spellEnd"/>
      <w:r w:rsidRPr="005A56A6">
        <w:rPr>
          <w:sz w:val="22"/>
          <w:szCs w:val="22"/>
        </w:rPr>
        <w:t xml:space="preserve"> </w:t>
      </w:r>
      <w:proofErr w:type="spellStart"/>
      <w:r w:rsidRPr="005A56A6">
        <w:rPr>
          <w:sz w:val="22"/>
          <w:szCs w:val="22"/>
        </w:rPr>
        <w:t>pemeliharaan</w:t>
      </w:r>
      <w:proofErr w:type="spellEnd"/>
      <w:r w:rsidRPr="005A56A6">
        <w:rPr>
          <w:sz w:val="22"/>
          <w:szCs w:val="22"/>
        </w:rPr>
        <w:t xml:space="preserve"> ikan di </w:t>
      </w:r>
      <w:proofErr w:type="spellStart"/>
      <w:r w:rsidRPr="005A56A6">
        <w:rPr>
          <w:sz w:val="22"/>
          <w:szCs w:val="22"/>
        </w:rPr>
        <w:t>sebuah</w:t>
      </w:r>
      <w:proofErr w:type="spellEnd"/>
      <w:r w:rsidRPr="005A56A6">
        <w:rPr>
          <w:sz w:val="22"/>
          <w:szCs w:val="22"/>
        </w:rPr>
        <w:t xml:space="preserve"> </w:t>
      </w:r>
      <w:proofErr w:type="spellStart"/>
      <w:r w:rsidRPr="005A56A6">
        <w:rPr>
          <w:sz w:val="22"/>
          <w:szCs w:val="22"/>
        </w:rPr>
        <w:t>kolam</w:t>
      </w:r>
      <w:proofErr w:type="spellEnd"/>
      <w:r w:rsidRPr="005A56A6">
        <w:rPr>
          <w:sz w:val="22"/>
          <w:szCs w:val="22"/>
        </w:rPr>
        <w:t xml:space="preserve"> ikan </w:t>
      </w:r>
      <w:proofErr w:type="spellStart"/>
      <w:r w:rsidRPr="005A56A6">
        <w:rPr>
          <w:sz w:val="22"/>
          <w:szCs w:val="22"/>
        </w:rPr>
        <w:t>besar</w:t>
      </w:r>
      <w:proofErr w:type="spellEnd"/>
      <w:r w:rsidRPr="005A56A6">
        <w:rPr>
          <w:sz w:val="22"/>
          <w:szCs w:val="22"/>
        </w:rPr>
        <w:t xml:space="preserve"> yang oleh </w:t>
      </w:r>
      <w:proofErr w:type="spellStart"/>
      <w:r w:rsidRPr="005A56A6">
        <w:rPr>
          <w:sz w:val="22"/>
          <w:szCs w:val="22"/>
        </w:rPr>
        <w:t>masyarakat</w:t>
      </w:r>
      <w:proofErr w:type="spellEnd"/>
      <w:r w:rsidRPr="005A56A6">
        <w:rPr>
          <w:sz w:val="22"/>
          <w:szCs w:val="22"/>
        </w:rPr>
        <w:t xml:space="preserve"> </w:t>
      </w:r>
      <w:proofErr w:type="spellStart"/>
      <w:r w:rsidRPr="005A56A6">
        <w:rPr>
          <w:sz w:val="22"/>
          <w:szCs w:val="22"/>
        </w:rPr>
        <w:t>disebut</w:t>
      </w:r>
      <w:proofErr w:type="spellEnd"/>
      <w:r w:rsidRPr="005A56A6">
        <w:rPr>
          <w:sz w:val="22"/>
          <w:szCs w:val="22"/>
        </w:rPr>
        <w:t xml:space="preserve"> </w:t>
      </w:r>
      <w:proofErr w:type="spellStart"/>
      <w:r w:rsidRPr="005A56A6">
        <w:rPr>
          <w:sz w:val="22"/>
          <w:szCs w:val="22"/>
        </w:rPr>
        <w:t>Tabek</w:t>
      </w:r>
      <w:proofErr w:type="spellEnd"/>
      <w:r w:rsidRPr="005A56A6">
        <w:rPr>
          <w:sz w:val="22"/>
          <w:szCs w:val="22"/>
        </w:rPr>
        <w:t xml:space="preserve"> </w:t>
      </w:r>
      <w:proofErr w:type="spellStart"/>
      <w:r w:rsidRPr="005A56A6">
        <w:rPr>
          <w:sz w:val="22"/>
          <w:szCs w:val="22"/>
        </w:rPr>
        <w:t>Gadang</w:t>
      </w:r>
      <w:proofErr w:type="spellEnd"/>
      <w:r w:rsidRPr="005A56A6">
        <w:rPr>
          <w:sz w:val="22"/>
          <w:szCs w:val="22"/>
        </w:rPr>
        <w:t xml:space="preserve">. Setelah ikan-ikan </w:t>
      </w:r>
      <w:proofErr w:type="spellStart"/>
      <w:r w:rsidRPr="005A56A6">
        <w:rPr>
          <w:sz w:val="22"/>
          <w:szCs w:val="22"/>
        </w:rPr>
        <w:t>dari</w:t>
      </w:r>
      <w:proofErr w:type="spellEnd"/>
      <w:r w:rsidRPr="005A56A6">
        <w:rPr>
          <w:sz w:val="22"/>
          <w:szCs w:val="22"/>
        </w:rPr>
        <w:t xml:space="preserve"> </w:t>
      </w:r>
      <w:proofErr w:type="spellStart"/>
      <w:r w:rsidRPr="005A56A6">
        <w:rPr>
          <w:sz w:val="22"/>
          <w:szCs w:val="22"/>
        </w:rPr>
        <w:t>wakaf</w:t>
      </w:r>
      <w:proofErr w:type="spellEnd"/>
      <w:r w:rsidRPr="005A56A6">
        <w:rPr>
          <w:sz w:val="22"/>
          <w:szCs w:val="22"/>
        </w:rPr>
        <w:t xml:space="preserve"> </w:t>
      </w:r>
      <w:proofErr w:type="spellStart"/>
      <w:r w:rsidRPr="005A56A6">
        <w:rPr>
          <w:sz w:val="22"/>
          <w:szCs w:val="22"/>
        </w:rPr>
        <w:t>itu</w:t>
      </w:r>
      <w:proofErr w:type="spellEnd"/>
      <w:r w:rsidRPr="005A56A6">
        <w:rPr>
          <w:sz w:val="22"/>
          <w:szCs w:val="22"/>
        </w:rPr>
        <w:t xml:space="preserve"> </w:t>
      </w:r>
      <w:proofErr w:type="spellStart"/>
      <w:r w:rsidRPr="005A56A6">
        <w:rPr>
          <w:sz w:val="22"/>
          <w:szCs w:val="22"/>
        </w:rPr>
        <w:t>siap</w:t>
      </w:r>
      <w:proofErr w:type="spellEnd"/>
      <w:r w:rsidRPr="005A56A6">
        <w:rPr>
          <w:sz w:val="22"/>
          <w:szCs w:val="22"/>
        </w:rPr>
        <w:t xml:space="preserve"> </w:t>
      </w:r>
      <w:proofErr w:type="spellStart"/>
      <w:r w:rsidRPr="005A56A6">
        <w:rPr>
          <w:sz w:val="22"/>
          <w:szCs w:val="22"/>
        </w:rPr>
        <w:t>panen</w:t>
      </w:r>
      <w:proofErr w:type="spellEnd"/>
      <w:r w:rsidRPr="005A56A6">
        <w:rPr>
          <w:sz w:val="22"/>
          <w:szCs w:val="22"/>
        </w:rPr>
        <w:t xml:space="preserve">, </w:t>
      </w:r>
      <w:proofErr w:type="spellStart"/>
      <w:r w:rsidRPr="005A56A6">
        <w:rPr>
          <w:sz w:val="22"/>
          <w:szCs w:val="22"/>
        </w:rPr>
        <w:t>sebagian</w:t>
      </w:r>
      <w:proofErr w:type="spellEnd"/>
      <w:r w:rsidRPr="005A56A6">
        <w:rPr>
          <w:sz w:val="22"/>
          <w:szCs w:val="22"/>
        </w:rPr>
        <w:t xml:space="preserve"> </w:t>
      </w:r>
      <w:proofErr w:type="spellStart"/>
      <w:r w:rsidRPr="005A56A6">
        <w:rPr>
          <w:sz w:val="22"/>
          <w:szCs w:val="22"/>
        </w:rPr>
        <w:t>dipancingkan</w:t>
      </w:r>
      <w:proofErr w:type="spellEnd"/>
      <w:r w:rsidRPr="005A56A6">
        <w:rPr>
          <w:sz w:val="22"/>
          <w:szCs w:val="22"/>
        </w:rPr>
        <w:t xml:space="preserve"> </w:t>
      </w:r>
      <w:proofErr w:type="spellStart"/>
      <w:r w:rsidRPr="005A56A6">
        <w:rPr>
          <w:sz w:val="22"/>
          <w:szCs w:val="22"/>
        </w:rPr>
        <w:t>beberapa</w:t>
      </w:r>
      <w:proofErr w:type="spellEnd"/>
      <w:r w:rsidRPr="005A56A6">
        <w:rPr>
          <w:sz w:val="22"/>
          <w:szCs w:val="22"/>
        </w:rPr>
        <w:t xml:space="preserve"> kali </w:t>
      </w:r>
      <w:proofErr w:type="spellStart"/>
      <w:r w:rsidRPr="005A56A6">
        <w:rPr>
          <w:sz w:val="22"/>
          <w:szCs w:val="22"/>
        </w:rPr>
        <w:t>pemancingan</w:t>
      </w:r>
      <w:proofErr w:type="spellEnd"/>
      <w:r w:rsidRPr="005A56A6">
        <w:rPr>
          <w:sz w:val="22"/>
          <w:szCs w:val="22"/>
        </w:rPr>
        <w:t xml:space="preserve"> </w:t>
      </w:r>
      <w:proofErr w:type="spellStart"/>
      <w:r w:rsidRPr="005A56A6">
        <w:rPr>
          <w:sz w:val="22"/>
          <w:szCs w:val="22"/>
        </w:rPr>
        <w:t>dengan</w:t>
      </w:r>
      <w:proofErr w:type="spellEnd"/>
      <w:r w:rsidRPr="005A56A6">
        <w:rPr>
          <w:sz w:val="22"/>
          <w:szCs w:val="22"/>
        </w:rPr>
        <w:t xml:space="preserve"> </w:t>
      </w:r>
      <w:proofErr w:type="spellStart"/>
      <w:r w:rsidRPr="005A56A6">
        <w:rPr>
          <w:sz w:val="22"/>
          <w:szCs w:val="22"/>
        </w:rPr>
        <w:t>ribuan</w:t>
      </w:r>
      <w:proofErr w:type="spellEnd"/>
      <w:r w:rsidRPr="005A56A6">
        <w:rPr>
          <w:sz w:val="22"/>
          <w:szCs w:val="22"/>
        </w:rPr>
        <w:t xml:space="preserve"> para </w:t>
      </w:r>
      <w:proofErr w:type="spellStart"/>
      <w:r w:rsidRPr="005A56A6">
        <w:rPr>
          <w:sz w:val="22"/>
          <w:szCs w:val="22"/>
        </w:rPr>
        <w:t>pemancing</w:t>
      </w:r>
      <w:proofErr w:type="spellEnd"/>
      <w:r w:rsidRPr="005A56A6">
        <w:rPr>
          <w:sz w:val="22"/>
          <w:szCs w:val="22"/>
        </w:rPr>
        <w:t xml:space="preserve"> dan uang </w:t>
      </w:r>
      <w:proofErr w:type="spellStart"/>
      <w:r w:rsidRPr="005A56A6">
        <w:rPr>
          <w:sz w:val="22"/>
          <w:szCs w:val="22"/>
        </w:rPr>
        <w:t>hasil</w:t>
      </w:r>
      <w:proofErr w:type="spellEnd"/>
      <w:r w:rsidRPr="005A56A6">
        <w:rPr>
          <w:sz w:val="22"/>
          <w:szCs w:val="22"/>
        </w:rPr>
        <w:t xml:space="preserve"> </w:t>
      </w:r>
      <w:proofErr w:type="spellStart"/>
      <w:r w:rsidRPr="005A56A6">
        <w:rPr>
          <w:sz w:val="22"/>
          <w:szCs w:val="22"/>
        </w:rPr>
        <w:t>pemancingan</w:t>
      </w:r>
      <w:proofErr w:type="spellEnd"/>
      <w:r w:rsidRPr="005A56A6">
        <w:rPr>
          <w:sz w:val="22"/>
          <w:szCs w:val="22"/>
        </w:rPr>
        <w:t xml:space="preserve"> </w:t>
      </w:r>
      <w:proofErr w:type="spellStart"/>
      <w:r w:rsidRPr="005A56A6">
        <w:rPr>
          <w:sz w:val="22"/>
          <w:szCs w:val="22"/>
        </w:rPr>
        <w:t>tersebut</w:t>
      </w:r>
      <w:proofErr w:type="spellEnd"/>
      <w:r w:rsidRPr="005A56A6">
        <w:rPr>
          <w:sz w:val="22"/>
          <w:szCs w:val="22"/>
        </w:rPr>
        <w:t xml:space="preserve"> </w:t>
      </w:r>
      <w:proofErr w:type="spellStart"/>
      <w:r w:rsidRPr="005A56A6">
        <w:rPr>
          <w:sz w:val="22"/>
          <w:szCs w:val="22"/>
        </w:rPr>
        <w:t>dapat</w:t>
      </w:r>
      <w:proofErr w:type="spellEnd"/>
      <w:r w:rsidRPr="005A56A6">
        <w:rPr>
          <w:sz w:val="22"/>
          <w:szCs w:val="22"/>
        </w:rPr>
        <w:t xml:space="preserve"> </w:t>
      </w:r>
      <w:proofErr w:type="spellStart"/>
      <w:r w:rsidRPr="005A56A6">
        <w:rPr>
          <w:sz w:val="22"/>
          <w:szCs w:val="22"/>
        </w:rPr>
        <w:t>dipergunakan</w:t>
      </w:r>
      <w:proofErr w:type="spellEnd"/>
      <w:r w:rsidRPr="005A56A6">
        <w:rPr>
          <w:sz w:val="22"/>
          <w:szCs w:val="22"/>
        </w:rPr>
        <w:t xml:space="preserve"> </w:t>
      </w:r>
      <w:proofErr w:type="spellStart"/>
      <w:r w:rsidRPr="005A56A6">
        <w:rPr>
          <w:sz w:val="22"/>
          <w:szCs w:val="22"/>
        </w:rPr>
        <w:t>untuk</w:t>
      </w:r>
      <w:proofErr w:type="spellEnd"/>
      <w:r w:rsidRPr="005A56A6">
        <w:rPr>
          <w:sz w:val="22"/>
          <w:szCs w:val="22"/>
        </w:rPr>
        <w:t xml:space="preserve"> </w:t>
      </w:r>
      <w:proofErr w:type="spellStart"/>
      <w:r w:rsidRPr="005A56A6">
        <w:rPr>
          <w:sz w:val="22"/>
          <w:szCs w:val="22"/>
        </w:rPr>
        <w:t>pembiayaan</w:t>
      </w:r>
      <w:proofErr w:type="spellEnd"/>
      <w:r w:rsidRPr="005A56A6">
        <w:rPr>
          <w:sz w:val="22"/>
          <w:szCs w:val="22"/>
        </w:rPr>
        <w:t xml:space="preserve"> masjid, </w:t>
      </w:r>
      <w:proofErr w:type="spellStart"/>
      <w:r w:rsidRPr="005A56A6">
        <w:rPr>
          <w:sz w:val="22"/>
          <w:szCs w:val="22"/>
        </w:rPr>
        <w:t>mushalla</w:t>
      </w:r>
      <w:proofErr w:type="spellEnd"/>
      <w:r w:rsidRPr="005A56A6">
        <w:rPr>
          <w:sz w:val="22"/>
          <w:szCs w:val="22"/>
        </w:rPr>
        <w:t xml:space="preserve"> dan </w:t>
      </w:r>
      <w:proofErr w:type="spellStart"/>
      <w:r w:rsidRPr="005A56A6">
        <w:rPr>
          <w:sz w:val="22"/>
          <w:szCs w:val="22"/>
        </w:rPr>
        <w:t>peruntukkan</w:t>
      </w:r>
      <w:proofErr w:type="spellEnd"/>
      <w:r w:rsidRPr="005A56A6">
        <w:rPr>
          <w:sz w:val="22"/>
          <w:szCs w:val="22"/>
        </w:rPr>
        <w:t xml:space="preserve"> </w:t>
      </w:r>
      <w:proofErr w:type="spellStart"/>
      <w:r w:rsidRPr="005A56A6">
        <w:rPr>
          <w:sz w:val="22"/>
          <w:szCs w:val="22"/>
        </w:rPr>
        <w:t>lain</w:t>
      </w:r>
      <w:proofErr w:type="spellEnd"/>
      <w:r w:rsidRPr="005A56A6">
        <w:rPr>
          <w:sz w:val="22"/>
          <w:szCs w:val="22"/>
        </w:rPr>
        <w:t xml:space="preserve">. Sebagian </w:t>
      </w:r>
      <w:proofErr w:type="spellStart"/>
      <w:r w:rsidRPr="005A56A6">
        <w:rPr>
          <w:sz w:val="22"/>
          <w:szCs w:val="22"/>
        </w:rPr>
        <w:t>dijual</w:t>
      </w:r>
      <w:proofErr w:type="spellEnd"/>
      <w:r w:rsidRPr="005A56A6">
        <w:rPr>
          <w:sz w:val="22"/>
          <w:szCs w:val="22"/>
        </w:rPr>
        <w:t xml:space="preserve"> </w:t>
      </w:r>
      <w:proofErr w:type="spellStart"/>
      <w:r w:rsidRPr="005A56A6">
        <w:rPr>
          <w:sz w:val="22"/>
          <w:szCs w:val="22"/>
        </w:rPr>
        <w:t>kepada</w:t>
      </w:r>
      <w:proofErr w:type="spellEnd"/>
      <w:r w:rsidRPr="005A56A6">
        <w:rPr>
          <w:sz w:val="22"/>
          <w:szCs w:val="22"/>
        </w:rPr>
        <w:t xml:space="preserve"> para </w:t>
      </w:r>
      <w:proofErr w:type="spellStart"/>
      <w:r w:rsidRPr="005A56A6">
        <w:rPr>
          <w:sz w:val="22"/>
          <w:szCs w:val="22"/>
        </w:rPr>
        <w:t>pedagang</w:t>
      </w:r>
      <w:proofErr w:type="spellEnd"/>
      <w:r w:rsidRPr="005A56A6">
        <w:rPr>
          <w:sz w:val="22"/>
          <w:szCs w:val="22"/>
        </w:rPr>
        <w:t xml:space="preserve">, dan </w:t>
      </w:r>
      <w:proofErr w:type="spellStart"/>
      <w:r w:rsidRPr="005A56A6">
        <w:rPr>
          <w:sz w:val="22"/>
          <w:szCs w:val="22"/>
        </w:rPr>
        <w:t>sebagian</w:t>
      </w:r>
      <w:proofErr w:type="spellEnd"/>
      <w:r w:rsidRPr="005A56A6">
        <w:rPr>
          <w:sz w:val="22"/>
          <w:szCs w:val="22"/>
        </w:rPr>
        <w:t xml:space="preserve"> lain </w:t>
      </w:r>
      <w:proofErr w:type="spellStart"/>
      <w:r w:rsidRPr="005A56A6">
        <w:rPr>
          <w:sz w:val="22"/>
          <w:szCs w:val="22"/>
        </w:rPr>
        <w:t>dicarotaikan</w:t>
      </w:r>
      <w:proofErr w:type="spellEnd"/>
      <w:r w:rsidRPr="005A56A6">
        <w:rPr>
          <w:sz w:val="22"/>
          <w:szCs w:val="22"/>
        </w:rPr>
        <w:t xml:space="preserve"> </w:t>
      </w:r>
      <w:proofErr w:type="spellStart"/>
      <w:r w:rsidRPr="005A56A6">
        <w:rPr>
          <w:sz w:val="22"/>
          <w:szCs w:val="22"/>
        </w:rPr>
        <w:t>atau</w:t>
      </w:r>
      <w:proofErr w:type="spellEnd"/>
      <w:r w:rsidRPr="005A56A6">
        <w:rPr>
          <w:sz w:val="22"/>
          <w:szCs w:val="22"/>
        </w:rPr>
        <w:t xml:space="preserve"> </w:t>
      </w:r>
      <w:proofErr w:type="spellStart"/>
      <w:r w:rsidRPr="005A56A6">
        <w:rPr>
          <w:sz w:val="22"/>
          <w:szCs w:val="22"/>
        </w:rPr>
        <w:t>diperebutkan</w:t>
      </w:r>
      <w:proofErr w:type="spellEnd"/>
      <w:r w:rsidRPr="005A56A6">
        <w:rPr>
          <w:sz w:val="22"/>
          <w:szCs w:val="22"/>
        </w:rPr>
        <w:t xml:space="preserve"> oleh </w:t>
      </w:r>
      <w:proofErr w:type="spellStart"/>
      <w:r w:rsidRPr="005A56A6">
        <w:rPr>
          <w:sz w:val="22"/>
          <w:szCs w:val="22"/>
        </w:rPr>
        <w:t>ribuan</w:t>
      </w:r>
      <w:proofErr w:type="spellEnd"/>
      <w:r w:rsidRPr="005A56A6">
        <w:rPr>
          <w:sz w:val="22"/>
          <w:szCs w:val="22"/>
        </w:rPr>
        <w:t xml:space="preserve"> </w:t>
      </w:r>
      <w:proofErr w:type="spellStart"/>
      <w:r w:rsidRPr="005A56A6">
        <w:rPr>
          <w:sz w:val="22"/>
          <w:szCs w:val="22"/>
        </w:rPr>
        <w:t>masyarakat</w:t>
      </w:r>
      <w:proofErr w:type="spellEnd"/>
      <w:r w:rsidRPr="005A56A6">
        <w:rPr>
          <w:sz w:val="22"/>
          <w:szCs w:val="22"/>
        </w:rPr>
        <w:t xml:space="preserve">. </w:t>
      </w:r>
      <w:proofErr w:type="spellStart"/>
      <w:r w:rsidRPr="005A56A6">
        <w:rPr>
          <w:sz w:val="22"/>
          <w:szCs w:val="22"/>
        </w:rPr>
        <w:t>Artikel</w:t>
      </w:r>
      <w:proofErr w:type="spellEnd"/>
      <w:r w:rsidRPr="005A56A6">
        <w:rPr>
          <w:sz w:val="22"/>
          <w:szCs w:val="22"/>
        </w:rPr>
        <w:t xml:space="preserve"> </w:t>
      </w:r>
      <w:proofErr w:type="spellStart"/>
      <w:r w:rsidRPr="005A56A6">
        <w:rPr>
          <w:sz w:val="22"/>
          <w:szCs w:val="22"/>
        </w:rPr>
        <w:t>ini</w:t>
      </w:r>
      <w:proofErr w:type="spellEnd"/>
      <w:r w:rsidRPr="005A56A6">
        <w:rPr>
          <w:sz w:val="22"/>
          <w:szCs w:val="22"/>
        </w:rPr>
        <w:t xml:space="preserve"> </w:t>
      </w:r>
      <w:proofErr w:type="spellStart"/>
      <w:r w:rsidRPr="005A56A6">
        <w:rPr>
          <w:sz w:val="22"/>
          <w:szCs w:val="22"/>
        </w:rPr>
        <w:t>membahas</w:t>
      </w:r>
      <w:proofErr w:type="spellEnd"/>
      <w:r w:rsidRPr="005A56A6">
        <w:rPr>
          <w:sz w:val="22"/>
          <w:szCs w:val="22"/>
        </w:rPr>
        <w:t xml:space="preserve"> </w:t>
      </w:r>
      <w:proofErr w:type="spellStart"/>
      <w:r w:rsidRPr="005A56A6">
        <w:rPr>
          <w:sz w:val="22"/>
          <w:szCs w:val="22"/>
        </w:rPr>
        <w:t>tentang</w:t>
      </w:r>
      <w:proofErr w:type="spellEnd"/>
      <w:r w:rsidRPr="005A56A6">
        <w:rPr>
          <w:sz w:val="22"/>
          <w:szCs w:val="22"/>
        </w:rPr>
        <w:t xml:space="preserve"> </w:t>
      </w:r>
      <w:proofErr w:type="spellStart"/>
      <w:r w:rsidRPr="005A56A6">
        <w:rPr>
          <w:sz w:val="22"/>
          <w:szCs w:val="22"/>
        </w:rPr>
        <w:t>carotai</w:t>
      </w:r>
      <w:proofErr w:type="spellEnd"/>
      <w:r w:rsidRPr="005A56A6">
        <w:rPr>
          <w:sz w:val="22"/>
          <w:szCs w:val="22"/>
        </w:rPr>
        <w:t xml:space="preserve"> </w:t>
      </w:r>
      <w:proofErr w:type="spellStart"/>
      <w:r w:rsidRPr="005A56A6">
        <w:rPr>
          <w:sz w:val="22"/>
          <w:szCs w:val="22"/>
        </w:rPr>
        <w:t>wakaf</w:t>
      </w:r>
      <w:proofErr w:type="spellEnd"/>
      <w:r w:rsidRPr="005A56A6">
        <w:rPr>
          <w:sz w:val="22"/>
          <w:szCs w:val="22"/>
        </w:rPr>
        <w:t xml:space="preserve"> pada </w:t>
      </w:r>
      <w:proofErr w:type="spellStart"/>
      <w:r w:rsidRPr="005A56A6">
        <w:rPr>
          <w:sz w:val="22"/>
          <w:szCs w:val="22"/>
        </w:rPr>
        <w:t>masyarakat</w:t>
      </w:r>
      <w:proofErr w:type="spellEnd"/>
      <w:r w:rsidRPr="005A56A6">
        <w:rPr>
          <w:sz w:val="22"/>
          <w:szCs w:val="22"/>
        </w:rPr>
        <w:t xml:space="preserve"> Nagari Sungai </w:t>
      </w:r>
      <w:proofErr w:type="spellStart"/>
      <w:r w:rsidRPr="005A56A6">
        <w:rPr>
          <w:sz w:val="22"/>
          <w:szCs w:val="22"/>
        </w:rPr>
        <w:t>Tanang</w:t>
      </w:r>
      <w:proofErr w:type="spellEnd"/>
      <w:r w:rsidRPr="005A56A6">
        <w:rPr>
          <w:sz w:val="22"/>
          <w:szCs w:val="22"/>
        </w:rPr>
        <w:t xml:space="preserve"> </w:t>
      </w:r>
      <w:proofErr w:type="spellStart"/>
      <w:r w:rsidRPr="005A56A6">
        <w:rPr>
          <w:sz w:val="22"/>
          <w:szCs w:val="22"/>
        </w:rPr>
        <w:t>dengan</w:t>
      </w:r>
      <w:proofErr w:type="spellEnd"/>
      <w:r w:rsidRPr="005A56A6">
        <w:rPr>
          <w:sz w:val="22"/>
          <w:szCs w:val="22"/>
        </w:rPr>
        <w:t xml:space="preserve"> </w:t>
      </w:r>
      <w:proofErr w:type="spellStart"/>
      <w:r w:rsidRPr="005A56A6">
        <w:rPr>
          <w:sz w:val="22"/>
          <w:szCs w:val="22"/>
        </w:rPr>
        <w:t>mendalami</w:t>
      </w:r>
      <w:proofErr w:type="spellEnd"/>
      <w:r w:rsidRPr="005A56A6">
        <w:rPr>
          <w:sz w:val="22"/>
          <w:szCs w:val="22"/>
        </w:rPr>
        <w:t xml:space="preserve"> </w:t>
      </w:r>
      <w:proofErr w:type="spellStart"/>
      <w:r w:rsidRPr="005A56A6">
        <w:rPr>
          <w:sz w:val="22"/>
          <w:szCs w:val="22"/>
        </w:rPr>
        <w:t>nilai-nilai</w:t>
      </w:r>
      <w:proofErr w:type="spellEnd"/>
      <w:r w:rsidRPr="005A56A6">
        <w:rPr>
          <w:sz w:val="22"/>
          <w:szCs w:val="22"/>
        </w:rPr>
        <w:t xml:space="preserve"> yang </w:t>
      </w:r>
      <w:proofErr w:type="spellStart"/>
      <w:r w:rsidRPr="005A56A6">
        <w:rPr>
          <w:sz w:val="22"/>
          <w:szCs w:val="22"/>
        </w:rPr>
        <w:t>menjadi</w:t>
      </w:r>
      <w:proofErr w:type="spellEnd"/>
      <w:r w:rsidRPr="005A56A6">
        <w:rPr>
          <w:sz w:val="22"/>
          <w:szCs w:val="22"/>
        </w:rPr>
        <w:t xml:space="preserve"> </w:t>
      </w:r>
      <w:proofErr w:type="spellStart"/>
      <w:r w:rsidRPr="005A56A6">
        <w:rPr>
          <w:sz w:val="22"/>
          <w:szCs w:val="22"/>
        </w:rPr>
        <w:t>pertimbangan</w:t>
      </w:r>
      <w:proofErr w:type="spellEnd"/>
      <w:r w:rsidRPr="005A56A6">
        <w:rPr>
          <w:sz w:val="22"/>
          <w:szCs w:val="22"/>
        </w:rPr>
        <w:t xml:space="preserve"> </w:t>
      </w:r>
      <w:proofErr w:type="spellStart"/>
      <w:r w:rsidRPr="005A56A6">
        <w:rPr>
          <w:sz w:val="22"/>
          <w:szCs w:val="22"/>
        </w:rPr>
        <w:t>masyarakat</w:t>
      </w:r>
      <w:proofErr w:type="spellEnd"/>
      <w:r w:rsidRPr="005A56A6">
        <w:rPr>
          <w:sz w:val="22"/>
          <w:szCs w:val="22"/>
        </w:rPr>
        <w:t xml:space="preserve"> </w:t>
      </w:r>
      <w:proofErr w:type="spellStart"/>
      <w:r w:rsidRPr="005A56A6">
        <w:rPr>
          <w:sz w:val="22"/>
          <w:szCs w:val="22"/>
        </w:rPr>
        <w:t>melakukan</w:t>
      </w:r>
      <w:proofErr w:type="spellEnd"/>
      <w:r w:rsidRPr="005A56A6">
        <w:rPr>
          <w:sz w:val="22"/>
          <w:szCs w:val="22"/>
        </w:rPr>
        <w:t xml:space="preserve"> </w:t>
      </w:r>
      <w:proofErr w:type="spellStart"/>
      <w:r w:rsidRPr="005A56A6">
        <w:rPr>
          <w:sz w:val="22"/>
          <w:szCs w:val="22"/>
        </w:rPr>
        <w:t>budaya</w:t>
      </w:r>
      <w:proofErr w:type="spellEnd"/>
      <w:r w:rsidRPr="005A56A6">
        <w:rPr>
          <w:sz w:val="22"/>
          <w:szCs w:val="22"/>
        </w:rPr>
        <w:t xml:space="preserve"> </w:t>
      </w:r>
      <w:proofErr w:type="spellStart"/>
      <w:r w:rsidRPr="005A56A6">
        <w:rPr>
          <w:sz w:val="22"/>
          <w:szCs w:val="22"/>
        </w:rPr>
        <w:t>tersebut</w:t>
      </w:r>
      <w:proofErr w:type="spellEnd"/>
      <w:r w:rsidRPr="005A56A6">
        <w:rPr>
          <w:sz w:val="22"/>
          <w:szCs w:val="22"/>
        </w:rPr>
        <w:t xml:space="preserve"> dan </w:t>
      </w:r>
      <w:proofErr w:type="spellStart"/>
      <w:r w:rsidRPr="005A56A6">
        <w:rPr>
          <w:sz w:val="22"/>
          <w:szCs w:val="22"/>
        </w:rPr>
        <w:t>bagaimana</w:t>
      </w:r>
      <w:proofErr w:type="spellEnd"/>
      <w:r w:rsidRPr="005A56A6">
        <w:rPr>
          <w:sz w:val="22"/>
          <w:szCs w:val="22"/>
        </w:rPr>
        <w:t xml:space="preserve"> </w:t>
      </w:r>
      <w:proofErr w:type="spellStart"/>
      <w:r w:rsidRPr="005A56A6">
        <w:rPr>
          <w:sz w:val="22"/>
          <w:szCs w:val="22"/>
        </w:rPr>
        <w:t>pandangan</w:t>
      </w:r>
      <w:proofErr w:type="spellEnd"/>
      <w:r w:rsidRPr="005A56A6">
        <w:rPr>
          <w:sz w:val="22"/>
          <w:szCs w:val="22"/>
        </w:rPr>
        <w:t xml:space="preserve"> </w:t>
      </w:r>
      <w:proofErr w:type="spellStart"/>
      <w:r w:rsidRPr="005A56A6">
        <w:rPr>
          <w:sz w:val="22"/>
          <w:szCs w:val="22"/>
        </w:rPr>
        <w:t>istihsan</w:t>
      </w:r>
      <w:proofErr w:type="spellEnd"/>
      <w:r w:rsidRPr="005A56A6">
        <w:rPr>
          <w:sz w:val="22"/>
          <w:szCs w:val="22"/>
        </w:rPr>
        <w:t xml:space="preserve"> </w:t>
      </w:r>
      <w:proofErr w:type="spellStart"/>
      <w:r w:rsidRPr="005A56A6">
        <w:rPr>
          <w:sz w:val="22"/>
          <w:szCs w:val="22"/>
        </w:rPr>
        <w:t>mengingat</w:t>
      </w:r>
      <w:proofErr w:type="spellEnd"/>
      <w:r w:rsidRPr="005A56A6">
        <w:rPr>
          <w:sz w:val="22"/>
          <w:szCs w:val="22"/>
        </w:rPr>
        <w:t xml:space="preserve"> </w:t>
      </w:r>
      <w:proofErr w:type="spellStart"/>
      <w:r w:rsidRPr="005A56A6">
        <w:rPr>
          <w:sz w:val="22"/>
          <w:szCs w:val="22"/>
        </w:rPr>
        <w:t>ia</w:t>
      </w:r>
      <w:proofErr w:type="spellEnd"/>
      <w:r w:rsidRPr="005A56A6">
        <w:rPr>
          <w:sz w:val="22"/>
          <w:szCs w:val="22"/>
        </w:rPr>
        <w:t xml:space="preserve"> </w:t>
      </w:r>
      <w:proofErr w:type="spellStart"/>
      <w:r w:rsidRPr="005A56A6">
        <w:rPr>
          <w:sz w:val="22"/>
          <w:szCs w:val="22"/>
        </w:rPr>
        <w:t>berasal</w:t>
      </w:r>
      <w:proofErr w:type="spellEnd"/>
      <w:r w:rsidRPr="005A56A6">
        <w:rPr>
          <w:sz w:val="22"/>
          <w:szCs w:val="22"/>
        </w:rPr>
        <w:t xml:space="preserve"> </w:t>
      </w:r>
      <w:proofErr w:type="spellStart"/>
      <w:r w:rsidRPr="005A56A6">
        <w:rPr>
          <w:sz w:val="22"/>
          <w:szCs w:val="22"/>
        </w:rPr>
        <w:t>dari</w:t>
      </w:r>
      <w:proofErr w:type="spellEnd"/>
      <w:r w:rsidRPr="005A56A6">
        <w:rPr>
          <w:sz w:val="22"/>
          <w:szCs w:val="22"/>
        </w:rPr>
        <w:t xml:space="preserve"> </w:t>
      </w:r>
      <w:proofErr w:type="spellStart"/>
      <w:r w:rsidRPr="005A56A6">
        <w:rPr>
          <w:sz w:val="22"/>
          <w:szCs w:val="22"/>
        </w:rPr>
        <w:t>tanah</w:t>
      </w:r>
      <w:proofErr w:type="spellEnd"/>
      <w:r w:rsidRPr="005A56A6">
        <w:rPr>
          <w:sz w:val="22"/>
          <w:szCs w:val="22"/>
        </w:rPr>
        <w:t xml:space="preserve"> </w:t>
      </w:r>
      <w:proofErr w:type="spellStart"/>
      <w:r w:rsidRPr="005A56A6">
        <w:rPr>
          <w:sz w:val="22"/>
          <w:szCs w:val="22"/>
        </w:rPr>
        <w:t>wakaf</w:t>
      </w:r>
      <w:proofErr w:type="spellEnd"/>
      <w:r w:rsidRPr="005A56A6">
        <w:rPr>
          <w:sz w:val="22"/>
          <w:szCs w:val="22"/>
        </w:rPr>
        <w:t xml:space="preserve"> </w:t>
      </w:r>
      <w:proofErr w:type="spellStart"/>
      <w:r w:rsidRPr="005A56A6">
        <w:rPr>
          <w:sz w:val="22"/>
          <w:szCs w:val="22"/>
        </w:rPr>
        <w:t>berupa</w:t>
      </w:r>
      <w:proofErr w:type="spellEnd"/>
      <w:r w:rsidRPr="005A56A6">
        <w:rPr>
          <w:sz w:val="22"/>
          <w:szCs w:val="22"/>
        </w:rPr>
        <w:t xml:space="preserve"> </w:t>
      </w:r>
      <w:proofErr w:type="spellStart"/>
      <w:r w:rsidRPr="005A56A6">
        <w:rPr>
          <w:sz w:val="22"/>
          <w:szCs w:val="22"/>
        </w:rPr>
        <w:t>Tabek</w:t>
      </w:r>
      <w:proofErr w:type="spellEnd"/>
      <w:r w:rsidRPr="005A56A6">
        <w:rPr>
          <w:sz w:val="22"/>
          <w:szCs w:val="22"/>
        </w:rPr>
        <w:t xml:space="preserve"> </w:t>
      </w:r>
      <w:proofErr w:type="spellStart"/>
      <w:r w:rsidRPr="005A56A6">
        <w:rPr>
          <w:sz w:val="22"/>
          <w:szCs w:val="22"/>
        </w:rPr>
        <w:t>Gadang</w:t>
      </w:r>
      <w:proofErr w:type="spellEnd"/>
      <w:r w:rsidRPr="005A56A6">
        <w:rPr>
          <w:sz w:val="22"/>
          <w:szCs w:val="22"/>
        </w:rPr>
        <w:t xml:space="preserve"> yang </w:t>
      </w:r>
      <w:proofErr w:type="spellStart"/>
      <w:r w:rsidRPr="005A56A6">
        <w:rPr>
          <w:sz w:val="22"/>
          <w:szCs w:val="22"/>
        </w:rPr>
        <w:t>diproduktifkan</w:t>
      </w:r>
      <w:proofErr w:type="spellEnd"/>
      <w:r w:rsidRPr="005A56A6">
        <w:rPr>
          <w:sz w:val="22"/>
          <w:szCs w:val="22"/>
        </w:rPr>
        <w:t xml:space="preserve"> </w:t>
      </w:r>
      <w:proofErr w:type="spellStart"/>
      <w:r w:rsidRPr="005A56A6">
        <w:rPr>
          <w:sz w:val="22"/>
          <w:szCs w:val="22"/>
        </w:rPr>
        <w:t>melalui</w:t>
      </w:r>
      <w:proofErr w:type="spellEnd"/>
      <w:r w:rsidRPr="005A56A6">
        <w:rPr>
          <w:sz w:val="22"/>
          <w:szCs w:val="22"/>
        </w:rPr>
        <w:t xml:space="preserve"> </w:t>
      </w:r>
      <w:proofErr w:type="spellStart"/>
      <w:r w:rsidRPr="005A56A6">
        <w:rPr>
          <w:sz w:val="22"/>
          <w:szCs w:val="22"/>
        </w:rPr>
        <w:t>pendekatan</w:t>
      </w:r>
      <w:proofErr w:type="spellEnd"/>
      <w:r w:rsidRPr="005A56A6">
        <w:rPr>
          <w:sz w:val="22"/>
          <w:szCs w:val="22"/>
        </w:rPr>
        <w:t xml:space="preserve"> </w:t>
      </w:r>
      <w:proofErr w:type="spellStart"/>
      <w:r w:rsidRPr="005A56A6">
        <w:rPr>
          <w:sz w:val="22"/>
          <w:szCs w:val="22"/>
        </w:rPr>
        <w:t>istihsan</w:t>
      </w:r>
      <w:proofErr w:type="spellEnd"/>
      <w:r w:rsidRPr="005A56A6">
        <w:rPr>
          <w:sz w:val="22"/>
          <w:szCs w:val="22"/>
        </w:rPr>
        <w:t xml:space="preserve">. </w:t>
      </w:r>
      <w:proofErr w:type="spellStart"/>
      <w:r w:rsidRPr="005A56A6">
        <w:rPr>
          <w:sz w:val="22"/>
          <w:szCs w:val="22"/>
        </w:rPr>
        <w:t>Metode</w:t>
      </w:r>
      <w:proofErr w:type="spellEnd"/>
      <w:r w:rsidRPr="005A56A6">
        <w:rPr>
          <w:sz w:val="22"/>
          <w:szCs w:val="22"/>
        </w:rPr>
        <w:t xml:space="preserve"> </w:t>
      </w:r>
      <w:proofErr w:type="spellStart"/>
      <w:r w:rsidRPr="005A56A6">
        <w:rPr>
          <w:sz w:val="22"/>
          <w:szCs w:val="22"/>
        </w:rPr>
        <w:t>kualitatif</w:t>
      </w:r>
      <w:proofErr w:type="spellEnd"/>
      <w:r w:rsidRPr="005A56A6">
        <w:rPr>
          <w:sz w:val="22"/>
          <w:szCs w:val="22"/>
        </w:rPr>
        <w:t xml:space="preserve"> </w:t>
      </w:r>
      <w:proofErr w:type="spellStart"/>
      <w:r w:rsidRPr="005A56A6">
        <w:rPr>
          <w:sz w:val="22"/>
          <w:szCs w:val="22"/>
        </w:rPr>
        <w:t>dengan</w:t>
      </w:r>
      <w:proofErr w:type="spellEnd"/>
      <w:r w:rsidRPr="005A56A6">
        <w:rPr>
          <w:sz w:val="22"/>
          <w:szCs w:val="22"/>
        </w:rPr>
        <w:t xml:space="preserve"> </w:t>
      </w:r>
      <w:proofErr w:type="spellStart"/>
      <w:r w:rsidRPr="005A56A6">
        <w:rPr>
          <w:sz w:val="22"/>
          <w:szCs w:val="22"/>
        </w:rPr>
        <w:t>pendekatan</w:t>
      </w:r>
      <w:proofErr w:type="spellEnd"/>
      <w:r w:rsidRPr="005A56A6">
        <w:rPr>
          <w:sz w:val="22"/>
          <w:szCs w:val="22"/>
        </w:rPr>
        <w:t xml:space="preserve"> </w:t>
      </w:r>
      <w:proofErr w:type="spellStart"/>
      <w:r w:rsidRPr="005A56A6">
        <w:rPr>
          <w:sz w:val="22"/>
          <w:szCs w:val="22"/>
        </w:rPr>
        <w:t>etnografi</w:t>
      </w:r>
      <w:proofErr w:type="spellEnd"/>
      <w:r w:rsidRPr="005A56A6">
        <w:rPr>
          <w:sz w:val="22"/>
          <w:szCs w:val="22"/>
        </w:rPr>
        <w:t xml:space="preserve"> </w:t>
      </w:r>
      <w:proofErr w:type="spellStart"/>
      <w:r w:rsidRPr="005A56A6">
        <w:rPr>
          <w:sz w:val="22"/>
          <w:szCs w:val="22"/>
        </w:rPr>
        <w:t>dipergunakan</w:t>
      </w:r>
      <w:proofErr w:type="spellEnd"/>
      <w:r w:rsidRPr="005A56A6">
        <w:rPr>
          <w:sz w:val="22"/>
          <w:szCs w:val="22"/>
        </w:rPr>
        <w:t xml:space="preserve"> </w:t>
      </w:r>
      <w:proofErr w:type="spellStart"/>
      <w:r w:rsidRPr="005A56A6">
        <w:rPr>
          <w:sz w:val="22"/>
          <w:szCs w:val="22"/>
        </w:rPr>
        <w:t>untuk</w:t>
      </w:r>
      <w:proofErr w:type="spellEnd"/>
      <w:r w:rsidRPr="005A56A6">
        <w:rPr>
          <w:sz w:val="22"/>
          <w:szCs w:val="22"/>
        </w:rPr>
        <w:t xml:space="preserve"> </w:t>
      </w:r>
      <w:proofErr w:type="spellStart"/>
      <w:r w:rsidRPr="005A56A6">
        <w:rPr>
          <w:sz w:val="22"/>
          <w:szCs w:val="22"/>
        </w:rPr>
        <w:t>menjawab</w:t>
      </w:r>
      <w:proofErr w:type="spellEnd"/>
      <w:r w:rsidRPr="005A56A6">
        <w:rPr>
          <w:sz w:val="22"/>
          <w:szCs w:val="22"/>
        </w:rPr>
        <w:t xml:space="preserve"> </w:t>
      </w:r>
      <w:proofErr w:type="spellStart"/>
      <w:r w:rsidRPr="005A56A6">
        <w:rPr>
          <w:sz w:val="22"/>
          <w:szCs w:val="22"/>
        </w:rPr>
        <w:t>fokus</w:t>
      </w:r>
      <w:proofErr w:type="spellEnd"/>
      <w:r w:rsidRPr="005A56A6">
        <w:rPr>
          <w:sz w:val="22"/>
          <w:szCs w:val="22"/>
        </w:rPr>
        <w:t xml:space="preserve"> </w:t>
      </w:r>
      <w:proofErr w:type="spellStart"/>
      <w:r w:rsidRPr="005A56A6">
        <w:rPr>
          <w:sz w:val="22"/>
          <w:szCs w:val="22"/>
        </w:rPr>
        <w:t>penelitian</w:t>
      </w:r>
      <w:proofErr w:type="spellEnd"/>
      <w:r w:rsidRPr="005A56A6">
        <w:rPr>
          <w:sz w:val="22"/>
          <w:szCs w:val="22"/>
        </w:rPr>
        <w:t xml:space="preserve"> </w:t>
      </w:r>
      <w:proofErr w:type="spellStart"/>
      <w:r w:rsidRPr="005A56A6">
        <w:rPr>
          <w:sz w:val="22"/>
          <w:szCs w:val="22"/>
        </w:rPr>
        <w:t>ini</w:t>
      </w:r>
      <w:proofErr w:type="spellEnd"/>
      <w:r w:rsidRPr="005A56A6">
        <w:rPr>
          <w:sz w:val="22"/>
          <w:szCs w:val="22"/>
        </w:rPr>
        <w:t xml:space="preserve">.  </w:t>
      </w:r>
      <w:proofErr w:type="spellStart"/>
      <w:r w:rsidRPr="005A56A6">
        <w:rPr>
          <w:sz w:val="22"/>
          <w:szCs w:val="22"/>
        </w:rPr>
        <w:t>Artikel</w:t>
      </w:r>
      <w:proofErr w:type="spellEnd"/>
      <w:r w:rsidRPr="005A56A6">
        <w:rPr>
          <w:sz w:val="22"/>
          <w:szCs w:val="22"/>
        </w:rPr>
        <w:t xml:space="preserve"> </w:t>
      </w:r>
      <w:proofErr w:type="spellStart"/>
      <w:r w:rsidRPr="005A56A6">
        <w:rPr>
          <w:sz w:val="22"/>
          <w:szCs w:val="22"/>
        </w:rPr>
        <w:t>ini</w:t>
      </w:r>
      <w:proofErr w:type="spellEnd"/>
      <w:r w:rsidRPr="005A56A6">
        <w:rPr>
          <w:sz w:val="22"/>
          <w:szCs w:val="22"/>
        </w:rPr>
        <w:t xml:space="preserve"> </w:t>
      </w:r>
      <w:proofErr w:type="spellStart"/>
      <w:r w:rsidRPr="005A56A6">
        <w:rPr>
          <w:sz w:val="22"/>
          <w:szCs w:val="22"/>
        </w:rPr>
        <w:t>berargumen</w:t>
      </w:r>
      <w:proofErr w:type="spellEnd"/>
      <w:r w:rsidRPr="005A56A6">
        <w:rPr>
          <w:sz w:val="22"/>
          <w:szCs w:val="22"/>
        </w:rPr>
        <w:t xml:space="preserve">, </w:t>
      </w:r>
      <w:proofErr w:type="spellStart"/>
      <w:r w:rsidRPr="005A56A6">
        <w:rPr>
          <w:sz w:val="22"/>
          <w:szCs w:val="22"/>
        </w:rPr>
        <w:t>masyarakat</w:t>
      </w:r>
      <w:proofErr w:type="spellEnd"/>
      <w:r w:rsidRPr="005A56A6">
        <w:rPr>
          <w:sz w:val="22"/>
          <w:szCs w:val="22"/>
        </w:rPr>
        <w:t xml:space="preserve"> </w:t>
      </w:r>
      <w:proofErr w:type="spellStart"/>
      <w:r w:rsidRPr="005A56A6">
        <w:rPr>
          <w:sz w:val="22"/>
          <w:szCs w:val="22"/>
        </w:rPr>
        <w:t>melalukan</w:t>
      </w:r>
      <w:proofErr w:type="spellEnd"/>
      <w:r w:rsidRPr="005A56A6">
        <w:rPr>
          <w:sz w:val="22"/>
          <w:szCs w:val="22"/>
        </w:rPr>
        <w:t xml:space="preserve"> </w:t>
      </w:r>
      <w:proofErr w:type="spellStart"/>
      <w:r w:rsidRPr="005A56A6">
        <w:rPr>
          <w:sz w:val="22"/>
          <w:szCs w:val="22"/>
        </w:rPr>
        <w:t>carotai</w:t>
      </w:r>
      <w:proofErr w:type="spellEnd"/>
      <w:r w:rsidRPr="005A56A6">
        <w:rPr>
          <w:sz w:val="22"/>
          <w:szCs w:val="22"/>
        </w:rPr>
        <w:t xml:space="preserve"> </w:t>
      </w:r>
      <w:proofErr w:type="spellStart"/>
      <w:r w:rsidRPr="005A56A6">
        <w:rPr>
          <w:sz w:val="22"/>
          <w:szCs w:val="22"/>
        </w:rPr>
        <w:t>wakaf</w:t>
      </w:r>
      <w:proofErr w:type="spellEnd"/>
      <w:r w:rsidRPr="005A56A6">
        <w:rPr>
          <w:sz w:val="22"/>
          <w:szCs w:val="22"/>
        </w:rPr>
        <w:t xml:space="preserve"> </w:t>
      </w:r>
      <w:proofErr w:type="spellStart"/>
      <w:r w:rsidRPr="005A56A6">
        <w:rPr>
          <w:sz w:val="22"/>
          <w:szCs w:val="22"/>
        </w:rPr>
        <w:t>tersebut</w:t>
      </w:r>
      <w:proofErr w:type="spellEnd"/>
      <w:r w:rsidRPr="005A56A6">
        <w:rPr>
          <w:sz w:val="22"/>
          <w:szCs w:val="22"/>
        </w:rPr>
        <w:t xml:space="preserve"> </w:t>
      </w:r>
      <w:proofErr w:type="spellStart"/>
      <w:r w:rsidRPr="005A56A6">
        <w:rPr>
          <w:sz w:val="22"/>
          <w:szCs w:val="22"/>
        </w:rPr>
        <w:t>untuk</w:t>
      </w:r>
      <w:proofErr w:type="spellEnd"/>
      <w:r w:rsidRPr="005A56A6">
        <w:rPr>
          <w:sz w:val="22"/>
          <w:szCs w:val="22"/>
        </w:rPr>
        <w:t xml:space="preserve"> </w:t>
      </w:r>
      <w:proofErr w:type="spellStart"/>
      <w:r w:rsidRPr="005A56A6">
        <w:rPr>
          <w:sz w:val="22"/>
          <w:szCs w:val="22"/>
        </w:rPr>
        <w:t>mewariskan</w:t>
      </w:r>
      <w:proofErr w:type="spellEnd"/>
      <w:r w:rsidRPr="005A56A6">
        <w:rPr>
          <w:sz w:val="22"/>
          <w:szCs w:val="22"/>
        </w:rPr>
        <w:t xml:space="preserve"> </w:t>
      </w:r>
      <w:proofErr w:type="spellStart"/>
      <w:r w:rsidRPr="005A56A6">
        <w:rPr>
          <w:sz w:val="22"/>
          <w:szCs w:val="22"/>
        </w:rPr>
        <w:t>kepada</w:t>
      </w:r>
      <w:proofErr w:type="spellEnd"/>
      <w:r w:rsidRPr="005A56A6">
        <w:rPr>
          <w:sz w:val="22"/>
          <w:szCs w:val="22"/>
        </w:rPr>
        <w:t xml:space="preserve"> </w:t>
      </w:r>
      <w:proofErr w:type="spellStart"/>
      <w:r w:rsidRPr="005A56A6">
        <w:rPr>
          <w:sz w:val="22"/>
          <w:szCs w:val="22"/>
        </w:rPr>
        <w:t>generasi</w:t>
      </w:r>
      <w:proofErr w:type="spellEnd"/>
      <w:r w:rsidRPr="005A56A6">
        <w:rPr>
          <w:sz w:val="22"/>
          <w:szCs w:val="22"/>
        </w:rPr>
        <w:t xml:space="preserve"> </w:t>
      </w:r>
      <w:proofErr w:type="spellStart"/>
      <w:r w:rsidRPr="005A56A6">
        <w:rPr>
          <w:sz w:val="22"/>
          <w:szCs w:val="22"/>
        </w:rPr>
        <w:t>berikutnya</w:t>
      </w:r>
      <w:proofErr w:type="spellEnd"/>
      <w:r w:rsidRPr="005A56A6">
        <w:rPr>
          <w:sz w:val="22"/>
          <w:szCs w:val="22"/>
        </w:rPr>
        <w:t xml:space="preserve"> </w:t>
      </w:r>
      <w:proofErr w:type="spellStart"/>
      <w:r w:rsidRPr="005A56A6">
        <w:rPr>
          <w:sz w:val="22"/>
          <w:szCs w:val="22"/>
        </w:rPr>
        <w:t>nilai-nilai</w:t>
      </w:r>
      <w:proofErr w:type="spellEnd"/>
      <w:r w:rsidRPr="005A56A6">
        <w:rPr>
          <w:sz w:val="22"/>
          <w:szCs w:val="22"/>
        </w:rPr>
        <w:t xml:space="preserve"> </w:t>
      </w:r>
      <w:proofErr w:type="spellStart"/>
      <w:r w:rsidRPr="005A56A6">
        <w:rPr>
          <w:sz w:val="22"/>
          <w:szCs w:val="22"/>
        </w:rPr>
        <w:t>kebersamaan</w:t>
      </w:r>
      <w:proofErr w:type="spellEnd"/>
      <w:r w:rsidRPr="005A56A6">
        <w:rPr>
          <w:sz w:val="22"/>
          <w:szCs w:val="22"/>
        </w:rPr>
        <w:t xml:space="preserve">, </w:t>
      </w:r>
      <w:proofErr w:type="spellStart"/>
      <w:r w:rsidRPr="005A56A6">
        <w:rPr>
          <w:sz w:val="22"/>
          <w:szCs w:val="22"/>
        </w:rPr>
        <w:t>kekeluargaan</w:t>
      </w:r>
      <w:proofErr w:type="spellEnd"/>
      <w:r w:rsidRPr="005A56A6">
        <w:rPr>
          <w:sz w:val="22"/>
          <w:szCs w:val="22"/>
        </w:rPr>
        <w:t xml:space="preserve"> dan </w:t>
      </w:r>
      <w:proofErr w:type="spellStart"/>
      <w:r w:rsidRPr="005A56A6">
        <w:rPr>
          <w:sz w:val="22"/>
          <w:szCs w:val="22"/>
        </w:rPr>
        <w:t>memupuk</w:t>
      </w:r>
      <w:proofErr w:type="spellEnd"/>
      <w:r w:rsidRPr="005A56A6">
        <w:rPr>
          <w:sz w:val="22"/>
          <w:szCs w:val="22"/>
        </w:rPr>
        <w:t xml:space="preserve"> </w:t>
      </w:r>
      <w:proofErr w:type="spellStart"/>
      <w:r w:rsidRPr="005A56A6">
        <w:rPr>
          <w:sz w:val="22"/>
          <w:szCs w:val="22"/>
        </w:rPr>
        <w:t>sifat</w:t>
      </w:r>
      <w:proofErr w:type="spellEnd"/>
      <w:r w:rsidRPr="005A56A6">
        <w:rPr>
          <w:sz w:val="22"/>
          <w:szCs w:val="22"/>
        </w:rPr>
        <w:t xml:space="preserve"> </w:t>
      </w:r>
      <w:proofErr w:type="spellStart"/>
      <w:r w:rsidRPr="005A56A6">
        <w:rPr>
          <w:sz w:val="22"/>
          <w:szCs w:val="22"/>
        </w:rPr>
        <w:t>amanah</w:t>
      </w:r>
      <w:proofErr w:type="spellEnd"/>
      <w:r w:rsidRPr="005A56A6">
        <w:rPr>
          <w:sz w:val="22"/>
          <w:szCs w:val="22"/>
        </w:rPr>
        <w:t xml:space="preserve">, </w:t>
      </w:r>
      <w:proofErr w:type="spellStart"/>
      <w:r w:rsidRPr="005A56A6">
        <w:rPr>
          <w:sz w:val="22"/>
          <w:szCs w:val="22"/>
        </w:rPr>
        <w:t>meskipun</w:t>
      </w:r>
      <w:proofErr w:type="spellEnd"/>
      <w:r w:rsidRPr="005A56A6">
        <w:rPr>
          <w:sz w:val="22"/>
          <w:szCs w:val="22"/>
        </w:rPr>
        <w:t xml:space="preserve"> </w:t>
      </w:r>
      <w:proofErr w:type="spellStart"/>
      <w:r w:rsidRPr="005A56A6">
        <w:rPr>
          <w:sz w:val="22"/>
          <w:szCs w:val="22"/>
        </w:rPr>
        <w:t>dari</w:t>
      </w:r>
      <w:proofErr w:type="spellEnd"/>
      <w:r w:rsidRPr="005A56A6">
        <w:rPr>
          <w:sz w:val="22"/>
          <w:szCs w:val="22"/>
        </w:rPr>
        <w:t xml:space="preserve"> </w:t>
      </w:r>
      <w:proofErr w:type="spellStart"/>
      <w:r w:rsidRPr="005A56A6">
        <w:rPr>
          <w:sz w:val="22"/>
          <w:szCs w:val="22"/>
        </w:rPr>
        <w:t>segi</w:t>
      </w:r>
      <w:proofErr w:type="spellEnd"/>
      <w:r w:rsidRPr="005A56A6">
        <w:rPr>
          <w:sz w:val="22"/>
          <w:szCs w:val="22"/>
        </w:rPr>
        <w:t xml:space="preserve"> </w:t>
      </w:r>
      <w:proofErr w:type="spellStart"/>
      <w:r w:rsidRPr="005A56A6">
        <w:rPr>
          <w:sz w:val="22"/>
          <w:szCs w:val="22"/>
        </w:rPr>
        <w:t>dalil</w:t>
      </w:r>
      <w:proofErr w:type="spellEnd"/>
      <w:r w:rsidRPr="005A56A6">
        <w:rPr>
          <w:sz w:val="22"/>
          <w:szCs w:val="22"/>
        </w:rPr>
        <w:t xml:space="preserve"> </w:t>
      </w:r>
      <w:proofErr w:type="spellStart"/>
      <w:r w:rsidRPr="005A56A6">
        <w:rPr>
          <w:sz w:val="22"/>
          <w:szCs w:val="22"/>
        </w:rPr>
        <w:t>umum</w:t>
      </w:r>
      <w:proofErr w:type="spellEnd"/>
      <w:r w:rsidRPr="005A56A6">
        <w:rPr>
          <w:sz w:val="22"/>
          <w:szCs w:val="22"/>
        </w:rPr>
        <w:t xml:space="preserve"> </w:t>
      </w:r>
      <w:proofErr w:type="spellStart"/>
      <w:r w:rsidRPr="005A56A6">
        <w:rPr>
          <w:sz w:val="22"/>
          <w:szCs w:val="22"/>
        </w:rPr>
        <w:t>tidak</w:t>
      </w:r>
      <w:proofErr w:type="spellEnd"/>
      <w:r w:rsidRPr="005A56A6">
        <w:rPr>
          <w:sz w:val="22"/>
          <w:szCs w:val="22"/>
        </w:rPr>
        <w:t xml:space="preserve"> </w:t>
      </w:r>
      <w:proofErr w:type="spellStart"/>
      <w:r w:rsidRPr="005A56A6">
        <w:rPr>
          <w:sz w:val="22"/>
          <w:szCs w:val="22"/>
        </w:rPr>
        <w:t>ada</w:t>
      </w:r>
      <w:proofErr w:type="spellEnd"/>
      <w:r w:rsidRPr="005A56A6">
        <w:rPr>
          <w:sz w:val="22"/>
          <w:szCs w:val="22"/>
        </w:rPr>
        <w:t xml:space="preserve"> yang </w:t>
      </w:r>
      <w:proofErr w:type="spellStart"/>
      <w:r w:rsidRPr="005A56A6">
        <w:rPr>
          <w:sz w:val="22"/>
          <w:szCs w:val="22"/>
        </w:rPr>
        <w:t>mengatur</w:t>
      </w:r>
      <w:proofErr w:type="spellEnd"/>
      <w:r w:rsidRPr="005A56A6">
        <w:rPr>
          <w:sz w:val="22"/>
          <w:szCs w:val="22"/>
        </w:rPr>
        <w:t xml:space="preserve"> dan </w:t>
      </w:r>
      <w:proofErr w:type="spellStart"/>
      <w:r w:rsidRPr="005A56A6">
        <w:rPr>
          <w:sz w:val="22"/>
          <w:szCs w:val="22"/>
        </w:rPr>
        <w:t>membolehkannya</w:t>
      </w:r>
      <w:proofErr w:type="spellEnd"/>
      <w:r w:rsidRPr="005A56A6">
        <w:rPr>
          <w:sz w:val="22"/>
          <w:szCs w:val="22"/>
        </w:rPr>
        <w:t xml:space="preserve">, </w:t>
      </w:r>
      <w:proofErr w:type="spellStart"/>
      <w:r w:rsidRPr="005A56A6">
        <w:rPr>
          <w:sz w:val="22"/>
          <w:szCs w:val="22"/>
        </w:rPr>
        <w:t>tetapi</w:t>
      </w:r>
      <w:proofErr w:type="spellEnd"/>
      <w:r w:rsidRPr="005A56A6">
        <w:rPr>
          <w:sz w:val="22"/>
          <w:szCs w:val="22"/>
        </w:rPr>
        <w:t xml:space="preserve"> </w:t>
      </w:r>
      <w:proofErr w:type="spellStart"/>
      <w:r w:rsidRPr="005A56A6">
        <w:rPr>
          <w:sz w:val="22"/>
          <w:szCs w:val="22"/>
        </w:rPr>
        <w:t>dengan</w:t>
      </w:r>
      <w:proofErr w:type="spellEnd"/>
      <w:r w:rsidRPr="005A56A6">
        <w:rPr>
          <w:sz w:val="22"/>
          <w:szCs w:val="22"/>
        </w:rPr>
        <w:t xml:space="preserve"> </w:t>
      </w:r>
      <w:proofErr w:type="spellStart"/>
      <w:r w:rsidRPr="005A56A6">
        <w:rPr>
          <w:sz w:val="22"/>
          <w:szCs w:val="22"/>
        </w:rPr>
        <w:t>beralihnya</w:t>
      </w:r>
      <w:proofErr w:type="spellEnd"/>
      <w:r w:rsidRPr="005A56A6">
        <w:rPr>
          <w:sz w:val="22"/>
          <w:szCs w:val="22"/>
        </w:rPr>
        <w:t xml:space="preserve"> </w:t>
      </w:r>
      <w:proofErr w:type="spellStart"/>
      <w:r w:rsidRPr="005A56A6">
        <w:rPr>
          <w:sz w:val="22"/>
          <w:szCs w:val="22"/>
        </w:rPr>
        <w:t>kepada</w:t>
      </w:r>
      <w:proofErr w:type="spellEnd"/>
      <w:r w:rsidRPr="005A56A6">
        <w:rPr>
          <w:sz w:val="22"/>
          <w:szCs w:val="22"/>
        </w:rPr>
        <w:t xml:space="preserve"> </w:t>
      </w:r>
      <w:proofErr w:type="spellStart"/>
      <w:r w:rsidRPr="005A56A6">
        <w:rPr>
          <w:sz w:val="22"/>
          <w:szCs w:val="22"/>
        </w:rPr>
        <w:t>dalil</w:t>
      </w:r>
      <w:proofErr w:type="spellEnd"/>
      <w:r w:rsidRPr="005A56A6">
        <w:rPr>
          <w:sz w:val="22"/>
          <w:szCs w:val="22"/>
        </w:rPr>
        <w:t xml:space="preserve"> lain </w:t>
      </w:r>
      <w:proofErr w:type="spellStart"/>
      <w:r w:rsidRPr="005A56A6">
        <w:rPr>
          <w:sz w:val="22"/>
          <w:szCs w:val="22"/>
        </w:rPr>
        <w:t>berdasarkan</w:t>
      </w:r>
      <w:proofErr w:type="spellEnd"/>
      <w:r w:rsidRPr="005A56A6">
        <w:rPr>
          <w:sz w:val="22"/>
          <w:szCs w:val="22"/>
        </w:rPr>
        <w:t xml:space="preserve"> </w:t>
      </w:r>
      <w:proofErr w:type="spellStart"/>
      <w:r w:rsidRPr="005A56A6">
        <w:rPr>
          <w:sz w:val="22"/>
          <w:szCs w:val="22"/>
        </w:rPr>
        <w:t>istihsan</w:t>
      </w:r>
      <w:proofErr w:type="spellEnd"/>
      <w:r w:rsidRPr="005A56A6">
        <w:rPr>
          <w:sz w:val="22"/>
          <w:szCs w:val="22"/>
        </w:rPr>
        <w:t xml:space="preserve"> </w:t>
      </w:r>
      <w:proofErr w:type="spellStart"/>
      <w:r w:rsidRPr="005A56A6">
        <w:rPr>
          <w:sz w:val="22"/>
          <w:szCs w:val="22"/>
        </w:rPr>
        <w:t>dengan</w:t>
      </w:r>
      <w:proofErr w:type="spellEnd"/>
      <w:r w:rsidRPr="005A56A6">
        <w:rPr>
          <w:sz w:val="22"/>
          <w:szCs w:val="22"/>
        </w:rPr>
        <w:t xml:space="preserve"> ijma’ </w:t>
      </w:r>
      <w:proofErr w:type="spellStart"/>
      <w:r w:rsidRPr="005A56A6">
        <w:rPr>
          <w:sz w:val="22"/>
          <w:szCs w:val="22"/>
        </w:rPr>
        <w:t>bisa</w:t>
      </w:r>
      <w:proofErr w:type="spellEnd"/>
      <w:r w:rsidRPr="005A56A6">
        <w:rPr>
          <w:sz w:val="22"/>
          <w:szCs w:val="22"/>
        </w:rPr>
        <w:t xml:space="preserve"> </w:t>
      </w:r>
      <w:proofErr w:type="spellStart"/>
      <w:r w:rsidRPr="005A56A6">
        <w:rPr>
          <w:sz w:val="22"/>
          <w:szCs w:val="22"/>
        </w:rPr>
        <w:t>dijadikan</w:t>
      </w:r>
      <w:proofErr w:type="spellEnd"/>
      <w:r w:rsidRPr="005A56A6">
        <w:rPr>
          <w:sz w:val="22"/>
          <w:szCs w:val="22"/>
        </w:rPr>
        <w:t xml:space="preserve"> </w:t>
      </w:r>
      <w:proofErr w:type="spellStart"/>
      <w:r w:rsidRPr="005A56A6">
        <w:rPr>
          <w:sz w:val="22"/>
          <w:szCs w:val="22"/>
        </w:rPr>
        <w:t>pertimbangan</w:t>
      </w:r>
      <w:proofErr w:type="spellEnd"/>
      <w:r w:rsidRPr="005A56A6">
        <w:rPr>
          <w:sz w:val="22"/>
          <w:szCs w:val="22"/>
        </w:rPr>
        <w:t xml:space="preserve"> </w:t>
      </w:r>
      <w:proofErr w:type="spellStart"/>
      <w:r w:rsidRPr="005A56A6">
        <w:rPr>
          <w:sz w:val="22"/>
          <w:szCs w:val="22"/>
        </w:rPr>
        <w:t>untuk</w:t>
      </w:r>
      <w:proofErr w:type="spellEnd"/>
      <w:r w:rsidRPr="005A56A6">
        <w:rPr>
          <w:sz w:val="22"/>
          <w:szCs w:val="22"/>
        </w:rPr>
        <w:t xml:space="preserve"> </w:t>
      </w:r>
      <w:proofErr w:type="spellStart"/>
      <w:r w:rsidRPr="005A56A6">
        <w:rPr>
          <w:sz w:val="22"/>
          <w:szCs w:val="22"/>
        </w:rPr>
        <w:t>terus</w:t>
      </w:r>
      <w:proofErr w:type="spellEnd"/>
      <w:r w:rsidRPr="005A56A6">
        <w:rPr>
          <w:sz w:val="22"/>
          <w:szCs w:val="22"/>
        </w:rPr>
        <w:t xml:space="preserve"> </w:t>
      </w:r>
      <w:proofErr w:type="spellStart"/>
      <w:r w:rsidRPr="005A56A6">
        <w:rPr>
          <w:sz w:val="22"/>
          <w:szCs w:val="22"/>
        </w:rPr>
        <w:t>berlanjutnya</w:t>
      </w:r>
      <w:proofErr w:type="spellEnd"/>
      <w:r w:rsidRPr="005A56A6">
        <w:rPr>
          <w:sz w:val="22"/>
          <w:szCs w:val="22"/>
        </w:rPr>
        <w:t xml:space="preserve"> </w:t>
      </w:r>
      <w:proofErr w:type="spellStart"/>
      <w:r w:rsidRPr="005A56A6">
        <w:rPr>
          <w:sz w:val="22"/>
          <w:szCs w:val="22"/>
        </w:rPr>
        <w:t>budaya</w:t>
      </w:r>
      <w:proofErr w:type="spellEnd"/>
      <w:r w:rsidRPr="005A56A6">
        <w:rPr>
          <w:sz w:val="22"/>
          <w:szCs w:val="22"/>
        </w:rPr>
        <w:t xml:space="preserve"> </w:t>
      </w:r>
      <w:proofErr w:type="spellStart"/>
      <w:r w:rsidRPr="005A56A6">
        <w:rPr>
          <w:sz w:val="22"/>
          <w:szCs w:val="22"/>
        </w:rPr>
        <w:t>atau</w:t>
      </w:r>
      <w:proofErr w:type="spellEnd"/>
      <w:r w:rsidRPr="005A56A6">
        <w:rPr>
          <w:sz w:val="22"/>
          <w:szCs w:val="22"/>
        </w:rPr>
        <w:t xml:space="preserve"> </w:t>
      </w:r>
      <w:proofErr w:type="spellStart"/>
      <w:r w:rsidRPr="005A56A6">
        <w:rPr>
          <w:sz w:val="22"/>
          <w:szCs w:val="22"/>
        </w:rPr>
        <w:t>tradisi</w:t>
      </w:r>
      <w:proofErr w:type="spellEnd"/>
      <w:r w:rsidRPr="005A56A6">
        <w:rPr>
          <w:sz w:val="22"/>
          <w:szCs w:val="22"/>
        </w:rPr>
        <w:t xml:space="preserve"> </w:t>
      </w:r>
      <w:proofErr w:type="spellStart"/>
      <w:r w:rsidRPr="005A56A6">
        <w:rPr>
          <w:sz w:val="22"/>
          <w:szCs w:val="22"/>
        </w:rPr>
        <w:t>carotai</w:t>
      </w:r>
      <w:proofErr w:type="spellEnd"/>
      <w:r w:rsidRPr="005A56A6">
        <w:rPr>
          <w:sz w:val="22"/>
          <w:szCs w:val="22"/>
        </w:rPr>
        <w:t xml:space="preserve"> </w:t>
      </w:r>
      <w:proofErr w:type="spellStart"/>
      <w:r w:rsidRPr="005A56A6">
        <w:rPr>
          <w:sz w:val="22"/>
          <w:szCs w:val="22"/>
        </w:rPr>
        <w:t>wakaf</w:t>
      </w:r>
      <w:proofErr w:type="spellEnd"/>
      <w:r w:rsidRPr="005A56A6">
        <w:rPr>
          <w:sz w:val="22"/>
          <w:szCs w:val="22"/>
        </w:rPr>
        <w:t xml:space="preserve"> </w:t>
      </w:r>
      <w:proofErr w:type="spellStart"/>
      <w:r w:rsidRPr="005A56A6">
        <w:rPr>
          <w:sz w:val="22"/>
          <w:szCs w:val="22"/>
        </w:rPr>
        <w:t>ini</w:t>
      </w:r>
      <w:proofErr w:type="spellEnd"/>
      <w:r w:rsidRPr="005A56A6">
        <w:rPr>
          <w:sz w:val="22"/>
          <w:szCs w:val="22"/>
        </w:rPr>
        <w:t>.</w:t>
      </w:r>
    </w:p>
    <w:p w14:paraId="0E987772" w14:textId="25AB5ADA" w:rsidR="00F87817" w:rsidRPr="000F79A6" w:rsidRDefault="00F87817" w:rsidP="005A56A6">
      <w:pPr>
        <w:spacing w:before="240"/>
        <w:jc w:val="both"/>
        <w:rPr>
          <w:sz w:val="22"/>
          <w:szCs w:val="22"/>
        </w:rPr>
      </w:pPr>
      <w:r w:rsidRPr="000F79A6">
        <w:rPr>
          <w:b/>
          <w:bCs/>
          <w:sz w:val="22"/>
          <w:szCs w:val="22"/>
        </w:rPr>
        <w:t>K</w:t>
      </w:r>
      <w:r w:rsidR="005A56A6" w:rsidRPr="000F79A6">
        <w:rPr>
          <w:b/>
          <w:bCs/>
          <w:sz w:val="22"/>
          <w:szCs w:val="22"/>
        </w:rPr>
        <w:t xml:space="preserve">ata </w:t>
      </w:r>
      <w:proofErr w:type="spellStart"/>
      <w:r w:rsidR="005A56A6" w:rsidRPr="000F79A6">
        <w:rPr>
          <w:b/>
          <w:bCs/>
          <w:sz w:val="22"/>
          <w:szCs w:val="22"/>
        </w:rPr>
        <w:t>kunci</w:t>
      </w:r>
      <w:proofErr w:type="spellEnd"/>
      <w:r w:rsidRPr="000F79A6">
        <w:rPr>
          <w:sz w:val="22"/>
          <w:szCs w:val="22"/>
        </w:rPr>
        <w:t xml:space="preserve">: </w:t>
      </w:r>
      <w:proofErr w:type="spellStart"/>
      <w:r w:rsidRPr="000F79A6">
        <w:rPr>
          <w:sz w:val="22"/>
          <w:szCs w:val="22"/>
        </w:rPr>
        <w:t>Carotai</w:t>
      </w:r>
      <w:proofErr w:type="spellEnd"/>
      <w:r w:rsidRPr="000F79A6">
        <w:rPr>
          <w:sz w:val="22"/>
          <w:szCs w:val="22"/>
        </w:rPr>
        <w:t xml:space="preserve"> </w:t>
      </w:r>
      <w:proofErr w:type="spellStart"/>
      <w:r w:rsidRPr="000F79A6">
        <w:rPr>
          <w:sz w:val="22"/>
          <w:szCs w:val="22"/>
        </w:rPr>
        <w:t>Wakaf</w:t>
      </w:r>
      <w:proofErr w:type="spellEnd"/>
      <w:r w:rsidRPr="000F79A6">
        <w:rPr>
          <w:sz w:val="22"/>
          <w:szCs w:val="22"/>
        </w:rPr>
        <w:t xml:space="preserve"> </w:t>
      </w:r>
      <w:proofErr w:type="spellStart"/>
      <w:r w:rsidRPr="000F79A6">
        <w:rPr>
          <w:sz w:val="22"/>
          <w:szCs w:val="22"/>
        </w:rPr>
        <w:t>Produktif</w:t>
      </w:r>
      <w:proofErr w:type="spellEnd"/>
      <w:r w:rsidR="000F79A6">
        <w:rPr>
          <w:sz w:val="22"/>
          <w:szCs w:val="22"/>
        </w:rPr>
        <w:t>;</w:t>
      </w:r>
      <w:r w:rsidRPr="000F79A6">
        <w:rPr>
          <w:sz w:val="22"/>
          <w:szCs w:val="22"/>
        </w:rPr>
        <w:t xml:space="preserve"> </w:t>
      </w:r>
      <w:proofErr w:type="spellStart"/>
      <w:r w:rsidRPr="000F79A6">
        <w:rPr>
          <w:sz w:val="22"/>
          <w:szCs w:val="22"/>
        </w:rPr>
        <w:t>Istihsan</w:t>
      </w:r>
      <w:proofErr w:type="spellEnd"/>
      <w:r w:rsidR="000F79A6">
        <w:rPr>
          <w:sz w:val="22"/>
          <w:szCs w:val="22"/>
        </w:rPr>
        <w:t>;</w:t>
      </w:r>
      <w:r w:rsidRPr="000F79A6">
        <w:rPr>
          <w:sz w:val="22"/>
          <w:szCs w:val="22"/>
        </w:rPr>
        <w:t xml:space="preserve"> </w:t>
      </w:r>
      <w:proofErr w:type="spellStart"/>
      <w:r w:rsidRPr="000F79A6">
        <w:rPr>
          <w:sz w:val="22"/>
          <w:szCs w:val="22"/>
        </w:rPr>
        <w:t>Tradisi</w:t>
      </w:r>
      <w:proofErr w:type="spellEnd"/>
      <w:r w:rsidRPr="000F79A6">
        <w:rPr>
          <w:sz w:val="22"/>
          <w:szCs w:val="22"/>
        </w:rPr>
        <w:t xml:space="preserve"> Masyarakat</w:t>
      </w:r>
    </w:p>
    <w:p w14:paraId="54CD38FB" w14:textId="77777777" w:rsidR="00F87817" w:rsidRDefault="00F87817" w:rsidP="008846C2">
      <w:pPr>
        <w:jc w:val="both"/>
        <w:rPr>
          <w:b/>
          <w:bCs/>
        </w:rPr>
      </w:pPr>
    </w:p>
    <w:p w14:paraId="5FFF00B5" w14:textId="63F664CF" w:rsidR="00CA25E3" w:rsidRPr="000F79A6" w:rsidRDefault="00DB5783" w:rsidP="008846C2">
      <w:pPr>
        <w:jc w:val="both"/>
        <w:rPr>
          <w:b/>
          <w:bCs/>
          <w:sz w:val="22"/>
          <w:szCs w:val="22"/>
        </w:rPr>
      </w:pPr>
      <w:proofErr w:type="spellStart"/>
      <w:r w:rsidRPr="000F79A6">
        <w:rPr>
          <w:b/>
          <w:bCs/>
          <w:sz w:val="22"/>
          <w:szCs w:val="22"/>
        </w:rPr>
        <w:t>Abstrak</w:t>
      </w:r>
      <w:proofErr w:type="spellEnd"/>
      <w:r w:rsidRPr="000F79A6">
        <w:rPr>
          <w:b/>
          <w:bCs/>
          <w:sz w:val="22"/>
          <w:szCs w:val="22"/>
        </w:rPr>
        <w:t xml:space="preserve">: </w:t>
      </w:r>
      <w:r w:rsidR="00507F77" w:rsidRPr="000F79A6">
        <w:rPr>
          <w:sz w:val="22"/>
          <w:szCs w:val="22"/>
        </w:rPr>
        <w:t xml:space="preserve">The people of Nagari Sungai </w:t>
      </w:r>
      <w:proofErr w:type="spellStart"/>
      <w:r w:rsidR="00507F77" w:rsidRPr="000F79A6">
        <w:rPr>
          <w:sz w:val="22"/>
          <w:szCs w:val="22"/>
        </w:rPr>
        <w:t>Tanang</w:t>
      </w:r>
      <w:proofErr w:type="spellEnd"/>
      <w:r w:rsidR="00507F77" w:rsidRPr="000F79A6">
        <w:rPr>
          <w:sz w:val="22"/>
          <w:szCs w:val="22"/>
        </w:rPr>
        <w:t xml:space="preserve">, </w:t>
      </w:r>
      <w:proofErr w:type="spellStart"/>
      <w:r w:rsidR="00507F77" w:rsidRPr="000F79A6">
        <w:rPr>
          <w:sz w:val="22"/>
          <w:szCs w:val="22"/>
        </w:rPr>
        <w:t>Banuhampu</w:t>
      </w:r>
      <w:proofErr w:type="spellEnd"/>
      <w:r w:rsidR="00507F77" w:rsidRPr="000F79A6">
        <w:rPr>
          <w:sz w:val="22"/>
          <w:szCs w:val="22"/>
        </w:rPr>
        <w:t xml:space="preserve"> District, have long performed waqf by raising fish in a large pond that the community calls </w:t>
      </w:r>
      <w:proofErr w:type="spellStart"/>
      <w:r w:rsidR="00507F77" w:rsidRPr="000F79A6">
        <w:rPr>
          <w:sz w:val="22"/>
          <w:szCs w:val="22"/>
        </w:rPr>
        <w:t>Tabek</w:t>
      </w:r>
      <w:proofErr w:type="spellEnd"/>
      <w:r w:rsidR="00507F77" w:rsidRPr="000F79A6">
        <w:rPr>
          <w:sz w:val="22"/>
          <w:szCs w:val="22"/>
        </w:rPr>
        <w:t xml:space="preserve"> </w:t>
      </w:r>
      <w:proofErr w:type="spellStart"/>
      <w:r w:rsidR="00507F77" w:rsidRPr="000F79A6">
        <w:rPr>
          <w:sz w:val="22"/>
          <w:szCs w:val="22"/>
        </w:rPr>
        <w:t>Gadang</w:t>
      </w:r>
      <w:proofErr w:type="spellEnd"/>
      <w:r w:rsidR="00507F77" w:rsidRPr="000F79A6">
        <w:rPr>
          <w:sz w:val="22"/>
          <w:szCs w:val="22"/>
        </w:rPr>
        <w:t xml:space="preserve">. When the Waqf fish are ready to be harvested, some of the fish are caught several times by thousands of fishermen, and the money from fishing can be used to finance mosques, prayer rooms, and other things. Some of the fish are sold to traders, and others are shared or fought over by the community. This article discussed </w:t>
      </w:r>
      <w:proofErr w:type="spellStart"/>
      <w:r w:rsidR="00342CFA" w:rsidRPr="000F79A6">
        <w:rPr>
          <w:sz w:val="22"/>
          <w:szCs w:val="22"/>
        </w:rPr>
        <w:t>Carotai</w:t>
      </w:r>
      <w:proofErr w:type="spellEnd"/>
      <w:r w:rsidR="00342CFA" w:rsidRPr="000F79A6">
        <w:rPr>
          <w:sz w:val="22"/>
          <w:szCs w:val="22"/>
        </w:rPr>
        <w:t xml:space="preserve"> </w:t>
      </w:r>
      <w:r w:rsidR="00507F77" w:rsidRPr="000F79A6">
        <w:rPr>
          <w:sz w:val="22"/>
          <w:szCs w:val="22"/>
        </w:rPr>
        <w:t xml:space="preserve">waqf in Nagari Sungai </w:t>
      </w:r>
      <w:proofErr w:type="spellStart"/>
      <w:r w:rsidR="00507F77" w:rsidRPr="000F79A6">
        <w:rPr>
          <w:sz w:val="22"/>
          <w:szCs w:val="22"/>
        </w:rPr>
        <w:t>Tanang</w:t>
      </w:r>
      <w:proofErr w:type="spellEnd"/>
      <w:r w:rsidR="00507F77" w:rsidRPr="000F79A6">
        <w:rPr>
          <w:sz w:val="22"/>
          <w:szCs w:val="22"/>
        </w:rPr>
        <w:t xml:space="preserve"> community by exploring the values that the community considered in carrying out this culture, and how</w:t>
      </w:r>
      <w:r w:rsidR="00342CFA" w:rsidRPr="000F79A6">
        <w:rPr>
          <w:sz w:val="22"/>
          <w:szCs w:val="22"/>
        </w:rPr>
        <w:t xml:space="preserve"> was</w:t>
      </w:r>
      <w:r w:rsidR="00507F77" w:rsidRPr="000F79A6">
        <w:rPr>
          <w:sz w:val="22"/>
          <w:szCs w:val="22"/>
        </w:rPr>
        <w:t xml:space="preserve"> </w:t>
      </w:r>
      <w:proofErr w:type="spellStart"/>
      <w:r w:rsidR="00507F77" w:rsidRPr="000F79A6">
        <w:rPr>
          <w:sz w:val="22"/>
          <w:szCs w:val="22"/>
        </w:rPr>
        <w:t>istihsan</w:t>
      </w:r>
      <w:proofErr w:type="spellEnd"/>
      <w:r w:rsidR="00507F77" w:rsidRPr="000F79A6">
        <w:rPr>
          <w:sz w:val="22"/>
          <w:szCs w:val="22"/>
        </w:rPr>
        <w:t xml:space="preserve"> view </w:t>
      </w:r>
      <w:r w:rsidR="00342CFA" w:rsidRPr="000F79A6">
        <w:rPr>
          <w:sz w:val="22"/>
          <w:szCs w:val="22"/>
        </w:rPr>
        <w:t xml:space="preserve">towards it, </w:t>
      </w:r>
      <w:r w:rsidR="00507F77" w:rsidRPr="000F79A6">
        <w:rPr>
          <w:sz w:val="22"/>
          <w:szCs w:val="22"/>
        </w:rPr>
        <w:t xml:space="preserve">considering that this activity originated from waqf land in the form of </w:t>
      </w:r>
      <w:proofErr w:type="spellStart"/>
      <w:r w:rsidR="00507F77" w:rsidRPr="000F79A6">
        <w:rPr>
          <w:sz w:val="22"/>
          <w:szCs w:val="22"/>
        </w:rPr>
        <w:t>Tabek</w:t>
      </w:r>
      <w:proofErr w:type="spellEnd"/>
      <w:r w:rsidR="00507F77" w:rsidRPr="000F79A6">
        <w:rPr>
          <w:sz w:val="22"/>
          <w:szCs w:val="22"/>
        </w:rPr>
        <w:t xml:space="preserve"> </w:t>
      </w:r>
      <w:proofErr w:type="spellStart"/>
      <w:r w:rsidR="00507F77" w:rsidRPr="000F79A6">
        <w:rPr>
          <w:sz w:val="22"/>
          <w:szCs w:val="22"/>
        </w:rPr>
        <w:t>Gadang</w:t>
      </w:r>
      <w:proofErr w:type="spellEnd"/>
      <w:r w:rsidR="00507F77" w:rsidRPr="000F79A6">
        <w:rPr>
          <w:sz w:val="22"/>
          <w:szCs w:val="22"/>
        </w:rPr>
        <w:t xml:space="preserve">, produced through the </w:t>
      </w:r>
      <w:proofErr w:type="spellStart"/>
      <w:r w:rsidR="00507F77" w:rsidRPr="000F79A6">
        <w:rPr>
          <w:sz w:val="22"/>
          <w:szCs w:val="22"/>
        </w:rPr>
        <w:t>istihsan</w:t>
      </w:r>
      <w:proofErr w:type="spellEnd"/>
      <w:r w:rsidR="00507F77" w:rsidRPr="000F79A6">
        <w:rPr>
          <w:sz w:val="22"/>
          <w:szCs w:val="22"/>
        </w:rPr>
        <w:t xml:space="preserve"> approach. Qualitative method with an ethnographic approach was used to answer the focus of this research. This article argued that people carry out </w:t>
      </w:r>
      <w:proofErr w:type="spellStart"/>
      <w:r w:rsidR="00342CFA" w:rsidRPr="000F79A6">
        <w:rPr>
          <w:sz w:val="22"/>
          <w:szCs w:val="22"/>
        </w:rPr>
        <w:t>Carotai</w:t>
      </w:r>
      <w:proofErr w:type="spellEnd"/>
      <w:r w:rsidR="00342CFA" w:rsidRPr="000F79A6">
        <w:rPr>
          <w:sz w:val="22"/>
          <w:szCs w:val="22"/>
        </w:rPr>
        <w:t xml:space="preserve"> </w:t>
      </w:r>
      <w:r w:rsidR="00507F77" w:rsidRPr="000F79A6">
        <w:rPr>
          <w:sz w:val="22"/>
          <w:szCs w:val="22"/>
        </w:rPr>
        <w:t>waqf to pass on the values of togetherness, kinship, and to foster the nature of trust to the next generation. Even though in terms of general arguments, no one regulate</w:t>
      </w:r>
      <w:r w:rsidR="00342CFA" w:rsidRPr="000F79A6">
        <w:rPr>
          <w:sz w:val="22"/>
          <w:szCs w:val="22"/>
        </w:rPr>
        <w:t>d</w:t>
      </w:r>
      <w:r w:rsidR="00507F77" w:rsidRPr="000F79A6">
        <w:rPr>
          <w:sz w:val="22"/>
          <w:szCs w:val="22"/>
        </w:rPr>
        <w:t xml:space="preserve"> or allow</w:t>
      </w:r>
      <w:r w:rsidR="00342CFA" w:rsidRPr="000F79A6">
        <w:rPr>
          <w:sz w:val="22"/>
          <w:szCs w:val="22"/>
        </w:rPr>
        <w:t>ed</w:t>
      </w:r>
      <w:r w:rsidR="00507F77" w:rsidRPr="000F79A6">
        <w:rPr>
          <w:sz w:val="22"/>
          <w:szCs w:val="22"/>
        </w:rPr>
        <w:t xml:space="preserve"> it, but by turning to other arguments based on </w:t>
      </w:r>
      <w:proofErr w:type="spellStart"/>
      <w:r w:rsidR="00507F77" w:rsidRPr="000F79A6">
        <w:rPr>
          <w:sz w:val="22"/>
          <w:szCs w:val="22"/>
        </w:rPr>
        <w:t>istihsan</w:t>
      </w:r>
      <w:proofErr w:type="spellEnd"/>
      <w:r w:rsidR="00507F77" w:rsidRPr="000F79A6">
        <w:rPr>
          <w:sz w:val="22"/>
          <w:szCs w:val="22"/>
        </w:rPr>
        <w:t xml:space="preserve"> with ijma’, this </w:t>
      </w:r>
      <w:r w:rsidR="00342CFA" w:rsidRPr="000F79A6">
        <w:rPr>
          <w:sz w:val="22"/>
          <w:szCs w:val="22"/>
        </w:rPr>
        <w:t>can</w:t>
      </w:r>
      <w:r w:rsidR="00507F77" w:rsidRPr="000F79A6">
        <w:rPr>
          <w:sz w:val="22"/>
          <w:szCs w:val="22"/>
        </w:rPr>
        <w:t xml:space="preserve"> be used as a consideration to continue the culture or tradition of </w:t>
      </w:r>
      <w:proofErr w:type="spellStart"/>
      <w:r w:rsidR="00507F77" w:rsidRPr="000F79A6">
        <w:rPr>
          <w:sz w:val="22"/>
          <w:szCs w:val="22"/>
        </w:rPr>
        <w:t>carotai</w:t>
      </w:r>
      <w:proofErr w:type="spellEnd"/>
      <w:r w:rsidR="00507F77" w:rsidRPr="000F79A6">
        <w:rPr>
          <w:sz w:val="22"/>
          <w:szCs w:val="22"/>
        </w:rPr>
        <w:t xml:space="preserve"> waqf.</w:t>
      </w:r>
    </w:p>
    <w:p w14:paraId="54CB0DBF" w14:textId="55CD2E42" w:rsidR="007B1A4F" w:rsidRPr="000F79A6" w:rsidRDefault="007B1A4F" w:rsidP="007B1A4F">
      <w:pPr>
        <w:spacing w:before="240"/>
        <w:jc w:val="both"/>
        <w:rPr>
          <w:sz w:val="22"/>
          <w:szCs w:val="22"/>
        </w:rPr>
      </w:pPr>
      <w:r w:rsidRPr="000F79A6">
        <w:rPr>
          <w:b/>
          <w:bCs/>
          <w:sz w:val="22"/>
          <w:szCs w:val="22"/>
        </w:rPr>
        <w:t>Keywords</w:t>
      </w:r>
      <w:r w:rsidRPr="000F79A6">
        <w:rPr>
          <w:sz w:val="22"/>
          <w:szCs w:val="22"/>
        </w:rPr>
        <w:t xml:space="preserve">: </w:t>
      </w:r>
      <w:r w:rsidR="00507F77" w:rsidRPr="000F79A6">
        <w:rPr>
          <w:sz w:val="22"/>
          <w:szCs w:val="22"/>
        </w:rPr>
        <w:t xml:space="preserve">Productive </w:t>
      </w:r>
      <w:proofErr w:type="spellStart"/>
      <w:r w:rsidR="00342CFA" w:rsidRPr="000F79A6">
        <w:rPr>
          <w:sz w:val="22"/>
          <w:szCs w:val="22"/>
        </w:rPr>
        <w:t>Carotai</w:t>
      </w:r>
      <w:proofErr w:type="spellEnd"/>
      <w:r w:rsidR="00342CFA" w:rsidRPr="000F79A6">
        <w:rPr>
          <w:sz w:val="22"/>
          <w:szCs w:val="22"/>
        </w:rPr>
        <w:t xml:space="preserve"> </w:t>
      </w:r>
      <w:r w:rsidR="00507F77" w:rsidRPr="000F79A6">
        <w:rPr>
          <w:sz w:val="22"/>
          <w:szCs w:val="22"/>
        </w:rPr>
        <w:t>Waqf</w:t>
      </w:r>
      <w:r w:rsidR="000F79A6">
        <w:rPr>
          <w:sz w:val="22"/>
          <w:szCs w:val="22"/>
        </w:rPr>
        <w:t>;</w:t>
      </w:r>
      <w:r w:rsidR="00507F77" w:rsidRPr="000F79A6">
        <w:rPr>
          <w:sz w:val="22"/>
          <w:szCs w:val="22"/>
        </w:rPr>
        <w:t xml:space="preserve"> </w:t>
      </w:r>
      <w:proofErr w:type="spellStart"/>
      <w:r w:rsidR="00507F77" w:rsidRPr="000F79A6">
        <w:rPr>
          <w:sz w:val="22"/>
          <w:szCs w:val="22"/>
        </w:rPr>
        <w:t>Istihsan</w:t>
      </w:r>
      <w:proofErr w:type="spellEnd"/>
      <w:r w:rsidR="000F79A6">
        <w:rPr>
          <w:sz w:val="22"/>
          <w:szCs w:val="22"/>
        </w:rPr>
        <w:t>;</w:t>
      </w:r>
      <w:r w:rsidR="00507F77" w:rsidRPr="000F79A6">
        <w:rPr>
          <w:sz w:val="22"/>
          <w:szCs w:val="22"/>
        </w:rPr>
        <w:t xml:space="preserve"> Community Traditions</w:t>
      </w:r>
    </w:p>
    <w:p w14:paraId="0CDB4B1B" w14:textId="77777777" w:rsidR="00226106" w:rsidRPr="00AA6F34" w:rsidRDefault="00226106" w:rsidP="00AA6F34">
      <w:pPr>
        <w:jc w:val="both"/>
        <w:rPr>
          <w:b/>
          <w:bCs/>
        </w:rPr>
      </w:pPr>
    </w:p>
    <w:p w14:paraId="53DD01CE" w14:textId="77777777" w:rsidR="00AA6F34" w:rsidRPr="00A356C4" w:rsidRDefault="00AA6F34" w:rsidP="00AA6F34">
      <w:pPr>
        <w:jc w:val="both"/>
      </w:pPr>
    </w:p>
    <w:p w14:paraId="3E976024" w14:textId="77777777" w:rsidR="00216360" w:rsidRDefault="00216360" w:rsidP="00955FE3">
      <w:pPr>
        <w:spacing w:line="360" w:lineRule="auto"/>
        <w:jc w:val="both"/>
        <w:rPr>
          <w:b/>
          <w:bCs/>
        </w:rPr>
      </w:pPr>
    </w:p>
    <w:p w14:paraId="091F0B89" w14:textId="77777777" w:rsidR="000F79A6" w:rsidRDefault="000F79A6" w:rsidP="00955FE3">
      <w:pPr>
        <w:spacing w:line="360" w:lineRule="auto"/>
        <w:jc w:val="both"/>
        <w:rPr>
          <w:b/>
          <w:bCs/>
        </w:rPr>
      </w:pPr>
    </w:p>
    <w:p w14:paraId="609B221D" w14:textId="7CF61F63" w:rsidR="00955FE3" w:rsidRDefault="00507F77" w:rsidP="00955FE3">
      <w:pPr>
        <w:spacing w:line="360" w:lineRule="auto"/>
        <w:jc w:val="both"/>
        <w:rPr>
          <w:b/>
          <w:bCs/>
        </w:rPr>
      </w:pPr>
      <w:r>
        <w:rPr>
          <w:b/>
          <w:bCs/>
        </w:rPr>
        <w:lastRenderedPageBreak/>
        <w:t>Introduction</w:t>
      </w:r>
    </w:p>
    <w:p w14:paraId="3A788A0D" w14:textId="50BF5FA8" w:rsidR="000913FD" w:rsidRPr="0013760C" w:rsidRDefault="00F74D79" w:rsidP="00E93A25">
      <w:pPr>
        <w:pStyle w:val="NormalWeb"/>
        <w:shd w:val="clear" w:color="auto" w:fill="FFFFFF"/>
        <w:tabs>
          <w:tab w:val="left" w:pos="709"/>
        </w:tabs>
        <w:spacing w:before="0" w:beforeAutospacing="0" w:after="0" w:afterAutospacing="0" w:line="360" w:lineRule="auto"/>
        <w:jc w:val="both"/>
        <w:rPr>
          <w:color w:val="393939"/>
        </w:rPr>
      </w:pPr>
      <w:r>
        <w:rPr>
          <w:b/>
          <w:bCs/>
        </w:rPr>
        <w:tab/>
      </w:r>
      <w:r w:rsidR="00CA689E" w:rsidRPr="00CA689E">
        <w:t xml:space="preserve">Waqf plays a very important role in community life. The need for mosques and prayer rooms as places of worship has had a positive impact, and the provision of </w:t>
      </w:r>
      <w:r w:rsidR="00760B02" w:rsidRPr="00CA689E">
        <w:t>land</w:t>
      </w:r>
      <w:r w:rsidR="00760B02">
        <w:t xml:space="preserve"> w</w:t>
      </w:r>
      <w:r w:rsidR="00CA689E" w:rsidRPr="00CA689E">
        <w:t>aqf has become a habit.</w:t>
      </w:r>
      <w:r w:rsidR="00760B02">
        <w:t xml:space="preserve"> </w:t>
      </w:r>
      <w:r w:rsidR="007B64D2" w:rsidRPr="007B64D2">
        <w:t>As it develops</w:t>
      </w:r>
      <w:r w:rsidR="00CA689E" w:rsidRPr="00CA689E">
        <w:t xml:space="preserve">, waqf in the form of educational facilities with the establishment of Islamic boarding schools and </w:t>
      </w:r>
      <w:r w:rsidR="00CA689E" w:rsidRPr="007B64D2">
        <w:rPr>
          <w:i/>
          <w:iCs/>
        </w:rPr>
        <w:t>madrasas</w:t>
      </w:r>
      <w:r w:rsidR="00CA689E" w:rsidRPr="00CA689E">
        <w:t>, health services, and the establishment of orphanages without reducing the waqf for places of worship are still being carried out, including one</w:t>
      </w:r>
      <w:r w:rsidR="007B64D2">
        <w:t>s</w:t>
      </w:r>
      <w:r w:rsidR="00CA689E" w:rsidRPr="00CA689E">
        <w:t xml:space="preserve"> in Nagari Sungai </w:t>
      </w:r>
      <w:proofErr w:type="spellStart"/>
      <w:r w:rsidR="00CA689E" w:rsidRPr="00CA689E">
        <w:t>Tanang</w:t>
      </w:r>
      <w:proofErr w:type="spellEnd"/>
      <w:r w:rsidR="00CA689E" w:rsidRPr="00CA689E">
        <w:t xml:space="preserve">, </w:t>
      </w:r>
      <w:proofErr w:type="spellStart"/>
      <w:r w:rsidR="00CA689E" w:rsidRPr="00CA689E">
        <w:t>Banuhampu</w:t>
      </w:r>
      <w:proofErr w:type="spellEnd"/>
      <w:r w:rsidR="00CA689E" w:rsidRPr="00CA689E">
        <w:t xml:space="preserve"> District, </w:t>
      </w:r>
      <w:proofErr w:type="spellStart"/>
      <w:r w:rsidR="00CA689E" w:rsidRPr="00CA689E">
        <w:t>Agam</w:t>
      </w:r>
      <w:proofErr w:type="spellEnd"/>
      <w:r w:rsidR="00CA689E" w:rsidRPr="00CA689E">
        <w:t xml:space="preserve"> Regency. The people of Nagari Sungai </w:t>
      </w:r>
      <w:proofErr w:type="spellStart"/>
      <w:r w:rsidR="00CA689E" w:rsidRPr="00CA689E">
        <w:t>Tanang</w:t>
      </w:r>
      <w:proofErr w:type="spellEnd"/>
      <w:r w:rsidR="00CA689E" w:rsidRPr="00CA689E">
        <w:t xml:space="preserve"> </w:t>
      </w:r>
      <w:r w:rsidR="007B64D2">
        <w:t>build</w:t>
      </w:r>
      <w:r w:rsidR="00CA689E" w:rsidRPr="00CA689E">
        <w:t xml:space="preserve"> the </w:t>
      </w:r>
      <w:r w:rsidR="00CA689E" w:rsidRPr="00CA689E">
        <w:rPr>
          <w:i/>
          <w:iCs/>
        </w:rPr>
        <w:t>“</w:t>
      </w:r>
      <w:proofErr w:type="spellStart"/>
      <w:r w:rsidR="00CA689E" w:rsidRPr="00CA689E">
        <w:rPr>
          <w:i/>
          <w:iCs/>
        </w:rPr>
        <w:t>sumarak</w:t>
      </w:r>
      <w:proofErr w:type="spellEnd"/>
      <w:r w:rsidR="00CA689E" w:rsidRPr="00CA689E">
        <w:rPr>
          <w:i/>
          <w:iCs/>
        </w:rPr>
        <w:t>”</w:t>
      </w:r>
      <w:r w:rsidR="00CA689E" w:rsidRPr="00CA689E">
        <w:t xml:space="preserve"> </w:t>
      </w:r>
      <w:r w:rsidR="00B44ED3">
        <w:t xml:space="preserve">(glory) </w:t>
      </w:r>
      <w:r w:rsidR="00CA689E" w:rsidRPr="00CA689E">
        <w:t xml:space="preserve">of their </w:t>
      </w:r>
      <w:proofErr w:type="spellStart"/>
      <w:r w:rsidR="00CA689E" w:rsidRPr="00CA689E">
        <w:t>nagari</w:t>
      </w:r>
      <w:proofErr w:type="spellEnd"/>
      <w:r w:rsidR="00CA689E" w:rsidRPr="00CA689E">
        <w:t xml:space="preserve">, including with waqf. They </w:t>
      </w:r>
      <w:r w:rsidR="007B64D2">
        <w:t xml:space="preserve">have </w:t>
      </w:r>
      <w:r w:rsidR="00CA689E" w:rsidRPr="00CA689E">
        <w:t>built a mosque, prayer room</w:t>
      </w:r>
      <w:r w:rsidR="007B64D2">
        <w:t>,</w:t>
      </w:r>
      <w:r w:rsidR="00CA689E" w:rsidRPr="00CA689E">
        <w:t xml:space="preserve"> and </w:t>
      </w:r>
      <w:r w:rsidR="007B64D2">
        <w:t xml:space="preserve">small </w:t>
      </w:r>
      <w:r w:rsidR="00CA689E" w:rsidRPr="007B64D2">
        <w:rPr>
          <w:i/>
          <w:iCs/>
        </w:rPr>
        <w:t>surau</w:t>
      </w:r>
      <w:r w:rsidR="00CA689E" w:rsidRPr="00CA689E">
        <w:t xml:space="preserve"> with waqf funds provided by the community. Apart from that, they </w:t>
      </w:r>
      <w:r w:rsidR="006C6334">
        <w:t xml:space="preserve">have </w:t>
      </w:r>
      <w:r w:rsidR="00CA689E" w:rsidRPr="00CA689E">
        <w:t>also built</w:t>
      </w:r>
      <w:r w:rsidR="00CA689E">
        <w:t xml:space="preserve"> </w:t>
      </w:r>
      <w:r w:rsidR="00CA689E" w:rsidRPr="00CA689E">
        <w:t>village</w:t>
      </w:r>
      <w:r w:rsidR="00CA689E" w:rsidRPr="00CA689E">
        <w:rPr>
          <w:i/>
          <w:iCs/>
        </w:rPr>
        <w:t xml:space="preserve"> madrasas’</w:t>
      </w:r>
      <w:r w:rsidR="00CA689E" w:rsidRPr="00CA689E">
        <w:t xml:space="preserve"> </w:t>
      </w:r>
      <w:r w:rsidR="00CA689E">
        <w:t xml:space="preserve">(Islamic schools) </w:t>
      </w:r>
      <w:r w:rsidR="00CA689E" w:rsidRPr="00CA689E">
        <w:t xml:space="preserve">as a place to educate children to study Quran and religion, and </w:t>
      </w:r>
      <w:r w:rsidR="00143DE1">
        <w:t xml:space="preserve">provided </w:t>
      </w:r>
      <w:r w:rsidR="00CA689E" w:rsidRPr="00CA689E">
        <w:t>burial grounds</w:t>
      </w:r>
      <w:r w:rsidR="00143DE1">
        <w:t xml:space="preserve"> as well</w:t>
      </w:r>
      <w:r w:rsidR="00CA689E" w:rsidRPr="00CA689E">
        <w:t>.</w:t>
      </w:r>
      <w:r w:rsidR="00621449">
        <w:rPr>
          <w:rStyle w:val="FootnoteReference"/>
        </w:rPr>
        <w:footnoteReference w:id="1"/>
      </w:r>
    </w:p>
    <w:p w14:paraId="6759F7AC" w14:textId="317925B0" w:rsidR="00D9723D" w:rsidRDefault="00D9723D" w:rsidP="00D9723D">
      <w:pPr>
        <w:spacing w:line="360" w:lineRule="auto"/>
        <w:ind w:firstLine="709"/>
        <w:jc w:val="both"/>
      </w:pPr>
      <w:r w:rsidRPr="00D9723D">
        <w:t xml:space="preserve">In addition to </w:t>
      </w:r>
      <w:r w:rsidR="00950A19">
        <w:t>mosque and prayer room</w:t>
      </w:r>
      <w:r w:rsidRPr="00D9723D">
        <w:t xml:space="preserve">, places of religious study, and burial grounds, it is very interesting that there </w:t>
      </w:r>
      <w:r w:rsidR="00950A19">
        <w:t>was</w:t>
      </w:r>
      <w:r w:rsidRPr="00D9723D">
        <w:t xml:space="preserve"> a Waqf for 1 (one) large fish pond by the community called </w:t>
      </w:r>
      <w:proofErr w:type="spellStart"/>
      <w:r w:rsidRPr="00D9723D">
        <w:t>Tabek</w:t>
      </w:r>
      <w:proofErr w:type="spellEnd"/>
      <w:r w:rsidRPr="00D9723D">
        <w:t xml:space="preserve"> </w:t>
      </w:r>
      <w:proofErr w:type="spellStart"/>
      <w:r w:rsidRPr="00D9723D">
        <w:t>Gadang</w:t>
      </w:r>
      <w:proofErr w:type="spellEnd"/>
      <w:r w:rsidRPr="00D9723D">
        <w:t xml:space="preserve">, which is about 300 meters long and about 75 meters wide, which is right in front of the </w:t>
      </w:r>
      <w:r w:rsidR="00950A19" w:rsidRPr="00D9723D">
        <w:t xml:space="preserve">Nagari </w:t>
      </w:r>
      <w:r w:rsidRPr="00D9723D">
        <w:t>Jami</w:t>
      </w:r>
      <w:r w:rsidR="00950A19">
        <w:t>’</w:t>
      </w:r>
      <w:r w:rsidRPr="00D9723D">
        <w:t xml:space="preserve"> Mosque. This large fish pond, which is rarely found elsewhere in the Minang</w:t>
      </w:r>
      <w:r w:rsidR="00133B8E">
        <w:t>kabau</w:t>
      </w:r>
      <w:r w:rsidRPr="00D9723D">
        <w:t xml:space="preserve"> </w:t>
      </w:r>
      <w:r w:rsidR="00133B8E">
        <w:t>area</w:t>
      </w:r>
      <w:r w:rsidRPr="00D9723D">
        <w:t xml:space="preserve">, is </w:t>
      </w:r>
      <w:r w:rsidR="00133B8E">
        <w:t>utilized</w:t>
      </w:r>
      <w:r w:rsidRPr="00D9723D">
        <w:t xml:space="preserve"> by mosque administrators, </w:t>
      </w:r>
      <w:proofErr w:type="spellStart"/>
      <w:r w:rsidRPr="00D9723D">
        <w:t>nazhir</w:t>
      </w:r>
      <w:proofErr w:type="spellEnd"/>
      <w:r w:rsidR="00133B8E">
        <w:t>,</w:t>
      </w:r>
      <w:r w:rsidRPr="00D9723D">
        <w:t xml:space="preserve"> and community</w:t>
      </w:r>
      <w:r w:rsidR="00950A19">
        <w:t xml:space="preserve"> </w:t>
      </w:r>
      <w:r w:rsidRPr="00D9723D">
        <w:t>leaders by raising fish. After the pet fish are grown, they discuss the timing of fishing. The money earned from fishing can be used for mosque operations, prayer rooms, and other purposes.</w:t>
      </w:r>
      <w:r w:rsidR="00970DFE">
        <w:t xml:space="preserve"> </w:t>
      </w:r>
    </w:p>
    <w:p w14:paraId="14CC211F" w14:textId="7C5D0CD1" w:rsidR="00D9723D" w:rsidRDefault="00D9723D" w:rsidP="00D9723D">
      <w:pPr>
        <w:spacing w:line="360" w:lineRule="auto"/>
        <w:ind w:firstLine="709"/>
        <w:jc w:val="both"/>
      </w:pPr>
      <w:r w:rsidRPr="00D9723D">
        <w:t xml:space="preserve">After about 5 times of fishing, there </w:t>
      </w:r>
      <w:r w:rsidR="00133B8E">
        <w:t>are</w:t>
      </w:r>
      <w:r w:rsidRPr="00D9723D">
        <w:t xml:space="preserve"> usually two things that the mosque administrators, </w:t>
      </w:r>
      <w:proofErr w:type="spellStart"/>
      <w:r w:rsidRPr="00D9723D">
        <w:t>nazhir</w:t>
      </w:r>
      <w:proofErr w:type="spellEnd"/>
      <w:r>
        <w:t>,</w:t>
      </w:r>
      <w:r w:rsidRPr="00D9723D">
        <w:t xml:space="preserve"> and community leaders d</w:t>
      </w:r>
      <w:r w:rsidR="00133B8E">
        <w:t>o</w:t>
      </w:r>
      <w:r w:rsidRPr="00D9723D">
        <w:t xml:space="preserve">, they put tens of thousands of fish seeds back into the </w:t>
      </w:r>
      <w:proofErr w:type="spellStart"/>
      <w:r w:rsidRPr="00D9723D">
        <w:t>tabek</w:t>
      </w:r>
      <w:proofErr w:type="spellEnd"/>
      <w:r w:rsidRPr="00D9723D">
        <w:t xml:space="preserve"> </w:t>
      </w:r>
      <w:proofErr w:type="spellStart"/>
      <w:r w:rsidRPr="00D9723D">
        <w:t>gadang</w:t>
      </w:r>
      <w:proofErr w:type="spellEnd"/>
      <w:r w:rsidRPr="00D9723D">
        <w:t xml:space="preserve"> or </w:t>
      </w:r>
      <w:proofErr w:type="spellStart"/>
      <w:r w:rsidR="00133B8E">
        <w:rPr>
          <w:i/>
          <w:iCs/>
        </w:rPr>
        <w:t>C</w:t>
      </w:r>
      <w:r w:rsidRPr="00D9723D">
        <w:rPr>
          <w:i/>
          <w:iCs/>
        </w:rPr>
        <w:t>arotai</w:t>
      </w:r>
      <w:proofErr w:type="spellEnd"/>
      <w:r w:rsidRPr="00D9723D">
        <w:t xml:space="preserve"> them. When the agreement </w:t>
      </w:r>
      <w:r w:rsidR="00133B8E">
        <w:t>is</w:t>
      </w:r>
      <w:r w:rsidRPr="00D9723D">
        <w:t xml:space="preserve"> reached between the mosque management, the Waqf Nazhir</w:t>
      </w:r>
      <w:r>
        <w:t>,</w:t>
      </w:r>
      <w:r w:rsidRPr="00D9723D">
        <w:t xml:space="preserve"> and the community leaders, some of the fish </w:t>
      </w:r>
      <w:r w:rsidR="00133B8E">
        <w:t>are</w:t>
      </w:r>
      <w:r w:rsidRPr="00D9723D">
        <w:t xml:space="preserve"> sold to </w:t>
      </w:r>
      <w:r w:rsidRPr="00D9723D">
        <w:rPr>
          <w:i/>
          <w:iCs/>
        </w:rPr>
        <w:t>toke</w:t>
      </w:r>
      <w:r w:rsidRPr="00D9723D">
        <w:t xml:space="preserve"> (traders) and some </w:t>
      </w:r>
      <w:r w:rsidR="00133B8E">
        <w:t>are</w:t>
      </w:r>
      <w:r w:rsidRPr="00D9723D">
        <w:t xml:space="preserve"> distributed to the community. This activity </w:t>
      </w:r>
      <w:r w:rsidR="00133B8E">
        <w:t>is</w:t>
      </w:r>
      <w:r w:rsidRPr="00D9723D">
        <w:t xml:space="preserve"> attended not only by the people of Nagari Sungai </w:t>
      </w:r>
      <w:proofErr w:type="spellStart"/>
      <w:r w:rsidRPr="00D9723D">
        <w:t>Tanang</w:t>
      </w:r>
      <w:proofErr w:type="spellEnd"/>
      <w:r w:rsidRPr="00D9723D">
        <w:t xml:space="preserve">, but also </w:t>
      </w:r>
      <w:r w:rsidR="00133B8E">
        <w:t xml:space="preserve">many </w:t>
      </w:r>
      <w:proofErr w:type="spellStart"/>
      <w:r w:rsidR="00133B8E">
        <w:t>oursiders</w:t>
      </w:r>
      <w:proofErr w:type="spellEnd"/>
      <w:r w:rsidRPr="00D9723D">
        <w:t xml:space="preserve">, such as </w:t>
      </w:r>
      <w:r w:rsidR="00133B8E">
        <w:t xml:space="preserve">people from </w:t>
      </w:r>
      <w:proofErr w:type="spellStart"/>
      <w:r w:rsidRPr="00D9723D">
        <w:t>Bukittinggi</w:t>
      </w:r>
      <w:proofErr w:type="spellEnd"/>
      <w:r w:rsidRPr="00D9723D">
        <w:t xml:space="preserve">, Padang </w:t>
      </w:r>
      <w:proofErr w:type="spellStart"/>
      <w:r w:rsidRPr="00D9723D">
        <w:t>Luar</w:t>
      </w:r>
      <w:proofErr w:type="spellEnd"/>
      <w:r w:rsidRPr="00D9723D">
        <w:t xml:space="preserve">, </w:t>
      </w:r>
      <w:proofErr w:type="spellStart"/>
      <w:r w:rsidRPr="00D9723D">
        <w:lastRenderedPageBreak/>
        <w:t>Pakan</w:t>
      </w:r>
      <w:proofErr w:type="spellEnd"/>
      <w:r w:rsidRPr="00D9723D">
        <w:t xml:space="preserve"> </w:t>
      </w:r>
      <w:proofErr w:type="spellStart"/>
      <w:r w:rsidRPr="00D9723D">
        <w:t>Sinayan</w:t>
      </w:r>
      <w:proofErr w:type="spellEnd"/>
      <w:r w:rsidR="00133B8E">
        <w:t>,</w:t>
      </w:r>
      <w:r w:rsidRPr="00D9723D">
        <w:t xml:space="preserve"> and other villages around the </w:t>
      </w:r>
      <w:proofErr w:type="spellStart"/>
      <w:r w:rsidRPr="00D9723D">
        <w:t>Tanang</w:t>
      </w:r>
      <w:proofErr w:type="spellEnd"/>
      <w:r w:rsidRPr="00D9723D">
        <w:t xml:space="preserve"> River. </w:t>
      </w:r>
      <w:r>
        <w:t xml:space="preserve">It </w:t>
      </w:r>
      <w:r w:rsidR="00372815">
        <w:t>is</w:t>
      </w:r>
      <w:r w:rsidRPr="00D9723D">
        <w:t xml:space="preserve"> even more interesting because not only people from their hometowns participate</w:t>
      </w:r>
      <w:r>
        <w:t>d</w:t>
      </w:r>
      <w:r w:rsidRPr="00D9723D">
        <w:t xml:space="preserve">, but also people from </w:t>
      </w:r>
      <w:r>
        <w:t>other cities</w:t>
      </w:r>
      <w:r w:rsidRPr="00D9723D">
        <w:t xml:space="preserve">, such as from Jakarta, Medan, Lampung, </w:t>
      </w:r>
      <w:r>
        <w:t xml:space="preserve">and </w:t>
      </w:r>
      <w:r w:rsidRPr="00D9723D">
        <w:t>Pad</w:t>
      </w:r>
      <w:r>
        <w:t>ang</w:t>
      </w:r>
      <w:r w:rsidRPr="00D9723D">
        <w:t xml:space="preserve"> who deliberately return to their hometowns to participate in the excitement of the </w:t>
      </w:r>
      <w:proofErr w:type="spellStart"/>
      <w:r w:rsidR="00342CFA" w:rsidRPr="00D9723D">
        <w:t>Carotai</w:t>
      </w:r>
      <w:proofErr w:type="spellEnd"/>
      <w:r w:rsidR="00342CFA" w:rsidRPr="00D9723D">
        <w:t xml:space="preserve"> </w:t>
      </w:r>
      <w:r w:rsidRPr="00D9723D">
        <w:t>Waqf.</w:t>
      </w:r>
    </w:p>
    <w:p w14:paraId="4F5FE122" w14:textId="54CDC42E" w:rsidR="00472BBF" w:rsidRDefault="00955FE3" w:rsidP="00B34126">
      <w:pPr>
        <w:spacing w:line="360" w:lineRule="auto"/>
        <w:jc w:val="both"/>
      </w:pPr>
      <w:r w:rsidRPr="00A356C4">
        <w:tab/>
      </w:r>
      <w:r w:rsidR="00BD745D" w:rsidRPr="00BD745D">
        <w:t>Many previous studies have been conducted on waqf, which can generally be divided into three forms. First, in the form of cash waqf with a slightly different location and approach. Yuli Yasin state</w:t>
      </w:r>
      <w:r w:rsidR="00372815">
        <w:t>s</w:t>
      </w:r>
      <w:r w:rsidR="00BD745D" w:rsidRPr="00BD745D">
        <w:t xml:space="preserve"> that temporary cash waqf is really needed because many waqf assets are not well managed. Since it is temporary, it is a solution to develop waqf in addition to the existing perpetual waqf.</w:t>
      </w:r>
      <w:r w:rsidR="001A3C4B">
        <w:rPr>
          <w:rStyle w:val="FootnoteReference"/>
        </w:rPr>
        <w:footnoteReference w:id="2"/>
      </w:r>
      <w:r w:rsidR="001A3C4B">
        <w:t xml:space="preserve"> </w:t>
      </w:r>
      <w:proofErr w:type="spellStart"/>
      <w:r w:rsidR="00BD745D" w:rsidRPr="00BD745D">
        <w:t>Rysda</w:t>
      </w:r>
      <w:proofErr w:type="spellEnd"/>
      <w:r w:rsidR="00BD745D" w:rsidRPr="00BD745D">
        <w:t xml:space="preserve"> Nurul believes it is important to create a community in the campus environment that promotes Waqf by involving various parties so that the Waqf can provide greater benefits.</w:t>
      </w:r>
      <w:r w:rsidR="00785F44">
        <w:rPr>
          <w:rStyle w:val="FootnoteReference"/>
        </w:rPr>
        <w:footnoteReference w:id="3"/>
      </w:r>
      <w:r w:rsidR="00C90A64">
        <w:t xml:space="preserve"> </w:t>
      </w:r>
      <w:r w:rsidR="00B11229" w:rsidRPr="00B11229">
        <w:t>Rudy Haryanto emphasize</w:t>
      </w:r>
      <w:r w:rsidR="00372815">
        <w:t>s</w:t>
      </w:r>
      <w:r w:rsidR="00B11229" w:rsidRPr="00B11229">
        <w:t xml:space="preserve"> that the waqf money collected by Nazhir is invested in halal productive businesses so that the profits can be used for the needs of the community and dawa</w:t>
      </w:r>
      <w:r w:rsidR="00B11229">
        <w:t>h</w:t>
      </w:r>
      <w:r w:rsidR="00B11229" w:rsidRPr="00B11229">
        <w:t>.</w:t>
      </w:r>
      <w:r w:rsidR="00C90A64">
        <w:rPr>
          <w:rStyle w:val="FootnoteReference"/>
        </w:rPr>
        <w:footnoteReference w:id="4"/>
      </w:r>
      <w:r w:rsidR="00DD3652">
        <w:t xml:space="preserve"> </w:t>
      </w:r>
      <w:r w:rsidR="003C37CE">
        <w:t xml:space="preserve"> </w:t>
      </w:r>
      <w:r w:rsidR="00B65B15">
        <w:t xml:space="preserve"> </w:t>
      </w:r>
      <w:r w:rsidR="00472BBF">
        <w:t xml:space="preserve"> </w:t>
      </w:r>
    </w:p>
    <w:p w14:paraId="1F250E6F" w14:textId="1B8E13D8" w:rsidR="00B42DD8" w:rsidRDefault="00750A75" w:rsidP="00B34126">
      <w:pPr>
        <w:spacing w:line="360" w:lineRule="auto"/>
        <w:jc w:val="both"/>
      </w:pPr>
      <w:r>
        <w:tab/>
      </w:r>
      <w:r w:rsidR="00B11229" w:rsidRPr="00B11229">
        <w:t xml:space="preserve">Scholars have different opinions regarding cash waqf as stated by Mustafa Kamal. According to the Indonesian Ulema Council, cash waqf is permissible based on considerations of following the opinion of Hanafi school which allows dinar and dirham waqf, whereas according to </w:t>
      </w:r>
      <w:proofErr w:type="spellStart"/>
      <w:r w:rsidR="00B11229" w:rsidRPr="00B11229">
        <w:t>Syafi</w:t>
      </w:r>
      <w:r w:rsidR="00B11229">
        <w:t>’</w:t>
      </w:r>
      <w:r w:rsidR="00B11229" w:rsidRPr="00B11229">
        <w:t>iyah</w:t>
      </w:r>
      <w:proofErr w:type="spellEnd"/>
      <w:r w:rsidR="00B11229" w:rsidRPr="00B11229">
        <w:t xml:space="preserve"> scholars it is not permissible because the waqf must be eternal and not expire after being used.</w:t>
      </w:r>
      <w:r w:rsidR="00454746">
        <w:rPr>
          <w:rStyle w:val="FootnoteReference"/>
        </w:rPr>
        <w:footnoteReference w:id="5"/>
      </w:r>
      <w:r w:rsidR="00B42DD8">
        <w:t xml:space="preserve"> </w:t>
      </w:r>
      <w:proofErr w:type="spellStart"/>
      <w:r w:rsidR="00B11229" w:rsidRPr="00B11229">
        <w:t>Suryani</w:t>
      </w:r>
      <w:proofErr w:type="spellEnd"/>
      <w:r w:rsidR="00B11229" w:rsidRPr="00B11229">
        <w:t xml:space="preserve"> </w:t>
      </w:r>
      <w:proofErr w:type="spellStart"/>
      <w:r w:rsidR="00B11229" w:rsidRPr="00B11229">
        <w:t>explaine</w:t>
      </w:r>
      <w:r w:rsidR="00372815">
        <w:t>s</w:t>
      </w:r>
      <w:proofErr w:type="spellEnd"/>
      <w:r w:rsidR="00B11229" w:rsidRPr="00B11229">
        <w:t xml:space="preserve"> that the Indonesian Ulema Council</w:t>
      </w:r>
      <w:r w:rsidR="00B11229">
        <w:t>’</w:t>
      </w:r>
      <w:r w:rsidR="00B11229" w:rsidRPr="00B11229">
        <w:t xml:space="preserve">s fatwa on cash waqf is in </w:t>
      </w:r>
      <w:r w:rsidR="00B11229" w:rsidRPr="00B11229">
        <w:lastRenderedPageBreak/>
        <w:t>line with Sharia principles because it is beneficial to society.</w:t>
      </w:r>
      <w:r w:rsidR="0014717E">
        <w:rPr>
          <w:rStyle w:val="FootnoteReference"/>
        </w:rPr>
        <w:footnoteReference w:id="6"/>
      </w:r>
      <w:r w:rsidR="0014717E">
        <w:t xml:space="preserve"> </w:t>
      </w:r>
      <w:r w:rsidR="00B11229" w:rsidRPr="00B11229">
        <w:t>Garut ulama also agree that cash waqf is permissible because it does not conflict with the essence of waqf,</w:t>
      </w:r>
      <w:r w:rsidR="0014717E">
        <w:rPr>
          <w:rStyle w:val="FootnoteReference"/>
        </w:rPr>
        <w:footnoteReference w:id="7"/>
      </w:r>
      <w:r w:rsidR="009E2C64">
        <w:t xml:space="preserve"> </w:t>
      </w:r>
      <w:r w:rsidR="00B11229">
        <w:t>a</w:t>
      </w:r>
      <w:r w:rsidR="00B11229" w:rsidRPr="00B11229">
        <w:t>nd so that Muslims have the opportunity to organize Waqf well.</w:t>
      </w:r>
      <w:r w:rsidR="00531A02">
        <w:rPr>
          <w:rStyle w:val="FootnoteReference"/>
        </w:rPr>
        <w:footnoteReference w:id="8"/>
      </w:r>
    </w:p>
    <w:p w14:paraId="05C46543" w14:textId="762E25C2" w:rsidR="00725A9F" w:rsidRDefault="00725A9F" w:rsidP="005607D3">
      <w:pPr>
        <w:tabs>
          <w:tab w:val="left" w:pos="709"/>
        </w:tabs>
        <w:spacing w:line="360" w:lineRule="auto"/>
        <w:jc w:val="both"/>
      </w:pPr>
      <w:r>
        <w:tab/>
      </w:r>
      <w:r w:rsidR="00B11229" w:rsidRPr="00B11229">
        <w:t xml:space="preserve">Second, the management and exchange of waqf lands. </w:t>
      </w:r>
      <w:proofErr w:type="spellStart"/>
      <w:r w:rsidR="00B11229" w:rsidRPr="00B11229">
        <w:t>Amimah</w:t>
      </w:r>
      <w:proofErr w:type="spellEnd"/>
      <w:r w:rsidR="00B11229" w:rsidRPr="00B11229">
        <w:t xml:space="preserve"> </w:t>
      </w:r>
      <w:proofErr w:type="spellStart"/>
      <w:r w:rsidR="00B11229" w:rsidRPr="00B11229">
        <w:t>Oktarina</w:t>
      </w:r>
      <w:proofErr w:type="spellEnd"/>
      <w:r w:rsidR="00B11229" w:rsidRPr="00B11229">
        <w:t xml:space="preserve"> gave an example of the successful management of productive waqf in the Great </w:t>
      </w:r>
      <w:proofErr w:type="spellStart"/>
      <w:r w:rsidR="00B11229" w:rsidRPr="00B11229">
        <w:t>Syuhada</w:t>
      </w:r>
      <w:proofErr w:type="spellEnd"/>
      <w:r w:rsidR="00B11229" w:rsidRPr="00B11229">
        <w:t xml:space="preserve"> Mosque in Yogyakarta. With the existence of cash waqf in the mosque, it require</w:t>
      </w:r>
      <w:r w:rsidR="00372815">
        <w:t>d</w:t>
      </w:r>
      <w:r w:rsidR="00B11229" w:rsidRPr="00B11229">
        <w:t xml:space="preserve"> professional management so that the hope of making a greater contribution c</w:t>
      </w:r>
      <w:r w:rsidR="00372815">
        <w:t>ould</w:t>
      </w:r>
      <w:r w:rsidR="00B11229" w:rsidRPr="00B11229">
        <w:t xml:space="preserve"> be realized,</w:t>
      </w:r>
      <w:r w:rsidR="0069415A">
        <w:rPr>
          <w:rStyle w:val="FootnoteReference"/>
        </w:rPr>
        <w:footnoteReference w:id="9"/>
      </w:r>
      <w:r w:rsidR="00CC6247">
        <w:t xml:space="preserve"> </w:t>
      </w:r>
      <w:r w:rsidR="00B11229" w:rsidRPr="00B11229">
        <w:t xml:space="preserve">Meanwhile, according to </w:t>
      </w:r>
      <w:proofErr w:type="spellStart"/>
      <w:r w:rsidR="00B11229" w:rsidRPr="00B11229">
        <w:t>Chairul</w:t>
      </w:r>
      <w:proofErr w:type="spellEnd"/>
      <w:r w:rsidR="00B11229" w:rsidRPr="00B11229">
        <w:t xml:space="preserve"> Huda, the management model with sole ownership, partnership</w:t>
      </w:r>
      <w:r w:rsidR="00372815">
        <w:t>,</w:t>
      </w:r>
      <w:r w:rsidR="00B11229" w:rsidRPr="00B11229">
        <w:t xml:space="preserve"> and a combination of the two </w:t>
      </w:r>
      <w:r w:rsidR="00372815">
        <w:t>was</w:t>
      </w:r>
      <w:r w:rsidR="00B11229" w:rsidRPr="00B11229">
        <w:t xml:space="preserve"> like the one used by the Sultan Agung Semarang Foundation.</w:t>
      </w:r>
      <w:r w:rsidR="0094445B">
        <w:rPr>
          <w:rStyle w:val="FootnoteReference"/>
        </w:rPr>
        <w:footnoteReference w:id="10"/>
      </w:r>
      <w:r w:rsidR="00157429">
        <w:t xml:space="preserve"> </w:t>
      </w:r>
      <w:r w:rsidR="00B43862" w:rsidRPr="00B43862">
        <w:t xml:space="preserve">This is slightly different from Abdurrahman </w:t>
      </w:r>
      <w:proofErr w:type="spellStart"/>
      <w:r w:rsidR="00B43862" w:rsidRPr="00B43862">
        <w:t>Kasdi</w:t>
      </w:r>
      <w:proofErr w:type="spellEnd"/>
      <w:r w:rsidR="00B43862" w:rsidRPr="00B43862">
        <w:t xml:space="preserve">, who divides managers into individuals, organizations, and unified legal </w:t>
      </w:r>
      <w:proofErr w:type="spellStart"/>
      <w:r w:rsidR="00B43862" w:rsidRPr="00B43862">
        <w:t>nazhir</w:t>
      </w:r>
      <w:proofErr w:type="spellEnd"/>
      <w:r w:rsidR="00B43862" w:rsidRPr="00B43862">
        <w:t>.</w:t>
      </w:r>
      <w:r w:rsidR="00F862F6">
        <w:rPr>
          <w:rStyle w:val="FootnoteReference"/>
        </w:rPr>
        <w:footnoteReference w:id="11"/>
      </w:r>
      <w:r w:rsidR="00594010">
        <w:t xml:space="preserve"> </w:t>
      </w:r>
      <w:r w:rsidR="00B43862" w:rsidRPr="00B43862">
        <w:t xml:space="preserve">Meanwhile, according to Lutfi El Falahi, the transfer of the function of the Waqf land </w:t>
      </w:r>
      <w:r w:rsidR="00B43862">
        <w:t>based on</w:t>
      </w:r>
      <w:r w:rsidR="00B43862" w:rsidRPr="00B43862">
        <w:t xml:space="preserve"> Islamic law and Law No. 41 of 2004 concerning Waqf is permitted in accordance with the applicable provisions and has better benefits for the benefit and interests of the community.</w:t>
      </w:r>
      <w:r w:rsidR="00A726A1">
        <w:rPr>
          <w:rStyle w:val="FootnoteReference"/>
        </w:rPr>
        <w:footnoteReference w:id="12"/>
      </w:r>
    </w:p>
    <w:p w14:paraId="0866FE9D" w14:textId="5C1C6F69" w:rsidR="001A2E0E" w:rsidRDefault="003A0DB0" w:rsidP="005607D3">
      <w:pPr>
        <w:tabs>
          <w:tab w:val="left" w:pos="709"/>
        </w:tabs>
        <w:spacing w:line="360" w:lineRule="auto"/>
        <w:jc w:val="both"/>
      </w:pPr>
      <w:r>
        <w:tab/>
      </w:r>
      <w:r w:rsidR="00DC3345" w:rsidRPr="00DC3345">
        <w:t xml:space="preserve">Third, the waqf management model is similar to the waqf for testamentary policies at the Al-Azhar Waqf Institution in Jakarta. According to </w:t>
      </w:r>
      <w:proofErr w:type="spellStart"/>
      <w:r w:rsidR="00DC3345" w:rsidRPr="00DC3345">
        <w:t>Siska</w:t>
      </w:r>
      <w:proofErr w:type="spellEnd"/>
      <w:r w:rsidR="00DC3345" w:rsidRPr="00DC3345">
        <w:t xml:space="preserve"> Lis </w:t>
      </w:r>
      <w:proofErr w:type="spellStart"/>
      <w:r w:rsidR="00DC3345" w:rsidRPr="00DC3345">
        <w:t>Sulistiani</w:t>
      </w:r>
      <w:proofErr w:type="spellEnd"/>
      <w:r w:rsidR="00DC3345" w:rsidRPr="00DC3345">
        <w:t xml:space="preserve">, the insurance policy bequest waqf at this institution did not fully follow </w:t>
      </w:r>
      <w:r w:rsidR="00DC3345" w:rsidRPr="00DC3345">
        <w:lastRenderedPageBreak/>
        <w:t>the fatwa of the National Sharia Council of the Indonesian Ulema Council in 2016, which was socialized in 2017, while the insurance policy bequest waqf has existed since 2012.</w:t>
      </w:r>
      <w:r w:rsidR="003B1117">
        <w:rPr>
          <w:rStyle w:val="FootnoteReference"/>
        </w:rPr>
        <w:footnoteReference w:id="13"/>
      </w:r>
      <w:r w:rsidR="006F0A6A">
        <w:t xml:space="preserve"> </w:t>
      </w:r>
      <w:r w:rsidR="00DC3345" w:rsidRPr="00DC3345">
        <w:t xml:space="preserve">Apart from political waqf in the form of optimizing waqf assets through waqf </w:t>
      </w:r>
      <w:r w:rsidR="00DC3345" w:rsidRPr="00372815">
        <w:rPr>
          <w:i/>
          <w:iCs/>
        </w:rPr>
        <w:t>sukuk</w:t>
      </w:r>
      <w:r w:rsidR="00DC3345" w:rsidRPr="00DC3345">
        <w:t xml:space="preserve">, </w:t>
      </w:r>
      <w:r w:rsidR="00DC3345" w:rsidRPr="00372815">
        <w:rPr>
          <w:i/>
          <w:iCs/>
        </w:rPr>
        <w:t>sukuk</w:t>
      </w:r>
      <w:r w:rsidR="00DC3345" w:rsidRPr="00DC3345">
        <w:t xml:space="preserve"> and waqf are two different instruments. The joint effort between the two aims to achieve greater utility value.</w:t>
      </w:r>
    </w:p>
    <w:p w14:paraId="76CC935D" w14:textId="42ED1B82" w:rsidR="00DA1B38" w:rsidRPr="00C76378" w:rsidRDefault="00DC3345" w:rsidP="005607D3">
      <w:pPr>
        <w:spacing w:line="360" w:lineRule="auto"/>
        <w:ind w:firstLine="709"/>
        <w:jc w:val="both"/>
      </w:pPr>
      <w:r w:rsidRPr="00DC3345">
        <w:t xml:space="preserve">Long before that, the </w:t>
      </w:r>
      <w:proofErr w:type="spellStart"/>
      <w:r w:rsidRPr="00DC3345">
        <w:rPr>
          <w:i/>
          <w:iCs/>
        </w:rPr>
        <w:t>sahaba</w:t>
      </w:r>
      <w:proofErr w:type="spellEnd"/>
      <w:r w:rsidRPr="00DC3345">
        <w:t xml:space="preserve"> </w:t>
      </w:r>
      <w:r>
        <w:t xml:space="preserve">(the Prophet Muhammad’s PBUH companions) </w:t>
      </w:r>
      <w:r w:rsidRPr="00DC3345">
        <w:t xml:space="preserve">had also given away the best of their possessions. The income from a piece of land in </w:t>
      </w:r>
      <w:proofErr w:type="spellStart"/>
      <w:r w:rsidRPr="00DC3345">
        <w:t>Khaibar</w:t>
      </w:r>
      <w:proofErr w:type="spellEnd"/>
      <w:r w:rsidRPr="00DC3345">
        <w:t xml:space="preserve"> from Umar bin Khattab</w:t>
      </w:r>
      <w:r>
        <w:t>’</w:t>
      </w:r>
      <w:r w:rsidRPr="00DC3345">
        <w:t xml:space="preserve">s waqf was given to the poor, </w:t>
      </w:r>
      <w:proofErr w:type="spellStart"/>
      <w:r w:rsidRPr="00DC3345">
        <w:t>Sabilillah</w:t>
      </w:r>
      <w:proofErr w:type="spellEnd"/>
      <w:r w:rsidRPr="00DC3345">
        <w:t xml:space="preserve">, Ibn </w:t>
      </w:r>
      <w:proofErr w:type="spellStart"/>
      <w:r w:rsidRPr="00DC3345">
        <w:t>Sabil</w:t>
      </w:r>
      <w:proofErr w:type="spellEnd"/>
      <w:r>
        <w:t>,</w:t>
      </w:r>
      <w:r w:rsidRPr="00DC3345">
        <w:t xml:space="preserve"> and the servants without accumulating wealth. Abu Talhah donated his beloved </w:t>
      </w:r>
      <w:proofErr w:type="spellStart"/>
      <w:r w:rsidRPr="00DC3345">
        <w:t>Bairaha</w:t>
      </w:r>
      <w:proofErr w:type="spellEnd"/>
      <w:r w:rsidRPr="00DC3345">
        <w:t xml:space="preserve"> garden, Usman bin </w:t>
      </w:r>
      <w:proofErr w:type="spellStart"/>
      <w:r w:rsidRPr="00DC3345">
        <w:t>Affan</w:t>
      </w:r>
      <w:proofErr w:type="spellEnd"/>
      <w:r w:rsidRPr="00DC3345">
        <w:t xml:space="preserve"> bought the </w:t>
      </w:r>
      <w:proofErr w:type="spellStart"/>
      <w:r w:rsidRPr="00DC3345">
        <w:t>Raumah</w:t>
      </w:r>
      <w:proofErr w:type="spellEnd"/>
      <w:r w:rsidRPr="00DC3345">
        <w:t xml:space="preserve"> well, which was given to the community, and the water was also channeled to the date palm garden, thereby improving the welfare of the community during his time, and there were many more waqfs made by </w:t>
      </w:r>
      <w:proofErr w:type="spellStart"/>
      <w:r w:rsidRPr="00DC3345">
        <w:rPr>
          <w:i/>
          <w:iCs/>
        </w:rPr>
        <w:t>sahaba</w:t>
      </w:r>
      <w:proofErr w:type="spellEnd"/>
      <w:r w:rsidRPr="00DC3345">
        <w:t xml:space="preserve"> and people after them.</w:t>
      </w:r>
      <w:r w:rsidR="007C21EB">
        <w:t xml:space="preserve">  </w:t>
      </w:r>
      <w:r w:rsidR="006F0A6A">
        <w:t xml:space="preserve"> </w:t>
      </w:r>
      <w:r w:rsidR="0036177D">
        <w:t xml:space="preserve"> </w:t>
      </w:r>
    </w:p>
    <w:p w14:paraId="67F823FC" w14:textId="06D08FB8" w:rsidR="009C2945" w:rsidRDefault="001673EA" w:rsidP="005607D3">
      <w:pPr>
        <w:spacing w:line="360" w:lineRule="auto"/>
        <w:ind w:firstLine="709"/>
        <w:jc w:val="both"/>
      </w:pPr>
      <w:r w:rsidRPr="001673EA">
        <w:t xml:space="preserve">At first glance, this research seems almost similar to the productive waqf carried out by the </w:t>
      </w:r>
      <w:proofErr w:type="spellStart"/>
      <w:r w:rsidRPr="001673EA">
        <w:rPr>
          <w:i/>
          <w:iCs/>
        </w:rPr>
        <w:t>sahaba</w:t>
      </w:r>
      <w:proofErr w:type="spellEnd"/>
      <w:r w:rsidRPr="001673EA">
        <w:t xml:space="preserve"> with the donation of gardens and wells </w:t>
      </w:r>
      <w:r w:rsidR="00372815">
        <w:t>of which the</w:t>
      </w:r>
      <w:r w:rsidRPr="001673EA">
        <w:t xml:space="preserve"> water </w:t>
      </w:r>
      <w:r>
        <w:t>was</w:t>
      </w:r>
      <w:r w:rsidRPr="001673EA">
        <w:t xml:space="preserve"> very useful, but from the beginning, the </w:t>
      </w:r>
      <w:r>
        <w:t>produce</w:t>
      </w:r>
      <w:r w:rsidRPr="001673EA">
        <w:t xml:space="preserve"> of these gardens and</w:t>
      </w:r>
      <w:r w:rsidR="00372815">
        <w:t xml:space="preserve"> the water of the</w:t>
      </w:r>
      <w:r w:rsidRPr="001673EA">
        <w:t xml:space="preserve"> wells seem</w:t>
      </w:r>
      <w:r>
        <w:t>ed</w:t>
      </w:r>
      <w:r w:rsidRPr="001673EA">
        <w:t xml:space="preserve"> to have been intended for people in need, including </w:t>
      </w:r>
      <w:proofErr w:type="spellStart"/>
      <w:r w:rsidRPr="001673EA">
        <w:t>nazhir</w:t>
      </w:r>
      <w:proofErr w:type="spellEnd"/>
      <w:r w:rsidRPr="001673EA">
        <w:t xml:space="preserve"> who was allowed to use some of the proceeds</w:t>
      </w:r>
      <w:r>
        <w:t>.</w:t>
      </w:r>
      <w:r w:rsidRPr="001673EA">
        <w:t xml:space="preserve"> Similarly, previous research has shown that there </w:t>
      </w:r>
      <w:r w:rsidR="00372815">
        <w:t>were</w:t>
      </w:r>
      <w:r w:rsidRPr="001673EA">
        <w:t xml:space="preserve"> also some overlaps. However, the fundamental difference with the </w:t>
      </w:r>
      <w:proofErr w:type="spellStart"/>
      <w:r w:rsidR="00342CFA" w:rsidRPr="001673EA">
        <w:rPr>
          <w:i/>
          <w:iCs/>
        </w:rPr>
        <w:t>Carotai</w:t>
      </w:r>
      <w:proofErr w:type="spellEnd"/>
      <w:r w:rsidR="00342CFA" w:rsidRPr="001673EA">
        <w:t xml:space="preserve"> </w:t>
      </w:r>
      <w:r w:rsidRPr="001673EA">
        <w:t xml:space="preserve">waqf of </w:t>
      </w:r>
      <w:proofErr w:type="spellStart"/>
      <w:r w:rsidRPr="001673EA">
        <w:t>Tabek</w:t>
      </w:r>
      <w:proofErr w:type="spellEnd"/>
      <w:r w:rsidRPr="001673EA">
        <w:t xml:space="preserve"> </w:t>
      </w:r>
      <w:proofErr w:type="spellStart"/>
      <w:r w:rsidRPr="001673EA">
        <w:t>Gadang</w:t>
      </w:r>
      <w:proofErr w:type="spellEnd"/>
      <w:r w:rsidRPr="001673EA">
        <w:t xml:space="preserve"> in Nagari Sungai </w:t>
      </w:r>
      <w:proofErr w:type="spellStart"/>
      <w:r w:rsidRPr="001673EA">
        <w:t>Tanang</w:t>
      </w:r>
      <w:proofErr w:type="spellEnd"/>
      <w:r w:rsidRPr="001673EA">
        <w:t xml:space="preserve"> is that the original intention was to use it for operating costs of mosques, prayer rooms</w:t>
      </w:r>
      <w:r>
        <w:t>,</w:t>
      </w:r>
      <w:r w:rsidRPr="001673EA">
        <w:t xml:space="preserve"> and other needs. If the original intention </w:t>
      </w:r>
      <w:r>
        <w:t>was</w:t>
      </w:r>
      <w:r w:rsidRPr="001673EA">
        <w:t xml:space="preserve"> carried out in accordance with the provisions of waqf in general, of course there w</w:t>
      </w:r>
      <w:r>
        <w:t>ould</w:t>
      </w:r>
      <w:r w:rsidRPr="001673EA">
        <w:t xml:space="preserve"> be no problems. But when more than </w:t>
      </w:r>
      <w:r>
        <w:t>two thousand</w:t>
      </w:r>
      <w:r w:rsidRPr="001673EA">
        <w:t xml:space="preserve"> people </w:t>
      </w:r>
      <w:r>
        <w:t>fought over</w:t>
      </w:r>
      <w:r w:rsidRPr="001673EA">
        <w:t xml:space="preserve"> </w:t>
      </w:r>
      <w:r>
        <w:t>half</w:t>
      </w:r>
      <w:r w:rsidRPr="001673EA">
        <w:t xml:space="preserve"> of the fish </w:t>
      </w:r>
      <w:r>
        <w:t xml:space="preserve">harvest </w:t>
      </w:r>
      <w:r w:rsidRPr="001673EA">
        <w:t>from the Waqf, it certainly bec</w:t>
      </w:r>
      <w:r>
        <w:t>ame</w:t>
      </w:r>
      <w:r w:rsidRPr="001673EA">
        <w:t xml:space="preserve"> something unique.</w:t>
      </w:r>
      <w:r w:rsidR="004363F9">
        <w:t xml:space="preserve"> </w:t>
      </w:r>
      <w:r w:rsidR="00C44AC2">
        <w:t xml:space="preserve"> </w:t>
      </w:r>
      <w:r w:rsidR="009C2945">
        <w:t xml:space="preserve"> </w:t>
      </w:r>
    </w:p>
    <w:p w14:paraId="7D40E05B" w14:textId="51C702AC" w:rsidR="00193827" w:rsidRDefault="00B039EB" w:rsidP="005607D3">
      <w:pPr>
        <w:tabs>
          <w:tab w:val="left" w:pos="709"/>
        </w:tabs>
        <w:spacing w:line="360" w:lineRule="auto"/>
        <w:jc w:val="both"/>
      </w:pPr>
      <w:r>
        <w:lastRenderedPageBreak/>
        <w:tab/>
      </w:r>
      <w:r w:rsidR="00927E5E" w:rsidRPr="00927E5E">
        <w:t xml:space="preserve">The calculation </w:t>
      </w:r>
      <w:r w:rsidR="00372815">
        <w:t>was</w:t>
      </w:r>
      <w:r w:rsidR="00927E5E" w:rsidRPr="00927E5E">
        <w:t xml:space="preserve"> that if each participant g</w:t>
      </w:r>
      <w:r w:rsidR="00927E5E">
        <w:t>ot</w:t>
      </w:r>
      <w:r w:rsidR="00927E5E" w:rsidRPr="00927E5E">
        <w:t xml:space="preserve"> on average about 2 kilograms of fish, then it c</w:t>
      </w:r>
      <w:r w:rsidR="00372815">
        <w:t>ould</w:t>
      </w:r>
      <w:r w:rsidR="00927E5E" w:rsidRPr="00927E5E">
        <w:t xml:space="preserve"> be estimated that the </w:t>
      </w:r>
      <w:proofErr w:type="spellStart"/>
      <w:r w:rsidR="00927E5E" w:rsidRPr="00927E5E">
        <w:t>Carota</w:t>
      </w:r>
      <w:r w:rsidR="00927E5E">
        <w:t>i</w:t>
      </w:r>
      <w:proofErr w:type="spellEnd"/>
      <w:r w:rsidR="00927E5E" w:rsidRPr="00927E5E">
        <w:t xml:space="preserve"> </w:t>
      </w:r>
      <w:r w:rsidR="00927E5E">
        <w:t xml:space="preserve">of </w:t>
      </w:r>
      <w:proofErr w:type="spellStart"/>
      <w:r w:rsidR="00927E5E" w:rsidRPr="00927E5E">
        <w:t>Tabek</w:t>
      </w:r>
      <w:proofErr w:type="spellEnd"/>
      <w:r w:rsidR="00927E5E" w:rsidRPr="00927E5E">
        <w:t xml:space="preserve"> </w:t>
      </w:r>
      <w:proofErr w:type="spellStart"/>
      <w:r w:rsidR="00927E5E" w:rsidRPr="00927E5E">
        <w:t>Gadang</w:t>
      </w:r>
      <w:proofErr w:type="spellEnd"/>
      <w:r w:rsidR="00927E5E" w:rsidRPr="00927E5E">
        <w:t xml:space="preserve"> fish </w:t>
      </w:r>
      <w:r w:rsidR="00927E5E">
        <w:t>was</w:t>
      </w:r>
      <w:r w:rsidR="00927E5E" w:rsidRPr="00927E5E">
        <w:t xml:space="preserve"> about four thousand kilograms, if the price of the fish </w:t>
      </w:r>
      <w:r w:rsidR="00927E5E">
        <w:t>was</w:t>
      </w:r>
      <w:r w:rsidR="00927E5E" w:rsidRPr="00927E5E">
        <w:t xml:space="preserve"> IDR. 40,000,- (Forty Thousand Rupiah) per kilogram in </w:t>
      </w:r>
      <w:proofErr w:type="spellStart"/>
      <w:r w:rsidR="00927E5E" w:rsidRPr="00927E5E">
        <w:t>Bukittinggi</w:t>
      </w:r>
      <w:proofErr w:type="spellEnd"/>
      <w:r w:rsidR="00927E5E" w:rsidRPr="00927E5E">
        <w:t xml:space="preserve">, </w:t>
      </w:r>
      <w:r w:rsidR="00927E5E">
        <w:t>t</w:t>
      </w:r>
      <w:r w:rsidR="00927E5E" w:rsidRPr="00927E5E">
        <w:t xml:space="preserve">hen </w:t>
      </w:r>
      <w:r w:rsidR="00B546FB">
        <w:t xml:space="preserve">it was </w:t>
      </w:r>
      <w:r w:rsidR="00927E5E" w:rsidRPr="00927E5E">
        <w:t xml:space="preserve">approximately Rp. 160,000,000,- (One Hundred and Sixty Million Rupiah) </w:t>
      </w:r>
      <w:r w:rsidR="00B546FB">
        <w:t>if it</w:t>
      </w:r>
      <w:r w:rsidR="00927E5E" w:rsidRPr="00927E5E">
        <w:t xml:space="preserve"> </w:t>
      </w:r>
      <w:r w:rsidR="00B546FB">
        <w:t xml:space="preserve">was </w:t>
      </w:r>
      <w:r w:rsidR="00927E5E" w:rsidRPr="00927E5E">
        <w:t xml:space="preserve">cashed out to be distributed to the community. The problem </w:t>
      </w:r>
      <w:r w:rsidR="00927E5E">
        <w:t>was</w:t>
      </w:r>
      <w:r w:rsidR="00927E5E" w:rsidRPr="00927E5E">
        <w:t xml:space="preserve"> not only the monetary value of </w:t>
      </w:r>
      <w:r w:rsidR="00B546FB" w:rsidRPr="00927E5E">
        <w:t>the fish</w:t>
      </w:r>
      <w:r w:rsidR="00927E5E" w:rsidRPr="00927E5E">
        <w:t xml:space="preserve">, but it </w:t>
      </w:r>
      <w:r w:rsidR="00927E5E">
        <w:t>was</w:t>
      </w:r>
      <w:r w:rsidR="00927E5E" w:rsidRPr="00927E5E">
        <w:t xml:space="preserve"> more specific considering that the </w:t>
      </w:r>
      <w:proofErr w:type="spellStart"/>
      <w:r w:rsidR="00B546FB" w:rsidRPr="00B546FB">
        <w:rPr>
          <w:i/>
          <w:iCs/>
        </w:rPr>
        <w:t>C</w:t>
      </w:r>
      <w:r w:rsidR="00927E5E" w:rsidRPr="00B546FB">
        <w:rPr>
          <w:i/>
          <w:iCs/>
        </w:rPr>
        <w:t>ar</w:t>
      </w:r>
      <w:r w:rsidR="00B546FB" w:rsidRPr="00B546FB">
        <w:rPr>
          <w:i/>
          <w:iCs/>
        </w:rPr>
        <w:t>otai</w:t>
      </w:r>
      <w:proofErr w:type="spellEnd"/>
      <w:r w:rsidR="00927E5E" w:rsidRPr="00927E5E">
        <w:t xml:space="preserve"> fish came from a fish pond donated by the former residents of the Nagari Sungai </w:t>
      </w:r>
      <w:proofErr w:type="spellStart"/>
      <w:r w:rsidR="00927E5E" w:rsidRPr="00927E5E">
        <w:t>Tanang</w:t>
      </w:r>
      <w:proofErr w:type="spellEnd"/>
      <w:r w:rsidR="00927E5E" w:rsidRPr="00927E5E">
        <w:t xml:space="preserve"> community, while the purchase of fish seeds and their maintenance also came from the mosque</w:t>
      </w:r>
      <w:r w:rsidR="00B546FB">
        <w:t>’</w:t>
      </w:r>
      <w:r w:rsidR="00927E5E" w:rsidRPr="00927E5E">
        <w:t>s waqf money.</w:t>
      </w:r>
      <w:r w:rsidR="0082153D">
        <w:t xml:space="preserve"> </w:t>
      </w:r>
    </w:p>
    <w:p w14:paraId="2E3E0110" w14:textId="6CE0FBA9" w:rsidR="006C226D" w:rsidRPr="006830B2" w:rsidRDefault="00B546FB" w:rsidP="005607D3">
      <w:pPr>
        <w:spacing w:line="360" w:lineRule="auto"/>
        <w:ind w:firstLine="709"/>
        <w:jc w:val="both"/>
        <w:rPr>
          <w:b/>
          <w:bCs/>
        </w:rPr>
      </w:pPr>
      <w:r w:rsidRPr="00B546FB">
        <w:t>This article examine</w:t>
      </w:r>
      <w:r>
        <w:t>d</w:t>
      </w:r>
      <w:r w:rsidRPr="00B546FB">
        <w:t xml:space="preserve"> the values contained in the </w:t>
      </w:r>
      <w:proofErr w:type="spellStart"/>
      <w:r>
        <w:t>C</w:t>
      </w:r>
      <w:r w:rsidRPr="00B546FB">
        <w:t>arotai</w:t>
      </w:r>
      <w:proofErr w:type="spellEnd"/>
      <w:r w:rsidRPr="00B546FB">
        <w:t xml:space="preserve"> waqf culture in the Big Fish Pond </w:t>
      </w:r>
      <w:r w:rsidRPr="00B546FB">
        <w:rPr>
          <w:i/>
          <w:iCs/>
        </w:rPr>
        <w:t>(</w:t>
      </w:r>
      <w:proofErr w:type="spellStart"/>
      <w:r w:rsidRPr="00B546FB">
        <w:rPr>
          <w:i/>
          <w:iCs/>
        </w:rPr>
        <w:t>Tabek</w:t>
      </w:r>
      <w:proofErr w:type="spellEnd"/>
      <w:r w:rsidRPr="00B546FB">
        <w:rPr>
          <w:i/>
          <w:iCs/>
        </w:rPr>
        <w:t xml:space="preserve"> </w:t>
      </w:r>
      <w:proofErr w:type="spellStart"/>
      <w:r w:rsidRPr="00B546FB">
        <w:rPr>
          <w:i/>
          <w:iCs/>
        </w:rPr>
        <w:t>Gadang</w:t>
      </w:r>
      <w:proofErr w:type="spellEnd"/>
      <w:r w:rsidRPr="00B546FB">
        <w:rPr>
          <w:i/>
          <w:iCs/>
        </w:rPr>
        <w:t>)</w:t>
      </w:r>
      <w:r w:rsidRPr="00B546FB">
        <w:t xml:space="preserve"> in the community of Nagari Sungai </w:t>
      </w:r>
      <w:proofErr w:type="spellStart"/>
      <w:r w:rsidRPr="00B546FB">
        <w:t>Tanang</w:t>
      </w:r>
      <w:proofErr w:type="spellEnd"/>
      <w:r w:rsidRPr="00B546FB">
        <w:t xml:space="preserve">, </w:t>
      </w:r>
      <w:proofErr w:type="spellStart"/>
      <w:r w:rsidRPr="00B546FB">
        <w:t>Banuhampu</w:t>
      </w:r>
      <w:proofErr w:type="spellEnd"/>
      <w:r w:rsidRPr="00B546FB">
        <w:t xml:space="preserve"> District, </w:t>
      </w:r>
      <w:proofErr w:type="spellStart"/>
      <w:r w:rsidRPr="00B546FB">
        <w:t>Agam</w:t>
      </w:r>
      <w:proofErr w:type="spellEnd"/>
      <w:r w:rsidRPr="00B546FB">
        <w:t xml:space="preserve"> Regency, West Sumatra, and explore</w:t>
      </w:r>
      <w:r>
        <w:t>d</w:t>
      </w:r>
      <w:r w:rsidRPr="00B546FB">
        <w:t xml:space="preserve"> the </w:t>
      </w:r>
      <w:proofErr w:type="spellStart"/>
      <w:r w:rsidRPr="00B546FB">
        <w:t>istihsan</w:t>
      </w:r>
      <w:proofErr w:type="spellEnd"/>
      <w:r w:rsidRPr="00B546FB">
        <w:t xml:space="preserve"> view of the </w:t>
      </w:r>
      <w:proofErr w:type="spellStart"/>
      <w:r>
        <w:t>C</w:t>
      </w:r>
      <w:r w:rsidRPr="00B546FB">
        <w:t>arotai</w:t>
      </w:r>
      <w:proofErr w:type="spellEnd"/>
      <w:r w:rsidRPr="00B546FB">
        <w:t xml:space="preserve"> waqf culture in this community. </w:t>
      </w:r>
      <w:r w:rsidR="000C24AD">
        <w:t>Q</w:t>
      </w:r>
      <w:r w:rsidRPr="00B546FB">
        <w:t xml:space="preserve">ualitative method with an ethnographic approach to the Nagari Sungai </w:t>
      </w:r>
      <w:proofErr w:type="spellStart"/>
      <w:r w:rsidRPr="00B546FB">
        <w:t>Tanang</w:t>
      </w:r>
      <w:proofErr w:type="spellEnd"/>
      <w:r w:rsidRPr="00B546FB">
        <w:t xml:space="preserve"> community </w:t>
      </w:r>
      <w:r w:rsidR="000C24AD">
        <w:t>was used in conducting this research</w:t>
      </w:r>
      <w:r w:rsidR="000C24AD" w:rsidRPr="00B546FB">
        <w:t xml:space="preserve"> </w:t>
      </w:r>
      <w:r w:rsidRPr="00B546FB">
        <w:t xml:space="preserve">and </w:t>
      </w:r>
      <w:proofErr w:type="spellStart"/>
      <w:r w:rsidRPr="000C24AD">
        <w:rPr>
          <w:i/>
          <w:iCs/>
        </w:rPr>
        <w:t>istihsan</w:t>
      </w:r>
      <w:proofErr w:type="spellEnd"/>
      <w:r w:rsidRPr="00B546FB">
        <w:t xml:space="preserve"> approach</w:t>
      </w:r>
      <w:r w:rsidR="000C24AD">
        <w:t xml:space="preserve"> was used to analyze it</w:t>
      </w:r>
      <w:r w:rsidRPr="00B546FB">
        <w:t xml:space="preserve">. </w:t>
      </w:r>
      <w:r w:rsidR="000C24AD">
        <w:t>The d</w:t>
      </w:r>
      <w:r w:rsidRPr="00B546FB">
        <w:t>ata w</w:t>
      </w:r>
      <w:r w:rsidR="000C24AD">
        <w:t>ere</w:t>
      </w:r>
      <w:r w:rsidRPr="00B546FB">
        <w:t xml:space="preserve"> collected through interviews with mosque administrators, community leaders, religious scholars</w:t>
      </w:r>
      <w:r w:rsidR="000C24AD">
        <w:t>,</w:t>
      </w:r>
      <w:r w:rsidRPr="00B546FB">
        <w:t xml:space="preserve"> and youth leaders. Apart from interviews, the author also tri</w:t>
      </w:r>
      <w:r w:rsidR="000C24AD">
        <w:t>ed</w:t>
      </w:r>
      <w:r w:rsidRPr="00B546FB">
        <w:t xml:space="preserve"> to complement it with documentary data. In this article, the author</w:t>
      </w:r>
      <w:r w:rsidR="000C24AD">
        <w:t>’</w:t>
      </w:r>
      <w:r w:rsidRPr="00B546FB">
        <w:t xml:space="preserve">s initial picture </w:t>
      </w:r>
      <w:r w:rsidR="000C24AD">
        <w:t>saw</w:t>
      </w:r>
      <w:r w:rsidRPr="00B546FB">
        <w:t xml:space="preserve"> values of community</w:t>
      </w:r>
      <w:r w:rsidR="00372815">
        <w:t>’s</w:t>
      </w:r>
      <w:r w:rsidRPr="00B546FB">
        <w:t xml:space="preserve"> life and </w:t>
      </w:r>
      <w:proofErr w:type="spellStart"/>
      <w:r w:rsidRPr="000C24AD">
        <w:rPr>
          <w:i/>
          <w:iCs/>
        </w:rPr>
        <w:t>istihsan</w:t>
      </w:r>
      <w:proofErr w:type="spellEnd"/>
      <w:r w:rsidRPr="00B546FB">
        <w:t xml:space="preserve"> that </w:t>
      </w:r>
      <w:r w:rsidR="00B679DA">
        <w:t xml:space="preserve">they wanted to </w:t>
      </w:r>
      <w:r w:rsidRPr="00B546FB">
        <w:t xml:space="preserve">preserve and pass on to the next generation, even if it </w:t>
      </w:r>
      <w:r w:rsidR="00B679DA">
        <w:t>was</w:t>
      </w:r>
      <w:r w:rsidRPr="00B546FB">
        <w:t xml:space="preserve"> through </w:t>
      </w:r>
      <w:proofErr w:type="spellStart"/>
      <w:r w:rsidR="00B679DA">
        <w:t>C</w:t>
      </w:r>
      <w:r w:rsidRPr="00B546FB">
        <w:t>arotai</w:t>
      </w:r>
      <w:proofErr w:type="spellEnd"/>
      <w:r w:rsidRPr="00B546FB">
        <w:t xml:space="preserve"> waqf (</w:t>
      </w:r>
      <w:r w:rsidR="00B679DA">
        <w:t>fought over the</w:t>
      </w:r>
      <w:r w:rsidRPr="00B546FB">
        <w:t xml:space="preserve"> </w:t>
      </w:r>
      <w:r w:rsidR="00B679DA">
        <w:t xml:space="preserve">harvest of </w:t>
      </w:r>
      <w:r w:rsidRPr="00B546FB">
        <w:t xml:space="preserve">waqf) carried out by the people of Nagari Sungai </w:t>
      </w:r>
      <w:proofErr w:type="spellStart"/>
      <w:r w:rsidRPr="00B546FB">
        <w:t>Tanang</w:t>
      </w:r>
      <w:proofErr w:type="spellEnd"/>
      <w:r w:rsidRPr="00B546FB">
        <w:t>.</w:t>
      </w:r>
      <w:r w:rsidR="006C226D">
        <w:t xml:space="preserve"> </w:t>
      </w:r>
      <w:r w:rsidR="006C226D">
        <w:rPr>
          <w:b/>
          <w:bCs/>
        </w:rPr>
        <w:tab/>
      </w:r>
    </w:p>
    <w:p w14:paraId="6E5960A3" w14:textId="01E31625" w:rsidR="00955FE3" w:rsidRDefault="00A876DC" w:rsidP="007D4FBA">
      <w:pPr>
        <w:spacing w:before="240" w:line="360" w:lineRule="auto"/>
        <w:jc w:val="both"/>
        <w:rPr>
          <w:b/>
          <w:bCs/>
        </w:rPr>
      </w:pPr>
      <w:proofErr w:type="spellStart"/>
      <w:r w:rsidRPr="00A876DC">
        <w:rPr>
          <w:b/>
          <w:bCs/>
        </w:rPr>
        <w:t>Carotai</w:t>
      </w:r>
      <w:proofErr w:type="spellEnd"/>
      <w:r w:rsidRPr="00A876DC">
        <w:rPr>
          <w:b/>
          <w:bCs/>
        </w:rPr>
        <w:t xml:space="preserve"> Waqf Tradition in Nagari Sungai </w:t>
      </w:r>
      <w:proofErr w:type="spellStart"/>
      <w:r w:rsidRPr="00A876DC">
        <w:rPr>
          <w:b/>
          <w:bCs/>
        </w:rPr>
        <w:t>Tanang</w:t>
      </w:r>
      <w:proofErr w:type="spellEnd"/>
      <w:r w:rsidRPr="00A876DC">
        <w:rPr>
          <w:b/>
          <w:bCs/>
        </w:rPr>
        <w:t xml:space="preserve">, </w:t>
      </w:r>
      <w:proofErr w:type="spellStart"/>
      <w:r w:rsidRPr="00A876DC">
        <w:rPr>
          <w:b/>
          <w:bCs/>
        </w:rPr>
        <w:t>Banuhampu</w:t>
      </w:r>
      <w:proofErr w:type="spellEnd"/>
      <w:r w:rsidRPr="00A876DC">
        <w:rPr>
          <w:b/>
          <w:bCs/>
        </w:rPr>
        <w:t xml:space="preserve"> District, </w:t>
      </w:r>
      <w:proofErr w:type="spellStart"/>
      <w:r w:rsidRPr="00A876DC">
        <w:rPr>
          <w:b/>
          <w:bCs/>
        </w:rPr>
        <w:t>Agam</w:t>
      </w:r>
      <w:proofErr w:type="spellEnd"/>
      <w:r w:rsidRPr="00A876DC">
        <w:rPr>
          <w:b/>
          <w:bCs/>
        </w:rPr>
        <w:t xml:space="preserve"> Regency</w:t>
      </w:r>
    </w:p>
    <w:p w14:paraId="10770C6B" w14:textId="431EA521" w:rsidR="00E012A6" w:rsidRPr="00A85546" w:rsidRDefault="00A876DC" w:rsidP="00E012A6">
      <w:pPr>
        <w:pStyle w:val="ListParagraph"/>
        <w:numPr>
          <w:ilvl w:val="0"/>
          <w:numId w:val="23"/>
        </w:numPr>
        <w:spacing w:after="0" w:line="360" w:lineRule="auto"/>
        <w:ind w:left="284" w:hanging="284"/>
        <w:jc w:val="both"/>
        <w:rPr>
          <w:b/>
          <w:bCs/>
        </w:rPr>
      </w:pPr>
      <w:r w:rsidRPr="00A876DC">
        <w:rPr>
          <w:b/>
          <w:bCs/>
        </w:rPr>
        <w:t>Religious and Social Orientation of the Waqf in Islamic Law</w:t>
      </w:r>
    </w:p>
    <w:p w14:paraId="21171B4C" w14:textId="13BEE813" w:rsidR="00092A4F" w:rsidRDefault="00A876DC" w:rsidP="0017110B">
      <w:pPr>
        <w:spacing w:line="360" w:lineRule="auto"/>
        <w:ind w:firstLine="709"/>
        <w:jc w:val="both"/>
      </w:pPr>
      <w:r w:rsidRPr="00A876DC">
        <w:t xml:space="preserve">Waqf, as an Islamic doctrine, is religiously and socially oriented. From a religious perspective, the hope of rewards that continue to flow even after the death of the person who donated the waqf, because the donated assets are still intact and preserved, is a motivation in itself. From social perspective, waqf is an </w:t>
      </w:r>
      <w:r w:rsidRPr="00A876DC">
        <w:lastRenderedPageBreak/>
        <w:t>economic tool that has great potential to support the welfare of the community</w:t>
      </w:r>
      <w:r w:rsidR="00092A4F">
        <w:rPr>
          <w:rStyle w:val="FootnoteReference"/>
        </w:rPr>
        <w:footnoteReference w:id="14"/>
      </w:r>
      <w:r w:rsidR="00092A4F">
        <w:t xml:space="preserve"> </w:t>
      </w:r>
      <w:r w:rsidRPr="00A876DC">
        <w:t>As stated in Article 5 of the Waqf Law No. 41 of 2004, the function of the Waqf is to realize the potential and economic benefits of the Waqf property for the purposes of worship and promoting the welfare of the community.</w:t>
      </w:r>
      <w:r w:rsidR="00092A4F">
        <w:rPr>
          <w:rStyle w:val="FootnoteReference"/>
        </w:rPr>
        <w:footnoteReference w:id="15"/>
      </w:r>
      <w:r w:rsidR="002F54D5">
        <w:t xml:space="preserve"> </w:t>
      </w:r>
      <w:r w:rsidRPr="00A876DC">
        <w:t xml:space="preserve">These two sides, both the religious side and the social side, </w:t>
      </w:r>
      <w:r w:rsidR="00454F89">
        <w:t>linked</w:t>
      </w:r>
      <w:r w:rsidRPr="00A876DC">
        <w:t xml:space="preserve"> to the </w:t>
      </w:r>
      <w:proofErr w:type="spellStart"/>
      <w:r w:rsidRPr="00A876DC">
        <w:t>Carotai</w:t>
      </w:r>
      <w:proofErr w:type="spellEnd"/>
      <w:r w:rsidRPr="00A876DC">
        <w:t xml:space="preserve"> </w:t>
      </w:r>
      <w:r>
        <w:t>W</w:t>
      </w:r>
      <w:r w:rsidRPr="00A876DC">
        <w:t xml:space="preserve">aqf in Nagari Sungai </w:t>
      </w:r>
      <w:proofErr w:type="spellStart"/>
      <w:r w:rsidRPr="00A876DC">
        <w:t>Tanang</w:t>
      </w:r>
      <w:proofErr w:type="spellEnd"/>
      <w:r w:rsidR="00454F89">
        <w:t>,</w:t>
      </w:r>
      <w:r w:rsidRPr="00A876DC">
        <w:t xml:space="preserve"> </w:t>
      </w:r>
      <w:r w:rsidR="00454F89">
        <w:t>are</w:t>
      </w:r>
      <w:r w:rsidRPr="00A876DC">
        <w:t xml:space="preserve"> unique, as shown in the following table.</w:t>
      </w:r>
    </w:p>
    <w:p w14:paraId="12C27098" w14:textId="71BFE7F3" w:rsidR="00E16C4D" w:rsidRPr="00CF37BF" w:rsidRDefault="00A876DC" w:rsidP="007E5676">
      <w:pPr>
        <w:spacing w:before="240" w:line="360" w:lineRule="auto"/>
        <w:jc w:val="center"/>
      </w:pPr>
      <w:r w:rsidRPr="00A876DC">
        <w:t xml:space="preserve">Table 1: Waqf and </w:t>
      </w:r>
      <w:proofErr w:type="spellStart"/>
      <w:r w:rsidRPr="00A876DC">
        <w:t>Carotai</w:t>
      </w:r>
      <w:proofErr w:type="spellEnd"/>
      <w:r w:rsidRPr="00A876DC">
        <w:t xml:space="preserve"> Traditions in the Nagari Sungai </w:t>
      </w:r>
      <w:proofErr w:type="spellStart"/>
      <w:r w:rsidRPr="00A876DC">
        <w:t>Tanang</w:t>
      </w:r>
      <w:proofErr w:type="spellEnd"/>
      <w:r w:rsidRPr="00A876DC">
        <w:t xml:space="preserve"> Community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398"/>
      </w:tblGrid>
      <w:tr w:rsidR="00E16C4D" w:rsidRPr="003933BE" w14:paraId="39A161F6" w14:textId="77777777" w:rsidTr="00E16C4D">
        <w:tc>
          <w:tcPr>
            <w:tcW w:w="540" w:type="dxa"/>
            <w:shd w:val="clear" w:color="auto" w:fill="auto"/>
          </w:tcPr>
          <w:p w14:paraId="486642AC" w14:textId="77777777" w:rsidR="00E16C4D" w:rsidRPr="00931156" w:rsidRDefault="00E16C4D" w:rsidP="0032295C">
            <w:pPr>
              <w:spacing w:line="360" w:lineRule="auto"/>
              <w:jc w:val="both"/>
              <w:rPr>
                <w:rFonts w:eastAsia="Calibri"/>
                <w:b/>
                <w:bCs/>
                <w:sz w:val="22"/>
                <w:szCs w:val="22"/>
              </w:rPr>
            </w:pPr>
            <w:r w:rsidRPr="00931156">
              <w:rPr>
                <w:rFonts w:eastAsia="Calibri"/>
                <w:b/>
                <w:bCs/>
                <w:sz w:val="22"/>
                <w:szCs w:val="22"/>
              </w:rPr>
              <w:t>No</w:t>
            </w:r>
          </w:p>
        </w:tc>
        <w:tc>
          <w:tcPr>
            <w:tcW w:w="7398" w:type="dxa"/>
            <w:shd w:val="clear" w:color="auto" w:fill="auto"/>
          </w:tcPr>
          <w:p w14:paraId="161896F4" w14:textId="08BA7773" w:rsidR="00E16C4D" w:rsidRPr="00931156" w:rsidRDefault="00A876DC" w:rsidP="00A876DC">
            <w:pPr>
              <w:ind w:right="-109"/>
              <w:jc w:val="center"/>
              <w:rPr>
                <w:rFonts w:eastAsia="Calibri"/>
                <w:b/>
                <w:bCs/>
                <w:sz w:val="22"/>
                <w:szCs w:val="22"/>
              </w:rPr>
            </w:pPr>
            <w:r w:rsidRPr="00A876DC">
              <w:rPr>
                <w:rFonts w:eastAsia="Calibri"/>
                <w:b/>
                <w:bCs/>
                <w:sz w:val="22"/>
                <w:szCs w:val="22"/>
              </w:rPr>
              <w:t>Waqf According to Ulama and Community Trends</w:t>
            </w:r>
          </w:p>
        </w:tc>
      </w:tr>
      <w:tr w:rsidR="00E16C4D" w:rsidRPr="003933BE" w14:paraId="001C8325" w14:textId="77777777" w:rsidTr="00E16C4D">
        <w:tc>
          <w:tcPr>
            <w:tcW w:w="540" w:type="dxa"/>
            <w:shd w:val="clear" w:color="auto" w:fill="auto"/>
          </w:tcPr>
          <w:p w14:paraId="7F37FE18" w14:textId="77777777" w:rsidR="00E16C4D" w:rsidRPr="00931156" w:rsidRDefault="00E16C4D" w:rsidP="0032295C">
            <w:pPr>
              <w:spacing w:line="360" w:lineRule="auto"/>
              <w:jc w:val="center"/>
              <w:rPr>
                <w:rFonts w:eastAsia="Calibri"/>
                <w:sz w:val="22"/>
                <w:szCs w:val="22"/>
              </w:rPr>
            </w:pPr>
            <w:r w:rsidRPr="00931156">
              <w:rPr>
                <w:rFonts w:eastAsia="Calibri"/>
                <w:sz w:val="22"/>
                <w:szCs w:val="22"/>
              </w:rPr>
              <w:t>1.</w:t>
            </w:r>
          </w:p>
        </w:tc>
        <w:tc>
          <w:tcPr>
            <w:tcW w:w="7398" w:type="dxa"/>
            <w:shd w:val="clear" w:color="auto" w:fill="auto"/>
          </w:tcPr>
          <w:p w14:paraId="221BD5DB" w14:textId="33EFC66B" w:rsidR="00E16C4D" w:rsidRPr="00931156" w:rsidRDefault="00A876DC" w:rsidP="0032295C">
            <w:pPr>
              <w:jc w:val="both"/>
              <w:rPr>
                <w:rFonts w:eastAsia="Calibri"/>
                <w:sz w:val="22"/>
                <w:szCs w:val="22"/>
              </w:rPr>
            </w:pPr>
            <w:r w:rsidRPr="00A876DC">
              <w:rPr>
                <w:rFonts w:eastAsia="Calibri"/>
                <w:sz w:val="22"/>
                <w:szCs w:val="22"/>
              </w:rPr>
              <w:t xml:space="preserve">According to Imam Abu Hanifah, waqf holds objects, they remain the property of the </w:t>
            </w:r>
            <w:r w:rsidR="00106D4A" w:rsidRPr="00106D4A">
              <w:rPr>
                <w:rFonts w:eastAsia="Calibri"/>
                <w:i/>
                <w:iCs/>
                <w:sz w:val="22"/>
                <w:szCs w:val="22"/>
              </w:rPr>
              <w:t>waqif</w:t>
            </w:r>
            <w:r w:rsidRPr="00A876DC">
              <w:rPr>
                <w:rFonts w:eastAsia="Calibri"/>
                <w:sz w:val="22"/>
                <w:szCs w:val="22"/>
              </w:rPr>
              <w:t>, can be withdrawn, sold, and inherited.</w:t>
            </w:r>
          </w:p>
        </w:tc>
      </w:tr>
      <w:tr w:rsidR="00E16C4D" w:rsidRPr="003933BE" w14:paraId="6C6D2795" w14:textId="77777777" w:rsidTr="00E16C4D">
        <w:tc>
          <w:tcPr>
            <w:tcW w:w="540" w:type="dxa"/>
            <w:shd w:val="clear" w:color="auto" w:fill="auto"/>
          </w:tcPr>
          <w:p w14:paraId="60DFE174" w14:textId="77777777" w:rsidR="00E16C4D" w:rsidRPr="00931156" w:rsidRDefault="00E16C4D" w:rsidP="0032295C">
            <w:pPr>
              <w:spacing w:line="360" w:lineRule="auto"/>
              <w:jc w:val="center"/>
              <w:rPr>
                <w:rFonts w:eastAsia="Calibri"/>
                <w:sz w:val="22"/>
                <w:szCs w:val="22"/>
              </w:rPr>
            </w:pPr>
            <w:r w:rsidRPr="00931156">
              <w:rPr>
                <w:rFonts w:eastAsia="Calibri"/>
                <w:sz w:val="22"/>
                <w:szCs w:val="22"/>
              </w:rPr>
              <w:t>2.</w:t>
            </w:r>
          </w:p>
        </w:tc>
        <w:tc>
          <w:tcPr>
            <w:tcW w:w="7398" w:type="dxa"/>
            <w:shd w:val="clear" w:color="auto" w:fill="auto"/>
          </w:tcPr>
          <w:p w14:paraId="07D91622" w14:textId="45C21ADB" w:rsidR="00E16C4D" w:rsidRPr="00931156" w:rsidRDefault="00A876DC" w:rsidP="0032295C">
            <w:pPr>
              <w:jc w:val="both"/>
              <w:rPr>
                <w:rFonts w:eastAsia="Calibri"/>
                <w:sz w:val="22"/>
                <w:szCs w:val="22"/>
              </w:rPr>
            </w:pPr>
            <w:r w:rsidRPr="00A876DC">
              <w:rPr>
                <w:rFonts w:eastAsia="Calibri"/>
                <w:sz w:val="22"/>
                <w:szCs w:val="22"/>
              </w:rPr>
              <w:t xml:space="preserve">According to Imam Malik, waqf holds objects, cannot be released from the </w:t>
            </w:r>
            <w:r w:rsidR="00106D4A" w:rsidRPr="00106D4A">
              <w:rPr>
                <w:rFonts w:eastAsia="Calibri"/>
                <w:i/>
                <w:iCs/>
                <w:sz w:val="22"/>
                <w:szCs w:val="22"/>
              </w:rPr>
              <w:t>waqif</w:t>
            </w:r>
            <w:r w:rsidRPr="00DE39B1">
              <w:rPr>
                <w:rFonts w:eastAsia="Calibri"/>
                <w:i/>
                <w:iCs/>
                <w:sz w:val="22"/>
                <w:szCs w:val="22"/>
              </w:rPr>
              <w:t>’s</w:t>
            </w:r>
            <w:r w:rsidRPr="00A876DC">
              <w:rPr>
                <w:rFonts w:eastAsia="Calibri"/>
                <w:sz w:val="22"/>
                <w:szCs w:val="22"/>
              </w:rPr>
              <w:t xml:space="preserve"> ownership, and cannot be withdrawn, but is allowed within a certain time period.</w:t>
            </w:r>
          </w:p>
        </w:tc>
      </w:tr>
      <w:tr w:rsidR="00E16C4D" w:rsidRPr="003933BE" w14:paraId="5A36DCC4" w14:textId="77777777" w:rsidTr="00E16C4D">
        <w:tc>
          <w:tcPr>
            <w:tcW w:w="540" w:type="dxa"/>
            <w:shd w:val="clear" w:color="auto" w:fill="auto"/>
          </w:tcPr>
          <w:p w14:paraId="32947A63" w14:textId="77777777" w:rsidR="00E16C4D" w:rsidRPr="00931156" w:rsidRDefault="00E16C4D" w:rsidP="0032295C">
            <w:pPr>
              <w:spacing w:line="360" w:lineRule="auto"/>
              <w:jc w:val="center"/>
              <w:rPr>
                <w:rFonts w:eastAsia="Calibri"/>
                <w:sz w:val="22"/>
                <w:szCs w:val="22"/>
              </w:rPr>
            </w:pPr>
            <w:r w:rsidRPr="00931156">
              <w:rPr>
                <w:rFonts w:eastAsia="Calibri"/>
                <w:sz w:val="22"/>
                <w:szCs w:val="22"/>
              </w:rPr>
              <w:t>3.</w:t>
            </w:r>
          </w:p>
        </w:tc>
        <w:tc>
          <w:tcPr>
            <w:tcW w:w="7398" w:type="dxa"/>
            <w:shd w:val="clear" w:color="auto" w:fill="auto"/>
          </w:tcPr>
          <w:p w14:paraId="0527FA2A" w14:textId="3C17D36F" w:rsidR="00E16C4D" w:rsidRPr="00931156" w:rsidRDefault="00DE39B1" w:rsidP="0032295C">
            <w:pPr>
              <w:jc w:val="both"/>
              <w:rPr>
                <w:rFonts w:eastAsia="Calibri"/>
                <w:sz w:val="22"/>
                <w:szCs w:val="22"/>
              </w:rPr>
            </w:pPr>
            <w:r w:rsidRPr="00DE39B1">
              <w:rPr>
                <w:rFonts w:eastAsia="Calibri"/>
                <w:sz w:val="22"/>
                <w:szCs w:val="22"/>
              </w:rPr>
              <w:t xml:space="preserve">According to Imam </w:t>
            </w:r>
            <w:proofErr w:type="spellStart"/>
            <w:r w:rsidRPr="00DE39B1">
              <w:rPr>
                <w:rFonts w:eastAsia="Calibri"/>
                <w:sz w:val="22"/>
                <w:szCs w:val="22"/>
              </w:rPr>
              <w:t>Syafi</w:t>
            </w:r>
            <w:r>
              <w:rPr>
                <w:rFonts w:eastAsia="Calibri"/>
                <w:sz w:val="22"/>
                <w:szCs w:val="22"/>
              </w:rPr>
              <w:t>’</w:t>
            </w:r>
            <w:r w:rsidRPr="00DE39B1">
              <w:rPr>
                <w:rFonts w:eastAsia="Calibri"/>
                <w:sz w:val="22"/>
                <w:szCs w:val="22"/>
              </w:rPr>
              <w:t>i</w:t>
            </w:r>
            <w:proofErr w:type="spellEnd"/>
            <w:r w:rsidRPr="00DE39B1">
              <w:rPr>
                <w:rFonts w:eastAsia="Calibri"/>
                <w:sz w:val="22"/>
                <w:szCs w:val="22"/>
              </w:rPr>
              <w:t xml:space="preserve"> and Imam Ahmad bin Hanbal, waqf holds objects forever, releases the ownership of the </w:t>
            </w:r>
            <w:r w:rsidR="00106D4A" w:rsidRPr="00106D4A">
              <w:rPr>
                <w:rFonts w:eastAsia="Calibri"/>
                <w:i/>
                <w:iCs/>
                <w:sz w:val="22"/>
                <w:szCs w:val="22"/>
              </w:rPr>
              <w:t>waqif</w:t>
            </w:r>
            <w:r w:rsidRPr="00DE39B1">
              <w:rPr>
                <w:rFonts w:eastAsia="Calibri"/>
                <w:sz w:val="22"/>
                <w:szCs w:val="22"/>
              </w:rPr>
              <w:t>, cannot be withdrawn, and provides benefits to the community.</w:t>
            </w:r>
          </w:p>
        </w:tc>
      </w:tr>
      <w:tr w:rsidR="00E16C4D" w:rsidRPr="003933BE" w14:paraId="3BF4059C" w14:textId="77777777" w:rsidTr="00E16C4D">
        <w:tc>
          <w:tcPr>
            <w:tcW w:w="540" w:type="dxa"/>
            <w:shd w:val="clear" w:color="auto" w:fill="auto"/>
          </w:tcPr>
          <w:p w14:paraId="05C03FF2" w14:textId="77777777" w:rsidR="00E16C4D" w:rsidRPr="00931156" w:rsidRDefault="00E16C4D" w:rsidP="00E16C4D">
            <w:pPr>
              <w:spacing w:line="360" w:lineRule="auto"/>
              <w:jc w:val="center"/>
              <w:rPr>
                <w:rFonts w:eastAsia="Calibri"/>
                <w:sz w:val="22"/>
                <w:szCs w:val="22"/>
              </w:rPr>
            </w:pPr>
            <w:r w:rsidRPr="00931156">
              <w:rPr>
                <w:rFonts w:eastAsia="Calibri"/>
                <w:sz w:val="22"/>
                <w:szCs w:val="22"/>
              </w:rPr>
              <w:t>4.</w:t>
            </w:r>
          </w:p>
        </w:tc>
        <w:tc>
          <w:tcPr>
            <w:tcW w:w="7398" w:type="dxa"/>
            <w:shd w:val="clear" w:color="auto" w:fill="auto"/>
          </w:tcPr>
          <w:p w14:paraId="3B61DA3E" w14:textId="74708BEE" w:rsidR="00E16C4D" w:rsidRPr="00931156" w:rsidRDefault="00D05917" w:rsidP="0032295C">
            <w:pPr>
              <w:jc w:val="both"/>
              <w:rPr>
                <w:rFonts w:eastAsia="Calibri"/>
                <w:sz w:val="22"/>
                <w:szCs w:val="22"/>
              </w:rPr>
            </w:pPr>
            <w:r w:rsidRPr="00D05917">
              <w:rPr>
                <w:rFonts w:eastAsia="Calibri"/>
                <w:sz w:val="22"/>
                <w:szCs w:val="22"/>
              </w:rPr>
              <w:t xml:space="preserve">According to the people of Sungai </w:t>
            </w:r>
            <w:proofErr w:type="spellStart"/>
            <w:r w:rsidRPr="00D05917">
              <w:rPr>
                <w:rFonts w:eastAsia="Calibri"/>
                <w:sz w:val="22"/>
                <w:szCs w:val="22"/>
              </w:rPr>
              <w:t>Tanang</w:t>
            </w:r>
            <w:proofErr w:type="spellEnd"/>
            <w:r w:rsidRPr="00D05917">
              <w:rPr>
                <w:rFonts w:eastAsia="Calibri"/>
                <w:sz w:val="22"/>
                <w:szCs w:val="22"/>
              </w:rPr>
              <w:t>, waqf is generally a permanent object, regardless of the ownership of the wakif, valid forever because It cannot be withdrawn, p</w:t>
            </w:r>
            <w:r>
              <w:rPr>
                <w:rFonts w:eastAsia="Calibri"/>
                <w:sz w:val="22"/>
                <w:szCs w:val="22"/>
              </w:rPr>
              <w:t>awned</w:t>
            </w:r>
            <w:r w:rsidRPr="00D05917">
              <w:rPr>
                <w:rFonts w:eastAsia="Calibri"/>
                <w:sz w:val="22"/>
                <w:szCs w:val="22"/>
              </w:rPr>
              <w:t>, granted, or inherited.</w:t>
            </w:r>
          </w:p>
        </w:tc>
      </w:tr>
    </w:tbl>
    <w:p w14:paraId="5637A336" w14:textId="5861F7EC" w:rsidR="00A85546" w:rsidRPr="00E012A6" w:rsidRDefault="00A85546" w:rsidP="00E012A6">
      <w:pPr>
        <w:spacing w:line="360" w:lineRule="auto"/>
        <w:jc w:val="both"/>
        <w:rPr>
          <w:b/>
          <w:bCs/>
        </w:rPr>
      </w:pPr>
    </w:p>
    <w:p w14:paraId="666129AD" w14:textId="39F0099A" w:rsidR="00991047" w:rsidRDefault="00CE5B82" w:rsidP="00A85546">
      <w:pPr>
        <w:spacing w:line="360" w:lineRule="auto"/>
        <w:ind w:firstLine="709"/>
        <w:jc w:val="both"/>
      </w:pPr>
      <w:r w:rsidRPr="00CE5B82">
        <w:t xml:space="preserve">According to Islamic law, waqf is a form of giving that is carried out by preserving its origin </w:t>
      </w:r>
      <w:r w:rsidRPr="00CE5B82">
        <w:rPr>
          <w:i/>
          <w:iCs/>
        </w:rPr>
        <w:t>(</w:t>
      </w:r>
      <w:proofErr w:type="spellStart"/>
      <w:r w:rsidRPr="00CE5B82">
        <w:rPr>
          <w:i/>
          <w:iCs/>
        </w:rPr>
        <w:t>tahbisul</w:t>
      </w:r>
      <w:proofErr w:type="spellEnd"/>
      <w:r w:rsidRPr="00CE5B82">
        <w:rPr>
          <w:i/>
          <w:iCs/>
        </w:rPr>
        <w:t xml:space="preserve"> </w:t>
      </w:r>
      <w:proofErr w:type="spellStart"/>
      <w:r w:rsidRPr="00CE5B82">
        <w:rPr>
          <w:i/>
          <w:iCs/>
        </w:rPr>
        <w:t>ashli</w:t>
      </w:r>
      <w:proofErr w:type="spellEnd"/>
      <w:r w:rsidRPr="00CE5B82">
        <w:rPr>
          <w:i/>
          <w:iCs/>
        </w:rPr>
        <w:t>)</w:t>
      </w:r>
      <w:r w:rsidRPr="00CE5B82">
        <w:t xml:space="preserve"> and giving its benefits to others.</w:t>
      </w:r>
      <w:r w:rsidR="00917311">
        <w:rPr>
          <w:rStyle w:val="FootnoteReference"/>
        </w:rPr>
        <w:footnoteReference w:id="16"/>
      </w:r>
      <w:r w:rsidR="00354A38">
        <w:t xml:space="preserve"> </w:t>
      </w:r>
      <w:proofErr w:type="spellStart"/>
      <w:r w:rsidR="00F66B80" w:rsidRPr="00991047">
        <w:rPr>
          <w:i/>
          <w:iCs/>
        </w:rPr>
        <w:t>Tahbisul</w:t>
      </w:r>
      <w:proofErr w:type="spellEnd"/>
      <w:r w:rsidR="00F66B80" w:rsidRPr="00991047">
        <w:rPr>
          <w:i/>
          <w:iCs/>
        </w:rPr>
        <w:t xml:space="preserve"> </w:t>
      </w:r>
      <w:proofErr w:type="spellStart"/>
      <w:r w:rsidR="003B52C0" w:rsidRPr="00991047">
        <w:rPr>
          <w:i/>
          <w:iCs/>
        </w:rPr>
        <w:t>a</w:t>
      </w:r>
      <w:r w:rsidR="00F66B80" w:rsidRPr="00991047">
        <w:rPr>
          <w:i/>
          <w:iCs/>
        </w:rPr>
        <w:t>shli</w:t>
      </w:r>
      <w:proofErr w:type="spellEnd"/>
      <w:r w:rsidR="00873A25" w:rsidRPr="00873A25">
        <w:rPr>
          <w:rStyle w:val="FootnoteReference"/>
        </w:rPr>
        <w:footnoteReference w:id="17"/>
      </w:r>
      <w:r w:rsidR="00F66B80">
        <w:t xml:space="preserve"> </w:t>
      </w:r>
      <w:r>
        <w:t xml:space="preserve">is </w:t>
      </w:r>
      <w:r w:rsidRPr="00CE5B82">
        <w:t xml:space="preserve">by holding waqf objects from being sold, </w:t>
      </w:r>
      <w:r>
        <w:t>granted</w:t>
      </w:r>
      <w:r w:rsidRPr="00CE5B82">
        <w:t>, rented</w:t>
      </w:r>
      <w:r w:rsidR="00F53E92">
        <w:t>,</w:t>
      </w:r>
      <w:r w:rsidRPr="00CE5B82">
        <w:t xml:space="preserve"> and inherited,</w:t>
      </w:r>
      <w:r w:rsidR="00B605C3">
        <w:rPr>
          <w:rStyle w:val="FootnoteReference"/>
        </w:rPr>
        <w:footnoteReference w:id="18"/>
      </w:r>
      <w:r w:rsidR="00B605C3">
        <w:t xml:space="preserve"> </w:t>
      </w:r>
      <w:r w:rsidR="00F53E92" w:rsidRPr="00F53E92">
        <w:t xml:space="preserve">while the manner of its use is in accordance with the wishes of the </w:t>
      </w:r>
      <w:r w:rsidR="00106D4A" w:rsidRPr="00106D4A">
        <w:rPr>
          <w:i/>
          <w:iCs/>
        </w:rPr>
        <w:lastRenderedPageBreak/>
        <w:t>waqif</w:t>
      </w:r>
      <w:r w:rsidR="00F53E92" w:rsidRPr="00F53E92">
        <w:t xml:space="preserve"> without any compensation.</w:t>
      </w:r>
      <w:r w:rsidR="004E22CB">
        <w:rPr>
          <w:rStyle w:val="FootnoteReference"/>
        </w:rPr>
        <w:footnoteReference w:id="19"/>
      </w:r>
      <w:r w:rsidR="00991047">
        <w:t xml:space="preserve"> </w:t>
      </w:r>
      <w:r w:rsidR="00C5727C" w:rsidRPr="00C5727C">
        <w:t xml:space="preserve">According to Imam Abu Hanifah, waqf is the holding of an object that remains the property of the </w:t>
      </w:r>
      <w:r w:rsidR="00106D4A" w:rsidRPr="00106D4A">
        <w:rPr>
          <w:i/>
          <w:iCs/>
        </w:rPr>
        <w:t>waqif</w:t>
      </w:r>
      <w:r w:rsidR="00C5727C" w:rsidRPr="00C5727C">
        <w:t xml:space="preserve"> by law and the use of its benefits for good. According to Imam Abu Hanifah, the ownership of waqf property cannot be separated from the person who donate</w:t>
      </w:r>
      <w:r w:rsidR="00C5727C">
        <w:t>s</w:t>
      </w:r>
      <w:r w:rsidR="00C5727C" w:rsidRPr="00C5727C">
        <w:t xml:space="preserve"> it, and the </w:t>
      </w:r>
      <w:r w:rsidR="00106D4A" w:rsidRPr="00106D4A">
        <w:rPr>
          <w:i/>
          <w:iCs/>
        </w:rPr>
        <w:t>waqif</w:t>
      </w:r>
      <w:r w:rsidR="00C5727C" w:rsidRPr="00C5727C">
        <w:t xml:space="preserve"> can even take it back or sell it, including becoming an inheritance for its heirs when the </w:t>
      </w:r>
      <w:r w:rsidR="00106D4A" w:rsidRPr="00106D4A">
        <w:rPr>
          <w:i/>
          <w:iCs/>
        </w:rPr>
        <w:t>waqif</w:t>
      </w:r>
      <w:r w:rsidR="00C5727C" w:rsidRPr="00C5727C">
        <w:t xml:space="preserve"> dies.</w:t>
      </w:r>
    </w:p>
    <w:p w14:paraId="095E9631" w14:textId="28C36DF2" w:rsidR="00D92BC3" w:rsidRDefault="00FA399A" w:rsidP="005607D3">
      <w:pPr>
        <w:spacing w:line="360" w:lineRule="auto"/>
        <w:ind w:firstLine="709"/>
        <w:jc w:val="both"/>
      </w:pPr>
      <w:r w:rsidRPr="00FA399A">
        <w:t>This is slightly different from Imam Malik who stated that waqf d</w:t>
      </w:r>
      <w:r w:rsidR="00C90749">
        <w:t>id</w:t>
      </w:r>
      <w:r w:rsidRPr="00FA399A">
        <w:t xml:space="preserve"> not release waqf assets from the </w:t>
      </w:r>
      <w:r w:rsidR="00106D4A" w:rsidRPr="00106D4A">
        <w:rPr>
          <w:i/>
          <w:iCs/>
        </w:rPr>
        <w:t>waqif</w:t>
      </w:r>
      <w:r w:rsidRPr="00FA399A">
        <w:rPr>
          <w:i/>
          <w:iCs/>
        </w:rPr>
        <w:t>’s</w:t>
      </w:r>
      <w:r w:rsidRPr="00FA399A">
        <w:t xml:space="preserve"> ownership, but waqf prevent</w:t>
      </w:r>
      <w:r w:rsidR="00C90749">
        <w:t>ed</w:t>
      </w:r>
      <w:r w:rsidRPr="00FA399A">
        <w:t xml:space="preserve"> the </w:t>
      </w:r>
      <w:r w:rsidR="00106D4A" w:rsidRPr="00106D4A">
        <w:rPr>
          <w:i/>
          <w:iCs/>
        </w:rPr>
        <w:t>waqif</w:t>
      </w:r>
      <w:r w:rsidRPr="00FA399A">
        <w:t xml:space="preserve"> from taking actions that c</w:t>
      </w:r>
      <w:r w:rsidR="00C90749">
        <w:t>ould</w:t>
      </w:r>
      <w:r w:rsidRPr="00FA399A">
        <w:t xml:space="preserve"> release his ownership to other people, and he </w:t>
      </w:r>
      <w:r w:rsidR="00C90749">
        <w:t>was</w:t>
      </w:r>
      <w:r w:rsidRPr="00FA399A">
        <w:t xml:space="preserve"> obligated to give the benefits and c</w:t>
      </w:r>
      <w:r w:rsidR="00C90749">
        <w:t>ould not</w:t>
      </w:r>
      <w:r w:rsidRPr="00FA399A">
        <w:t xml:space="preserve"> take them back. Imam </w:t>
      </w:r>
      <w:proofErr w:type="spellStart"/>
      <w:r w:rsidRPr="00FA399A">
        <w:t>Syafi</w:t>
      </w:r>
      <w:r>
        <w:t>’</w:t>
      </w:r>
      <w:r w:rsidRPr="00FA399A">
        <w:t>i</w:t>
      </w:r>
      <w:proofErr w:type="spellEnd"/>
      <w:r w:rsidRPr="00FA399A">
        <w:t xml:space="preserve"> and Imam Ahmad bin </w:t>
      </w:r>
      <w:proofErr w:type="spellStart"/>
      <w:r w:rsidRPr="00FA399A">
        <w:t>Hambal</w:t>
      </w:r>
      <w:proofErr w:type="spellEnd"/>
      <w:r w:rsidRPr="00FA399A">
        <w:t xml:space="preserve"> are of the opinion that by releasing assets from the </w:t>
      </w:r>
      <w:r w:rsidR="00106D4A" w:rsidRPr="00106D4A">
        <w:rPr>
          <w:i/>
          <w:iCs/>
        </w:rPr>
        <w:t>waqif</w:t>
      </w:r>
      <w:r w:rsidRPr="00FA399A">
        <w:rPr>
          <w:i/>
          <w:iCs/>
        </w:rPr>
        <w:t>’s</w:t>
      </w:r>
      <w:r w:rsidRPr="00FA399A">
        <w:t xml:space="preserve"> ownership and giving the benefits to the community, the </w:t>
      </w:r>
      <w:r w:rsidR="00106D4A" w:rsidRPr="00106D4A">
        <w:rPr>
          <w:i/>
          <w:iCs/>
        </w:rPr>
        <w:t>waqif</w:t>
      </w:r>
      <w:r w:rsidRPr="00FA399A">
        <w:t xml:space="preserve"> cannot pass them on to heirs and cannot give them to other people, even by exchanging them.</w:t>
      </w:r>
      <w:r w:rsidR="00954171">
        <w:rPr>
          <w:rStyle w:val="FootnoteReference"/>
        </w:rPr>
        <w:footnoteReference w:id="20"/>
      </w:r>
      <w:r w:rsidR="00ED1F1E">
        <w:t xml:space="preserve"> </w:t>
      </w:r>
      <w:r w:rsidR="00B9412C" w:rsidRPr="00B9412C">
        <w:t xml:space="preserve">If the </w:t>
      </w:r>
      <w:r w:rsidR="00106D4A" w:rsidRPr="00106D4A">
        <w:rPr>
          <w:i/>
          <w:iCs/>
        </w:rPr>
        <w:t>waqif</w:t>
      </w:r>
      <w:r w:rsidR="00B9412C" w:rsidRPr="00B9412C">
        <w:t xml:space="preserve"> limits its time by saying, </w:t>
      </w:r>
      <w:r w:rsidR="00B9412C">
        <w:t>“</w:t>
      </w:r>
      <w:r w:rsidR="00B9412C" w:rsidRPr="00B9412C">
        <w:t>I will donate this land for 5 years, or I will donate the land as long as I don</w:t>
      </w:r>
      <w:r w:rsidR="00B9412C">
        <w:t>’</w:t>
      </w:r>
      <w:r w:rsidR="00B9412C" w:rsidRPr="00B9412C">
        <w:t>t need it and withdraw it when I need it,</w:t>
      </w:r>
      <w:r w:rsidR="00B9412C">
        <w:t>”</w:t>
      </w:r>
      <w:r w:rsidR="00B9412C" w:rsidRPr="00B9412C">
        <w:t xml:space="preserve"> then such words do not belong to the waqf, especially according to this scholar.</w:t>
      </w:r>
      <w:r w:rsidR="008E0895">
        <w:rPr>
          <w:rStyle w:val="FootnoteReference"/>
        </w:rPr>
        <w:footnoteReference w:id="21"/>
      </w:r>
    </w:p>
    <w:p w14:paraId="0CB47A98" w14:textId="7249DC47" w:rsidR="00386D7C" w:rsidRDefault="00B9412C" w:rsidP="005607D3">
      <w:pPr>
        <w:spacing w:line="360" w:lineRule="auto"/>
        <w:ind w:firstLine="709"/>
        <w:jc w:val="both"/>
      </w:pPr>
      <w:r w:rsidRPr="00B9412C">
        <w:t>Meanwhile, Maliki stated that waqf d</w:t>
      </w:r>
      <w:r w:rsidR="00F35A03">
        <w:t>id</w:t>
      </w:r>
      <w:r w:rsidRPr="00B9412C">
        <w:t xml:space="preserve"> not have to be valid forever, but c</w:t>
      </w:r>
      <w:r w:rsidR="00F35A03">
        <w:t>ould</w:t>
      </w:r>
      <w:r w:rsidRPr="00B9412C">
        <w:t xml:space="preserve"> be subject to a time limit, such as 5 years in the example above, and after the time ha</w:t>
      </w:r>
      <w:r w:rsidR="00F35A03">
        <w:t>d</w:t>
      </w:r>
      <w:r w:rsidRPr="00B9412C">
        <w:t xml:space="preserve"> expired or reached the time as stated, the waqf objects w</w:t>
      </w:r>
      <w:r w:rsidR="00F35A03">
        <w:t>ould</w:t>
      </w:r>
      <w:r w:rsidRPr="00B9412C">
        <w:t xml:space="preserve"> return to the person who donate</w:t>
      </w:r>
      <w:r w:rsidR="00F35A03">
        <w:t>d</w:t>
      </w:r>
      <w:r w:rsidRPr="00B9412C">
        <w:t xml:space="preserve"> them. At first glance, Maliki</w:t>
      </w:r>
      <w:r>
        <w:t>’</w:t>
      </w:r>
      <w:r w:rsidRPr="00B9412C">
        <w:t>s opinion is quite relevant to the current conditions with the right to use contract system. If Maliki</w:t>
      </w:r>
      <w:r>
        <w:t>’</w:t>
      </w:r>
      <w:r w:rsidRPr="00B9412C">
        <w:t>s opinion is implemented, waqf will have an expanded meaning and opportunities for people who do not have permanent assets while they want to do</w:t>
      </w:r>
      <w:r>
        <w:t xml:space="preserve"> waqf</w:t>
      </w:r>
      <w:r w:rsidRPr="00B9412C">
        <w:t>. In addition to opening opportunities for potential waqf owners, waqf assets will increase in number and can be developed optimally.</w:t>
      </w:r>
    </w:p>
    <w:p w14:paraId="140AFA40" w14:textId="06C1B5DC" w:rsidR="00FD45E6" w:rsidRPr="00991047" w:rsidRDefault="00B9412C" w:rsidP="008B1F3B">
      <w:pPr>
        <w:spacing w:line="360" w:lineRule="auto"/>
        <w:ind w:firstLine="709"/>
        <w:jc w:val="both"/>
        <w:rPr>
          <w:color w:val="00B050"/>
        </w:rPr>
      </w:pPr>
      <w:r w:rsidRPr="00B9412C">
        <w:lastRenderedPageBreak/>
        <w:t xml:space="preserve">Based on the above opinions, it can be understood briefly that waqf must fulfill several elements in the form of pillars and conditions. The Hanafi school states that there is only one pillar of waqf, </w:t>
      </w:r>
      <w:r>
        <w:t>it is</w:t>
      </w:r>
      <w:r w:rsidRPr="00B9412C">
        <w:t xml:space="preserve"> </w:t>
      </w:r>
      <w:proofErr w:type="spellStart"/>
      <w:r w:rsidR="00106D4A" w:rsidRPr="00106D4A">
        <w:rPr>
          <w:i/>
          <w:iCs/>
        </w:rPr>
        <w:t>shigat</w:t>
      </w:r>
      <w:proofErr w:type="spellEnd"/>
      <w:r w:rsidRPr="00B9412C">
        <w:t xml:space="preserve">, which shows the meaning of waqf. Meanwhile, according to Maliki, </w:t>
      </w:r>
      <w:proofErr w:type="spellStart"/>
      <w:r w:rsidRPr="00B9412C">
        <w:t>Syafi</w:t>
      </w:r>
      <w:r>
        <w:t>’</w:t>
      </w:r>
      <w:r w:rsidRPr="00B9412C">
        <w:t>i</w:t>
      </w:r>
      <w:proofErr w:type="spellEnd"/>
      <w:r w:rsidRPr="00B9412C">
        <w:t xml:space="preserve">, Hanbali, and general scholars, there are 4 pillars of waqf, </w:t>
      </w:r>
      <w:r>
        <w:t>they are</w:t>
      </w:r>
      <w:r w:rsidRPr="00B9412C">
        <w:t xml:space="preserve"> the person who gives the waqf </w:t>
      </w:r>
      <w:r w:rsidRPr="00B9412C">
        <w:rPr>
          <w:i/>
          <w:iCs/>
        </w:rPr>
        <w:t>(al-</w:t>
      </w:r>
      <w:r w:rsidR="00106D4A" w:rsidRPr="00106D4A">
        <w:rPr>
          <w:i/>
          <w:iCs/>
        </w:rPr>
        <w:t>Waqif</w:t>
      </w:r>
      <w:r w:rsidRPr="00B9412C">
        <w:rPr>
          <w:i/>
          <w:iCs/>
        </w:rPr>
        <w:t>)</w:t>
      </w:r>
      <w:r w:rsidRPr="00B9412C">
        <w:t xml:space="preserve">, the person who receives the waqf </w:t>
      </w:r>
      <w:r w:rsidRPr="00B9412C">
        <w:rPr>
          <w:i/>
          <w:iCs/>
        </w:rPr>
        <w:t>(al-</w:t>
      </w:r>
      <w:proofErr w:type="spellStart"/>
      <w:r w:rsidRPr="00B9412C">
        <w:rPr>
          <w:i/>
          <w:iCs/>
        </w:rPr>
        <w:t>Mauquf</w:t>
      </w:r>
      <w:proofErr w:type="spellEnd"/>
      <w:r w:rsidRPr="00B9412C">
        <w:rPr>
          <w:i/>
          <w:iCs/>
        </w:rPr>
        <w:t xml:space="preserve"> </w:t>
      </w:r>
      <w:proofErr w:type="spellStart"/>
      <w:r w:rsidRPr="00B9412C">
        <w:rPr>
          <w:i/>
          <w:iCs/>
        </w:rPr>
        <w:t>Alaih</w:t>
      </w:r>
      <w:proofErr w:type="spellEnd"/>
      <w:r w:rsidRPr="00B9412C">
        <w:rPr>
          <w:i/>
          <w:iCs/>
        </w:rPr>
        <w:t>)</w:t>
      </w:r>
      <w:r w:rsidRPr="00B9412C">
        <w:t xml:space="preserve">, the object that is donated, and the </w:t>
      </w:r>
      <w:proofErr w:type="spellStart"/>
      <w:r w:rsidR="00106D4A" w:rsidRPr="00106D4A">
        <w:rPr>
          <w:i/>
          <w:iCs/>
        </w:rPr>
        <w:t>shigat</w:t>
      </w:r>
      <w:proofErr w:type="spellEnd"/>
      <w:r w:rsidRPr="00B9412C">
        <w:t xml:space="preserve"> of the waqf.</w:t>
      </w:r>
    </w:p>
    <w:p w14:paraId="042F256C" w14:textId="47C2D0BD" w:rsidR="00B92AFE" w:rsidRDefault="00CB2032" w:rsidP="008B1F3B">
      <w:pPr>
        <w:spacing w:line="360" w:lineRule="auto"/>
        <w:ind w:firstLine="709"/>
        <w:jc w:val="both"/>
      </w:pPr>
      <w:r w:rsidRPr="00CB2032">
        <w:t xml:space="preserve">Although at first glance there may appear to be differences of opinion among the ulama regarding the pillars of waqf, there is no difference when one considers that </w:t>
      </w:r>
      <w:proofErr w:type="spellStart"/>
      <w:r w:rsidR="00106D4A" w:rsidRPr="00106D4A">
        <w:rPr>
          <w:i/>
          <w:iCs/>
        </w:rPr>
        <w:t>shigat</w:t>
      </w:r>
      <w:proofErr w:type="spellEnd"/>
      <w:r w:rsidRPr="00CB2032">
        <w:t xml:space="preserve">, </w:t>
      </w:r>
      <w:r>
        <w:t>there are indeed</w:t>
      </w:r>
      <w:r w:rsidRPr="00CB2032">
        <w:t xml:space="preserve"> </w:t>
      </w:r>
      <w:r w:rsidR="00466477">
        <w:t>the person</w:t>
      </w:r>
      <w:r w:rsidRPr="00CB2032">
        <w:t xml:space="preserve"> who does it, with whom he does </w:t>
      </w:r>
      <w:proofErr w:type="spellStart"/>
      <w:r w:rsidR="00106D4A" w:rsidRPr="00106D4A">
        <w:rPr>
          <w:i/>
          <w:iCs/>
        </w:rPr>
        <w:t>shigat</w:t>
      </w:r>
      <w:proofErr w:type="spellEnd"/>
      <w:r w:rsidRPr="00CB2032">
        <w:t xml:space="preserve">, what is the object of </w:t>
      </w:r>
      <w:proofErr w:type="spellStart"/>
      <w:r w:rsidR="00106D4A" w:rsidRPr="00106D4A">
        <w:rPr>
          <w:i/>
          <w:iCs/>
        </w:rPr>
        <w:t>shigat</w:t>
      </w:r>
      <w:proofErr w:type="spellEnd"/>
      <w:r w:rsidRPr="00CB2032">
        <w:t xml:space="preserve">, and the </w:t>
      </w:r>
      <w:proofErr w:type="spellStart"/>
      <w:r w:rsidR="00106D4A" w:rsidRPr="00106D4A">
        <w:rPr>
          <w:i/>
          <w:iCs/>
        </w:rPr>
        <w:t>shigat</w:t>
      </w:r>
      <w:proofErr w:type="spellEnd"/>
      <w:r w:rsidRPr="00CB2032">
        <w:t xml:space="preserve"> of the waqf itself. Indirectly, it is implied that the ulama agree that the four pillars of waqf must be present when the waqf is implemented.</w:t>
      </w:r>
    </w:p>
    <w:p w14:paraId="1FBB4E3E" w14:textId="3EEA7BF8" w:rsidR="006A4BED" w:rsidRDefault="000E4398" w:rsidP="008B1F3B">
      <w:pPr>
        <w:spacing w:line="360" w:lineRule="auto"/>
        <w:ind w:firstLine="709"/>
        <w:jc w:val="both"/>
      </w:pPr>
      <w:r w:rsidRPr="000E4398">
        <w:t xml:space="preserve">In addition to the pillars of waqf that must be fulfilled, there are also conditions for each pillar. A </w:t>
      </w:r>
      <w:r w:rsidR="00106D4A" w:rsidRPr="00106D4A">
        <w:rPr>
          <w:i/>
          <w:iCs/>
        </w:rPr>
        <w:t>waqif</w:t>
      </w:r>
      <w:r w:rsidRPr="000E4398">
        <w:t xml:space="preserve"> must have the ability to act, be able to weigh the good and the bad, and be the true owner of the donated property. The importance of the ability to act is that waqf is </w:t>
      </w:r>
      <w:proofErr w:type="spellStart"/>
      <w:r w:rsidRPr="000E4398">
        <w:t>aqad</w:t>
      </w:r>
      <w:proofErr w:type="spellEnd"/>
      <w:r w:rsidRPr="000E4398">
        <w:t xml:space="preserve"> </w:t>
      </w:r>
      <w:proofErr w:type="spellStart"/>
      <w:r w:rsidRPr="000E4398">
        <w:rPr>
          <w:i/>
          <w:iCs/>
        </w:rPr>
        <w:t>tabarru</w:t>
      </w:r>
      <w:proofErr w:type="spellEnd"/>
      <w:r w:rsidRPr="000E4398">
        <w:rPr>
          <w:i/>
          <w:iCs/>
        </w:rPr>
        <w:t>’</w:t>
      </w:r>
      <w:r w:rsidRPr="000E4398">
        <w:t xml:space="preserve"> which means giving away assets without hope of return. With the </w:t>
      </w:r>
      <w:proofErr w:type="spellStart"/>
      <w:r w:rsidRPr="000E4398">
        <w:rPr>
          <w:i/>
          <w:iCs/>
        </w:rPr>
        <w:t>tabarru</w:t>
      </w:r>
      <w:proofErr w:type="spellEnd"/>
      <w:r w:rsidRPr="000E4398">
        <w:rPr>
          <w:i/>
          <w:iCs/>
        </w:rPr>
        <w:t>’</w:t>
      </w:r>
      <w:r w:rsidRPr="000E4398">
        <w:t xml:space="preserve"> agreement, it means that the person making the waqf must be mature, rational, based on his own will, and not someone who is bankrupt.</w:t>
      </w:r>
      <w:r w:rsidR="006A4BED">
        <w:t xml:space="preserve"> </w:t>
      </w:r>
    </w:p>
    <w:p w14:paraId="6FB5683A" w14:textId="17CEBB61" w:rsidR="009A6711" w:rsidRDefault="000E4398" w:rsidP="008B1F3B">
      <w:pPr>
        <w:spacing w:line="360" w:lineRule="auto"/>
        <w:ind w:firstLine="709"/>
        <w:jc w:val="both"/>
      </w:pPr>
      <w:r w:rsidRPr="000E4398">
        <w:t xml:space="preserve">Fiqh scholars agree that the conditions for waqf assets are that the waqf objects are something that is clear and belongs to the person who is </w:t>
      </w:r>
      <w:r w:rsidRPr="00106D4A">
        <w:rPr>
          <w:i/>
          <w:iCs/>
        </w:rPr>
        <w:t>waq</w:t>
      </w:r>
      <w:r w:rsidR="00106D4A" w:rsidRPr="00106D4A">
        <w:rPr>
          <w:i/>
          <w:iCs/>
        </w:rPr>
        <w:t>i</w:t>
      </w:r>
      <w:r w:rsidRPr="00106D4A">
        <w:rPr>
          <w:i/>
          <w:iCs/>
        </w:rPr>
        <w:t>f</w:t>
      </w:r>
      <w:r w:rsidRPr="000E4398">
        <w:t xml:space="preserve">. There are differences in the requirements for movable and immovable property. Some </w:t>
      </w:r>
      <w:proofErr w:type="spellStart"/>
      <w:r w:rsidRPr="000E4398">
        <w:t>Hanafiyah</w:t>
      </w:r>
      <w:proofErr w:type="spellEnd"/>
      <w:r w:rsidRPr="000E4398">
        <w:t xml:space="preserve"> and </w:t>
      </w:r>
      <w:proofErr w:type="spellStart"/>
      <w:r w:rsidRPr="000E4398">
        <w:t>Shafi</w:t>
      </w:r>
      <w:r>
        <w:t>’</w:t>
      </w:r>
      <w:r w:rsidRPr="000E4398">
        <w:t>iyah</w:t>
      </w:r>
      <w:proofErr w:type="spellEnd"/>
      <w:r w:rsidRPr="000E4398">
        <w:t xml:space="preserve"> scholars require that the waqf objects be immovable or fixed objects, while </w:t>
      </w:r>
      <w:proofErr w:type="spellStart"/>
      <w:r w:rsidRPr="000E4398">
        <w:t>Hanabilah</w:t>
      </w:r>
      <w:proofErr w:type="spellEnd"/>
      <w:r w:rsidRPr="000E4398">
        <w:t xml:space="preserve"> and </w:t>
      </w:r>
      <w:proofErr w:type="spellStart"/>
      <w:r w:rsidRPr="000E4398">
        <w:t>Malikiyah</w:t>
      </w:r>
      <w:proofErr w:type="spellEnd"/>
      <w:r w:rsidRPr="000E4398">
        <w:t xml:space="preserve"> scholars provide broader conditions that in addition to immovable objects, it is also permissible to endow waqf with movable objects.</w:t>
      </w:r>
    </w:p>
    <w:p w14:paraId="1D6C72C2" w14:textId="68C3C47D" w:rsidR="005B1CB7" w:rsidRPr="00CF39EA" w:rsidRDefault="00CF39EA" w:rsidP="00C1463C">
      <w:pPr>
        <w:spacing w:line="360" w:lineRule="auto"/>
        <w:ind w:firstLine="709"/>
        <w:jc w:val="both"/>
      </w:pPr>
      <w:proofErr w:type="spellStart"/>
      <w:r w:rsidRPr="00CF39EA">
        <w:rPr>
          <w:i/>
          <w:iCs/>
        </w:rPr>
        <w:t>Mauquf</w:t>
      </w:r>
      <w:proofErr w:type="spellEnd"/>
      <w:r w:rsidRPr="00CF39EA">
        <w:rPr>
          <w:i/>
          <w:iCs/>
        </w:rPr>
        <w:t xml:space="preserve"> </w:t>
      </w:r>
      <w:proofErr w:type="spellStart"/>
      <w:r w:rsidRPr="00CF39EA">
        <w:rPr>
          <w:i/>
          <w:iCs/>
        </w:rPr>
        <w:t>alaih</w:t>
      </w:r>
      <w:proofErr w:type="spellEnd"/>
      <w:r w:rsidRPr="00CF39EA">
        <w:t xml:space="preserve"> is a person who has the right to maintain and use waqf objects, with the conditions that he must be present when the waqf objects are handed over, that he must have the ability to own the donated assets, and that the person receiving the waqf must clearly not be someone whose authenticity is </w:t>
      </w:r>
      <w:r w:rsidRPr="00CF39EA">
        <w:lastRenderedPageBreak/>
        <w:t xml:space="preserve">doubted. The presence of the </w:t>
      </w:r>
      <w:proofErr w:type="spellStart"/>
      <w:r w:rsidRPr="00CF39EA">
        <w:rPr>
          <w:i/>
          <w:iCs/>
        </w:rPr>
        <w:t>mauquf</w:t>
      </w:r>
      <w:proofErr w:type="spellEnd"/>
      <w:r w:rsidRPr="00CF39EA">
        <w:rPr>
          <w:i/>
          <w:iCs/>
        </w:rPr>
        <w:t xml:space="preserve"> </w:t>
      </w:r>
      <w:proofErr w:type="spellStart"/>
      <w:r w:rsidRPr="00CF39EA">
        <w:rPr>
          <w:i/>
          <w:iCs/>
        </w:rPr>
        <w:t>alaih</w:t>
      </w:r>
      <w:proofErr w:type="spellEnd"/>
      <w:r w:rsidRPr="00CF39EA">
        <w:t xml:space="preserve"> at the time of waqf is because, according to the ulama, waqf is not valid for unknown persons or for someone who is not present. Another requirement for the </w:t>
      </w:r>
      <w:proofErr w:type="spellStart"/>
      <w:r w:rsidRPr="00CF39EA">
        <w:rPr>
          <w:i/>
          <w:iCs/>
        </w:rPr>
        <w:t>mauquf</w:t>
      </w:r>
      <w:proofErr w:type="spellEnd"/>
      <w:r w:rsidRPr="00CF39EA">
        <w:rPr>
          <w:i/>
          <w:iCs/>
        </w:rPr>
        <w:t xml:space="preserve"> </w:t>
      </w:r>
      <w:proofErr w:type="spellStart"/>
      <w:r w:rsidRPr="00CF39EA">
        <w:rPr>
          <w:i/>
          <w:iCs/>
        </w:rPr>
        <w:t>alaih</w:t>
      </w:r>
      <w:proofErr w:type="spellEnd"/>
      <w:r w:rsidRPr="00CF39EA">
        <w:t xml:space="preserve"> is that he may own assets with the aim of being able to account for and maintain the waqf assets well.</w:t>
      </w:r>
    </w:p>
    <w:p w14:paraId="6A98556A" w14:textId="27BA7D96" w:rsidR="006837D8" w:rsidRDefault="00CF39EA" w:rsidP="00C1463C">
      <w:pPr>
        <w:spacing w:line="360" w:lineRule="auto"/>
        <w:ind w:firstLine="709"/>
        <w:jc w:val="both"/>
      </w:pPr>
      <w:r w:rsidRPr="00CF39EA">
        <w:t xml:space="preserve">Finally, the waqf </w:t>
      </w:r>
      <w:proofErr w:type="spellStart"/>
      <w:r w:rsidR="00106D4A" w:rsidRPr="00106D4A">
        <w:rPr>
          <w:i/>
          <w:iCs/>
        </w:rPr>
        <w:t>shigat</w:t>
      </w:r>
      <w:proofErr w:type="spellEnd"/>
      <w:r w:rsidRPr="00CF39EA">
        <w:t xml:space="preserve"> takes the form of a declaration of consent by the wakif upon the transfer of his donated assets and </w:t>
      </w:r>
      <w:proofErr w:type="spellStart"/>
      <w:r w:rsidRPr="00CF39EA">
        <w:t>qabul</w:t>
      </w:r>
      <w:proofErr w:type="spellEnd"/>
      <w:r w:rsidRPr="00CF39EA">
        <w:t xml:space="preserve"> from the </w:t>
      </w:r>
      <w:proofErr w:type="spellStart"/>
      <w:r w:rsidRPr="00CF39EA">
        <w:t>mauquf</w:t>
      </w:r>
      <w:proofErr w:type="spellEnd"/>
      <w:r w:rsidRPr="00CF39EA">
        <w:t xml:space="preserve"> </w:t>
      </w:r>
      <w:proofErr w:type="spellStart"/>
      <w:r w:rsidRPr="00CF39EA">
        <w:t>alaih</w:t>
      </w:r>
      <w:proofErr w:type="spellEnd"/>
      <w:r w:rsidRPr="00CF39EA">
        <w:t xml:space="preserve">. This </w:t>
      </w:r>
      <w:proofErr w:type="spellStart"/>
      <w:r w:rsidR="00106D4A" w:rsidRPr="00106D4A">
        <w:rPr>
          <w:i/>
          <w:iCs/>
        </w:rPr>
        <w:t>shigat</w:t>
      </w:r>
      <w:proofErr w:type="spellEnd"/>
      <w:r w:rsidRPr="00CF39EA">
        <w:t xml:space="preserve"> is certainly very important considering that waqf is in the form of relinquishing property rights and transferring ownership to other people and the community at large. Although they are different from alms, gifts, and grants, they have similarities. The nature of waqf transactions is almost similar and can even be grouped with alms. In alms transactions, there is a simultaneous transfer of objects and their benefits, where the donated assets can be spent by the recipient, whereas in waqf they cannot be spent, but only the results can be used by the community.</w:t>
      </w:r>
    </w:p>
    <w:p w14:paraId="72199D29" w14:textId="535372FD" w:rsidR="008D2676" w:rsidRPr="008D2676" w:rsidRDefault="00FF6774" w:rsidP="0023033C">
      <w:pPr>
        <w:pStyle w:val="ListParagraph"/>
        <w:numPr>
          <w:ilvl w:val="0"/>
          <w:numId w:val="23"/>
        </w:numPr>
        <w:spacing w:before="240" w:after="0" w:line="360" w:lineRule="auto"/>
        <w:ind w:left="284" w:hanging="284"/>
        <w:jc w:val="both"/>
        <w:rPr>
          <w:b/>
          <w:bCs/>
        </w:rPr>
      </w:pPr>
      <w:proofErr w:type="spellStart"/>
      <w:r w:rsidRPr="00FF6774">
        <w:rPr>
          <w:b/>
          <w:bCs/>
          <w:lang w:val="en-US"/>
        </w:rPr>
        <w:t>Carotai</w:t>
      </w:r>
      <w:proofErr w:type="spellEnd"/>
      <w:r w:rsidRPr="00FF6774">
        <w:rPr>
          <w:b/>
          <w:bCs/>
          <w:lang w:val="en-US"/>
        </w:rPr>
        <w:t xml:space="preserve"> Waqf in the Nagari Sungai </w:t>
      </w:r>
      <w:proofErr w:type="spellStart"/>
      <w:r w:rsidRPr="00FF6774">
        <w:rPr>
          <w:b/>
          <w:bCs/>
          <w:lang w:val="en-US"/>
        </w:rPr>
        <w:t>Tanang</w:t>
      </w:r>
      <w:proofErr w:type="spellEnd"/>
      <w:r w:rsidRPr="00FF6774">
        <w:rPr>
          <w:b/>
          <w:bCs/>
          <w:lang w:val="en-US"/>
        </w:rPr>
        <w:t xml:space="preserve"> Community</w:t>
      </w:r>
    </w:p>
    <w:p w14:paraId="410AD824" w14:textId="0983F2DA" w:rsidR="0023033C" w:rsidRPr="00C45A33" w:rsidRDefault="00FF6774" w:rsidP="005C17F6">
      <w:pPr>
        <w:spacing w:line="360" w:lineRule="auto"/>
        <w:ind w:firstLine="709"/>
        <w:jc w:val="both"/>
      </w:pPr>
      <w:proofErr w:type="spellStart"/>
      <w:r w:rsidRPr="00FF6774">
        <w:t>Tanang</w:t>
      </w:r>
      <w:proofErr w:type="spellEnd"/>
      <w:r w:rsidRPr="00FF6774">
        <w:t xml:space="preserve"> River is one of the </w:t>
      </w:r>
      <w:proofErr w:type="spellStart"/>
      <w:r w:rsidRPr="00FF6774">
        <w:t>nagari</w:t>
      </w:r>
      <w:proofErr w:type="spellEnd"/>
      <w:r w:rsidRPr="00FF6774">
        <w:t xml:space="preserve"> located in </w:t>
      </w:r>
      <w:proofErr w:type="spellStart"/>
      <w:r w:rsidRPr="00FF6774">
        <w:t>Banuhampu</w:t>
      </w:r>
      <w:proofErr w:type="spellEnd"/>
      <w:r w:rsidRPr="00FF6774">
        <w:t xml:space="preserve"> District, Agam Regency, West Sumatra, with a distance of about 8.6 kilometers from the center of </w:t>
      </w:r>
      <w:proofErr w:type="spellStart"/>
      <w:r w:rsidRPr="00FF6774">
        <w:t>Bukittinggi</w:t>
      </w:r>
      <w:proofErr w:type="spellEnd"/>
      <w:r w:rsidRPr="00FF6774">
        <w:t xml:space="preserve"> City and a distance of about 3 kilometers to the center of the sub-district, which has a large fish pond known to the local community as </w:t>
      </w:r>
      <w:proofErr w:type="spellStart"/>
      <w:r w:rsidRPr="00FF6774">
        <w:t>Tabek</w:t>
      </w:r>
      <w:proofErr w:type="spellEnd"/>
      <w:r w:rsidRPr="00FF6774">
        <w:t xml:space="preserve"> </w:t>
      </w:r>
      <w:proofErr w:type="spellStart"/>
      <w:r w:rsidRPr="00FF6774">
        <w:t>Gadang</w:t>
      </w:r>
      <w:proofErr w:type="spellEnd"/>
      <w:r w:rsidRPr="00FF6774">
        <w:t xml:space="preserve"> (</w:t>
      </w:r>
      <w:r>
        <w:t xml:space="preserve">the </w:t>
      </w:r>
      <w:r w:rsidRPr="00FF6774">
        <w:t xml:space="preserve">length </w:t>
      </w:r>
      <w:r>
        <w:t xml:space="preserve">is </w:t>
      </w:r>
      <w:r w:rsidRPr="00FF6774">
        <w:t>about 300 meters with a width of 75 meters).</w:t>
      </w:r>
      <w:r w:rsidR="0023033C" w:rsidRPr="00C45A33">
        <w:t xml:space="preserve">   </w:t>
      </w:r>
    </w:p>
    <w:p w14:paraId="6994A68F" w14:textId="2C4ACA7E" w:rsidR="00FF6774" w:rsidRDefault="00FF6774" w:rsidP="005F15A8">
      <w:pPr>
        <w:spacing w:line="360" w:lineRule="auto"/>
        <w:ind w:firstLine="709"/>
        <w:jc w:val="both"/>
      </w:pPr>
      <w:r w:rsidRPr="00FF6774">
        <w:t xml:space="preserve">The people of Nagari Sungai </w:t>
      </w:r>
      <w:proofErr w:type="spellStart"/>
      <w:r w:rsidRPr="00FF6774">
        <w:t>Tanang</w:t>
      </w:r>
      <w:proofErr w:type="spellEnd"/>
      <w:r w:rsidRPr="00FF6774">
        <w:t xml:space="preserve"> with their </w:t>
      </w:r>
      <w:proofErr w:type="spellStart"/>
      <w:r w:rsidRPr="00FF6774">
        <w:t>Tabek</w:t>
      </w:r>
      <w:proofErr w:type="spellEnd"/>
      <w:r w:rsidRPr="00FF6774">
        <w:t xml:space="preserve"> </w:t>
      </w:r>
      <w:proofErr w:type="spellStart"/>
      <w:r w:rsidRPr="00FF6774">
        <w:t>Gadang</w:t>
      </w:r>
      <w:proofErr w:type="spellEnd"/>
      <w:r w:rsidRPr="00FF6774">
        <w:t xml:space="preserve"> Waqf raise fish from seedlings until the fish are big and ready to be harvested. The fish pond is </w:t>
      </w:r>
      <w:r>
        <w:t>irrigated</w:t>
      </w:r>
      <w:r w:rsidRPr="00FF6774">
        <w:t xml:space="preserve"> with a spring about 100 meters above it (</w:t>
      </w:r>
      <w:r>
        <w:t xml:space="preserve">so-called </w:t>
      </w:r>
      <w:proofErr w:type="spellStart"/>
      <w:r w:rsidRPr="00FF6774">
        <w:rPr>
          <w:i/>
          <w:iCs/>
        </w:rPr>
        <w:t>kapalo</w:t>
      </w:r>
      <w:proofErr w:type="spellEnd"/>
      <w:r w:rsidRPr="00FF6774">
        <w:rPr>
          <w:i/>
          <w:iCs/>
        </w:rPr>
        <w:t xml:space="preserve"> </w:t>
      </w:r>
      <w:proofErr w:type="spellStart"/>
      <w:r w:rsidRPr="00FF6774">
        <w:rPr>
          <w:i/>
          <w:iCs/>
        </w:rPr>
        <w:t>tabek</w:t>
      </w:r>
      <w:proofErr w:type="spellEnd"/>
      <w:r w:rsidRPr="00FF6774">
        <w:t xml:space="preserve">). Apart from irrigating </w:t>
      </w:r>
      <w:proofErr w:type="spellStart"/>
      <w:r w:rsidRPr="00FF6774">
        <w:t>Tabek</w:t>
      </w:r>
      <w:proofErr w:type="spellEnd"/>
      <w:r w:rsidRPr="00FF6774">
        <w:t xml:space="preserve"> </w:t>
      </w:r>
      <w:proofErr w:type="spellStart"/>
      <w:r w:rsidRPr="00FF6774">
        <w:t>Gadang</w:t>
      </w:r>
      <w:proofErr w:type="spellEnd"/>
      <w:r w:rsidRPr="00FF6774">
        <w:t xml:space="preserve">, clean water of </w:t>
      </w:r>
      <w:r>
        <w:t xml:space="preserve">the </w:t>
      </w:r>
      <w:proofErr w:type="spellStart"/>
      <w:r w:rsidRPr="00FF6774">
        <w:t>Tanang</w:t>
      </w:r>
      <w:proofErr w:type="spellEnd"/>
      <w:r w:rsidRPr="00FF6774">
        <w:t xml:space="preserve"> River </w:t>
      </w:r>
      <w:r w:rsidR="008971D7">
        <w:t>has</w:t>
      </w:r>
      <w:r w:rsidRPr="00FF6774">
        <w:t xml:space="preserve"> also </w:t>
      </w:r>
      <w:r w:rsidR="008971D7">
        <w:t xml:space="preserve">been </w:t>
      </w:r>
      <w:r w:rsidRPr="00FF6774">
        <w:t xml:space="preserve">known as a </w:t>
      </w:r>
      <w:r>
        <w:t>source of drinking water</w:t>
      </w:r>
      <w:r w:rsidRPr="00FF6774">
        <w:t xml:space="preserve"> for </w:t>
      </w:r>
      <w:proofErr w:type="spellStart"/>
      <w:r w:rsidRPr="00FF6774">
        <w:t>Bukittinggi</w:t>
      </w:r>
      <w:proofErr w:type="spellEnd"/>
      <w:r w:rsidRPr="00FF6774">
        <w:t xml:space="preserve"> people </w:t>
      </w:r>
      <w:r w:rsidR="008971D7">
        <w:t>since long time ago up to this day</w:t>
      </w:r>
      <w:r w:rsidRPr="00FF6774">
        <w:t xml:space="preserve">, as in the verse of </w:t>
      </w:r>
      <w:proofErr w:type="spellStart"/>
      <w:r w:rsidRPr="00FF6774">
        <w:t>Minang</w:t>
      </w:r>
      <w:r>
        <w:t>kabaunese</w:t>
      </w:r>
      <w:proofErr w:type="spellEnd"/>
      <w:r w:rsidRPr="00FF6774">
        <w:t xml:space="preserve"> song </w:t>
      </w:r>
      <w:r w:rsidRPr="00C775CE">
        <w:rPr>
          <w:i/>
          <w:iCs/>
        </w:rPr>
        <w:t xml:space="preserve">“Janiah </w:t>
      </w:r>
      <w:proofErr w:type="spellStart"/>
      <w:r w:rsidRPr="00C775CE">
        <w:rPr>
          <w:i/>
          <w:iCs/>
        </w:rPr>
        <w:t>aia</w:t>
      </w:r>
      <w:r w:rsidR="00C775CE">
        <w:rPr>
          <w:i/>
          <w:iCs/>
        </w:rPr>
        <w:t>nyo</w:t>
      </w:r>
      <w:proofErr w:type="spellEnd"/>
      <w:r w:rsidRPr="00C775CE">
        <w:rPr>
          <w:i/>
          <w:iCs/>
        </w:rPr>
        <w:t xml:space="preserve"> Sungai </w:t>
      </w:r>
      <w:proofErr w:type="spellStart"/>
      <w:r w:rsidRPr="00C775CE">
        <w:rPr>
          <w:i/>
          <w:iCs/>
        </w:rPr>
        <w:t>Tanang</w:t>
      </w:r>
      <w:proofErr w:type="spellEnd"/>
      <w:r w:rsidRPr="00C775CE">
        <w:rPr>
          <w:i/>
          <w:iCs/>
        </w:rPr>
        <w:t xml:space="preserve">, </w:t>
      </w:r>
      <w:proofErr w:type="spellStart"/>
      <w:r w:rsidR="00C775CE" w:rsidRPr="00C775CE">
        <w:rPr>
          <w:i/>
          <w:iCs/>
        </w:rPr>
        <w:t>minuman</w:t>
      </w:r>
      <w:proofErr w:type="spellEnd"/>
      <w:r w:rsidR="00C775CE" w:rsidRPr="00C775CE">
        <w:rPr>
          <w:i/>
          <w:iCs/>
        </w:rPr>
        <w:t xml:space="preserve"> </w:t>
      </w:r>
      <w:proofErr w:type="spellStart"/>
      <w:r w:rsidR="00C775CE" w:rsidRPr="00C775CE">
        <w:rPr>
          <w:i/>
          <w:iCs/>
        </w:rPr>
        <w:t>u</w:t>
      </w:r>
      <w:r w:rsidRPr="00C775CE">
        <w:rPr>
          <w:i/>
          <w:iCs/>
        </w:rPr>
        <w:t>rang</w:t>
      </w:r>
      <w:proofErr w:type="spellEnd"/>
      <w:r w:rsidRPr="00C775CE">
        <w:rPr>
          <w:i/>
          <w:iCs/>
        </w:rPr>
        <w:t xml:space="preserve"> </w:t>
      </w:r>
      <w:proofErr w:type="spellStart"/>
      <w:r w:rsidRPr="00C775CE">
        <w:rPr>
          <w:i/>
          <w:iCs/>
        </w:rPr>
        <w:t>Bukittinggi</w:t>
      </w:r>
      <w:proofErr w:type="spellEnd"/>
      <w:r w:rsidR="00C775CE" w:rsidRPr="00C775CE">
        <w:rPr>
          <w:i/>
          <w:iCs/>
        </w:rPr>
        <w:t>”</w:t>
      </w:r>
      <w:r w:rsidRPr="00FF6774">
        <w:t xml:space="preserve"> (</w:t>
      </w:r>
      <w:r w:rsidR="008971D7">
        <w:t>what a</w:t>
      </w:r>
      <w:r w:rsidRPr="00FF6774">
        <w:t xml:space="preserve"> clear water of </w:t>
      </w:r>
      <w:r w:rsidR="008971D7">
        <w:t xml:space="preserve">the </w:t>
      </w:r>
      <w:proofErr w:type="spellStart"/>
      <w:r w:rsidRPr="00FF6774">
        <w:t>Tanang</w:t>
      </w:r>
      <w:proofErr w:type="spellEnd"/>
      <w:r w:rsidRPr="00FF6774">
        <w:t xml:space="preserve"> River</w:t>
      </w:r>
      <w:r w:rsidR="008971D7">
        <w:t>,</w:t>
      </w:r>
      <w:r w:rsidRPr="00FF6774">
        <w:t xml:space="preserve"> a</w:t>
      </w:r>
      <w:r w:rsidR="008971D7">
        <w:t xml:space="preserve"> source of</w:t>
      </w:r>
      <w:r w:rsidRPr="00FF6774">
        <w:t xml:space="preserve"> drink for </w:t>
      </w:r>
      <w:proofErr w:type="spellStart"/>
      <w:r w:rsidRPr="00FF6774">
        <w:t>Bukittinggi</w:t>
      </w:r>
      <w:proofErr w:type="spellEnd"/>
      <w:r w:rsidRPr="00FF6774">
        <w:t xml:space="preserve"> people). In accordance with the verse of the </w:t>
      </w:r>
      <w:proofErr w:type="spellStart"/>
      <w:r w:rsidRPr="00FF6774">
        <w:t>Minang</w:t>
      </w:r>
      <w:r w:rsidR="00C775CE">
        <w:t>kabaunese</w:t>
      </w:r>
      <w:proofErr w:type="spellEnd"/>
      <w:r w:rsidRPr="00FF6774">
        <w:t xml:space="preserve"> song, </w:t>
      </w:r>
      <w:r w:rsidR="00C775CE">
        <w:t>the outsiders</w:t>
      </w:r>
      <w:r w:rsidRPr="00FF6774">
        <w:t xml:space="preserve"> often visit</w:t>
      </w:r>
      <w:r w:rsidR="00A66A48">
        <w:t>ed</w:t>
      </w:r>
      <w:r w:rsidRPr="00FF6774">
        <w:t xml:space="preserve"> this </w:t>
      </w:r>
      <w:proofErr w:type="spellStart"/>
      <w:r w:rsidRPr="00C775CE">
        <w:rPr>
          <w:i/>
          <w:iCs/>
        </w:rPr>
        <w:t>nagari</w:t>
      </w:r>
      <w:proofErr w:type="spellEnd"/>
      <w:r w:rsidRPr="00FF6774">
        <w:t xml:space="preserve"> </w:t>
      </w:r>
      <w:r w:rsidR="00C775CE">
        <w:t xml:space="preserve">(area) </w:t>
      </w:r>
      <w:r w:rsidRPr="00FF6774">
        <w:t xml:space="preserve">with the verse of the song </w:t>
      </w:r>
      <w:r w:rsidR="00C775CE" w:rsidRPr="00C775CE">
        <w:rPr>
          <w:i/>
          <w:iCs/>
        </w:rPr>
        <w:t>“</w:t>
      </w:r>
      <w:proofErr w:type="spellStart"/>
      <w:r w:rsidRPr="00C775CE">
        <w:rPr>
          <w:i/>
          <w:iCs/>
        </w:rPr>
        <w:t>ba</w:t>
      </w:r>
      <w:proofErr w:type="spellEnd"/>
      <w:r w:rsidRPr="00C775CE">
        <w:rPr>
          <w:i/>
          <w:iCs/>
        </w:rPr>
        <w:t xml:space="preserve"> </w:t>
      </w:r>
      <w:proofErr w:type="spellStart"/>
      <w:r w:rsidRPr="00C775CE">
        <w:rPr>
          <w:i/>
          <w:iCs/>
        </w:rPr>
        <w:t>bendi-bendi</w:t>
      </w:r>
      <w:proofErr w:type="spellEnd"/>
      <w:r w:rsidRPr="00C775CE">
        <w:rPr>
          <w:i/>
          <w:iCs/>
        </w:rPr>
        <w:t xml:space="preserve"> ka Sungai </w:t>
      </w:r>
      <w:proofErr w:type="spellStart"/>
      <w:r w:rsidRPr="00C775CE">
        <w:rPr>
          <w:i/>
          <w:iCs/>
        </w:rPr>
        <w:t>Tanang</w:t>
      </w:r>
      <w:proofErr w:type="spellEnd"/>
      <w:r w:rsidR="00C775CE">
        <w:rPr>
          <w:i/>
          <w:iCs/>
        </w:rPr>
        <w:t>.”</w:t>
      </w:r>
      <w:r w:rsidRPr="00FF6774">
        <w:t xml:space="preserve"> </w:t>
      </w:r>
      <w:r w:rsidRPr="00A66A48">
        <w:rPr>
          <w:i/>
          <w:iCs/>
        </w:rPr>
        <w:t>Bendi</w:t>
      </w:r>
      <w:r w:rsidRPr="00FF6774">
        <w:t xml:space="preserve"> (</w:t>
      </w:r>
      <w:r w:rsidR="00A66A48">
        <w:t xml:space="preserve">horse-drawn </w:t>
      </w:r>
      <w:r w:rsidR="00A66A48">
        <w:lastRenderedPageBreak/>
        <w:t>carriage</w:t>
      </w:r>
      <w:r w:rsidRPr="00FF6774">
        <w:t xml:space="preserve">) is an illustration of the means of transportation for people who visited Nagari Sungai </w:t>
      </w:r>
      <w:proofErr w:type="spellStart"/>
      <w:r w:rsidRPr="00FF6774">
        <w:t>Tanang</w:t>
      </w:r>
      <w:proofErr w:type="spellEnd"/>
      <w:r w:rsidRPr="00FF6774">
        <w:t xml:space="preserve"> at that time.</w:t>
      </w:r>
    </w:p>
    <w:p w14:paraId="46D103B2" w14:textId="6A9DF093" w:rsidR="00997274" w:rsidRDefault="002615FD" w:rsidP="005F15A8">
      <w:pPr>
        <w:spacing w:line="360" w:lineRule="auto"/>
        <w:ind w:firstLine="709"/>
        <w:jc w:val="both"/>
      </w:pPr>
      <w:r>
        <w:t>The outsiders keep visiting</w:t>
      </w:r>
      <w:r w:rsidRPr="002615FD">
        <w:t xml:space="preserve"> Nagari Sungai </w:t>
      </w:r>
      <w:proofErr w:type="spellStart"/>
      <w:r w:rsidRPr="002615FD">
        <w:t>Tanang</w:t>
      </w:r>
      <w:proofErr w:type="spellEnd"/>
      <w:r w:rsidRPr="002615FD">
        <w:t xml:space="preserve"> </w:t>
      </w:r>
      <w:r>
        <w:t>up</w:t>
      </w:r>
      <w:r w:rsidRPr="002615FD">
        <w:t xml:space="preserve"> to this day</w:t>
      </w:r>
      <w:r>
        <w:t>.</w:t>
      </w:r>
      <w:r w:rsidRPr="002615FD">
        <w:t xml:space="preserve"> </w:t>
      </w:r>
      <w:r>
        <w:t>M</w:t>
      </w:r>
      <w:r w:rsidRPr="002615FD">
        <w:t xml:space="preserve">any people also visit </w:t>
      </w:r>
      <w:r>
        <w:t xml:space="preserve">it </w:t>
      </w:r>
      <w:r w:rsidRPr="002615FD">
        <w:t>for recreation, bringing their children to feed the fish while looking at the beautiful scenery</w:t>
      </w:r>
      <w:r>
        <w:t xml:space="preserve">, even </w:t>
      </w:r>
      <w:r w:rsidRPr="002615FD">
        <w:t xml:space="preserve">not only on holidays. Apart from being fed by visitors, the fish in </w:t>
      </w:r>
      <w:proofErr w:type="spellStart"/>
      <w:r w:rsidRPr="002615FD">
        <w:t>Tabek</w:t>
      </w:r>
      <w:proofErr w:type="spellEnd"/>
      <w:r w:rsidRPr="002615FD">
        <w:t xml:space="preserve"> </w:t>
      </w:r>
      <w:proofErr w:type="spellStart"/>
      <w:r w:rsidRPr="002615FD">
        <w:t>Gadang</w:t>
      </w:r>
      <w:proofErr w:type="spellEnd"/>
      <w:r w:rsidRPr="002615FD">
        <w:t xml:space="preserve"> are also looked after by the </w:t>
      </w:r>
      <w:proofErr w:type="spellStart"/>
      <w:r w:rsidRPr="002615FD">
        <w:t>nagari</w:t>
      </w:r>
      <w:proofErr w:type="spellEnd"/>
      <w:r w:rsidRPr="002615FD">
        <w:t xml:space="preserve"> community and the caretakers.</w:t>
      </w:r>
    </w:p>
    <w:p w14:paraId="5B879E40" w14:textId="6E3FBB7B" w:rsidR="00997274" w:rsidRDefault="009E463B" w:rsidP="005F15A8">
      <w:pPr>
        <w:spacing w:line="360" w:lineRule="auto"/>
        <w:ind w:firstLine="709"/>
        <w:jc w:val="both"/>
      </w:pPr>
      <w:proofErr w:type="spellStart"/>
      <w:r w:rsidRPr="00A66A48">
        <w:rPr>
          <w:i/>
          <w:iCs/>
        </w:rPr>
        <w:t>Niniak</w:t>
      </w:r>
      <w:proofErr w:type="spellEnd"/>
      <w:r w:rsidRPr="00A66A48">
        <w:rPr>
          <w:i/>
          <w:iCs/>
        </w:rPr>
        <w:t xml:space="preserve"> Mamak</w:t>
      </w:r>
      <w:r w:rsidRPr="009E463B">
        <w:t xml:space="preserve">, religious scholars, Nagari government, traditional leaders, community leaders, youth and the community take care of </w:t>
      </w:r>
      <w:r>
        <w:t>the</w:t>
      </w:r>
      <w:r w:rsidRPr="009E463B">
        <w:t xml:space="preserve"> fish. Even if there are residents who are really in dire need, they are committed not to take the fish in </w:t>
      </w:r>
      <w:proofErr w:type="spellStart"/>
      <w:r w:rsidRPr="009E463B">
        <w:t>Tabek</w:t>
      </w:r>
      <w:proofErr w:type="spellEnd"/>
      <w:r w:rsidRPr="009E463B">
        <w:t xml:space="preserve"> </w:t>
      </w:r>
      <w:proofErr w:type="spellStart"/>
      <w:r w:rsidRPr="009E463B">
        <w:t>Gadang</w:t>
      </w:r>
      <w:proofErr w:type="spellEnd"/>
      <w:r w:rsidRPr="009E463B">
        <w:t>. They will be shamed by the people of Nagari if they take the fish.</w:t>
      </w:r>
    </w:p>
    <w:p w14:paraId="65717CA5" w14:textId="520F02C6" w:rsidR="00F4039A" w:rsidRDefault="00F4039A" w:rsidP="005F15A8">
      <w:pPr>
        <w:spacing w:line="360" w:lineRule="auto"/>
        <w:ind w:firstLine="709"/>
        <w:jc w:val="both"/>
      </w:pPr>
      <w:r w:rsidRPr="00F4039A">
        <w:t xml:space="preserve">After waiting quite a long time for the fish to be big and ready to be harvested, the people of Sungai </w:t>
      </w:r>
      <w:proofErr w:type="spellStart"/>
      <w:r w:rsidRPr="00F4039A">
        <w:t>Tanang</w:t>
      </w:r>
      <w:proofErr w:type="spellEnd"/>
      <w:r w:rsidRPr="00F4039A">
        <w:t xml:space="preserve">, through their administrators such as the Ulama, </w:t>
      </w:r>
      <w:proofErr w:type="spellStart"/>
      <w:r w:rsidRPr="00F4039A">
        <w:rPr>
          <w:i/>
          <w:iCs/>
        </w:rPr>
        <w:t>Niniak</w:t>
      </w:r>
      <w:proofErr w:type="spellEnd"/>
      <w:r w:rsidRPr="00F4039A">
        <w:rPr>
          <w:i/>
          <w:iCs/>
        </w:rPr>
        <w:t xml:space="preserve"> Mamak </w:t>
      </w:r>
      <w:proofErr w:type="spellStart"/>
      <w:r w:rsidRPr="00F4039A">
        <w:rPr>
          <w:i/>
          <w:iCs/>
        </w:rPr>
        <w:t>Pasukuan</w:t>
      </w:r>
      <w:proofErr w:type="spellEnd"/>
      <w:r>
        <w:t xml:space="preserve"> (traditional leaders of the tribes)</w:t>
      </w:r>
      <w:r w:rsidRPr="00F4039A">
        <w:t>, Nagari Government, Traditional Leaders, Community Leaders and Youth Delegates, h</w:t>
      </w:r>
      <w:r w:rsidR="00AD2315">
        <w:t>ave</w:t>
      </w:r>
      <w:r w:rsidRPr="00F4039A">
        <w:t xml:space="preserve"> a </w:t>
      </w:r>
      <w:r w:rsidR="00AD2315">
        <w:t>meeting</w:t>
      </w:r>
      <w:r w:rsidRPr="00F4039A">
        <w:t xml:space="preserve"> to hold a fishing expedition in which anglers participated. The money from fishing </w:t>
      </w:r>
      <w:r w:rsidR="00AD2315">
        <w:t>is</w:t>
      </w:r>
      <w:r w:rsidRPr="00F4039A">
        <w:t xml:space="preserve"> used for mosques and prayer rooms, including other needs that ha</w:t>
      </w:r>
      <w:r w:rsidR="00AD2315">
        <w:t>ve</w:t>
      </w:r>
      <w:r w:rsidRPr="00F4039A">
        <w:t xml:space="preserve"> also been regulated based on the agreement of the management. When the fish in </w:t>
      </w:r>
      <w:proofErr w:type="spellStart"/>
      <w:r w:rsidRPr="00F4039A">
        <w:t>Tabek</w:t>
      </w:r>
      <w:proofErr w:type="spellEnd"/>
      <w:r w:rsidRPr="00F4039A">
        <w:t xml:space="preserve"> </w:t>
      </w:r>
      <w:proofErr w:type="spellStart"/>
      <w:r w:rsidRPr="00F4039A">
        <w:t>Gadang</w:t>
      </w:r>
      <w:proofErr w:type="spellEnd"/>
      <w:r w:rsidRPr="00F4039A">
        <w:t xml:space="preserve"> </w:t>
      </w:r>
      <w:r w:rsidR="00AD2315">
        <w:t>are</w:t>
      </w:r>
      <w:r w:rsidRPr="00F4039A">
        <w:t xml:space="preserve"> caught by thousands of anglers, not just once, but at least 5 times every Sunday and most of the fish that </w:t>
      </w:r>
      <w:r w:rsidR="00AD2315">
        <w:t>are</w:t>
      </w:r>
      <w:r w:rsidRPr="00F4039A">
        <w:t xml:space="preserve"> still in </w:t>
      </w:r>
      <w:proofErr w:type="spellStart"/>
      <w:r w:rsidRPr="00F4039A">
        <w:t>Tabek</w:t>
      </w:r>
      <w:proofErr w:type="spellEnd"/>
      <w:r w:rsidRPr="00F4039A">
        <w:t xml:space="preserve"> </w:t>
      </w:r>
      <w:proofErr w:type="spellStart"/>
      <w:r w:rsidRPr="00F4039A">
        <w:t>Gadang</w:t>
      </w:r>
      <w:proofErr w:type="spellEnd"/>
      <w:r w:rsidRPr="00F4039A">
        <w:t xml:space="preserve"> </w:t>
      </w:r>
      <w:r w:rsidR="00AD2315">
        <w:t>are</w:t>
      </w:r>
      <w:r w:rsidRPr="00F4039A">
        <w:t xml:space="preserve"> taken and sold before the </w:t>
      </w:r>
      <w:proofErr w:type="spellStart"/>
      <w:r w:rsidRPr="00F4039A">
        <w:rPr>
          <w:i/>
          <w:iCs/>
        </w:rPr>
        <w:t>Carotai</w:t>
      </w:r>
      <w:proofErr w:type="spellEnd"/>
      <w:r w:rsidRPr="00F4039A">
        <w:t xml:space="preserve"> culture </w:t>
      </w:r>
      <w:r w:rsidR="00AD2315">
        <w:t>is held</w:t>
      </w:r>
      <w:r w:rsidRPr="00F4039A">
        <w:t xml:space="preserve"> among the community. Even though </w:t>
      </w:r>
      <w:r>
        <w:t xml:space="preserve">the </w:t>
      </w:r>
      <w:proofErr w:type="spellStart"/>
      <w:r w:rsidRPr="00F4039A">
        <w:rPr>
          <w:i/>
          <w:iCs/>
        </w:rPr>
        <w:t>Carotai</w:t>
      </w:r>
      <w:proofErr w:type="spellEnd"/>
      <w:r w:rsidRPr="00F4039A">
        <w:t xml:space="preserve"> </w:t>
      </w:r>
      <w:r w:rsidR="00AD2315">
        <w:t>is</w:t>
      </w:r>
      <w:r w:rsidRPr="00F4039A">
        <w:t xml:space="preserve"> not done after every fishing trip, it </w:t>
      </w:r>
      <w:r w:rsidR="00AD2315">
        <w:t>is</w:t>
      </w:r>
      <w:r w:rsidRPr="00F4039A">
        <w:t xml:space="preserve"> at least one of the processes that must be followed when </w:t>
      </w:r>
      <w:r>
        <w:t xml:space="preserve">the </w:t>
      </w:r>
      <w:proofErr w:type="spellStart"/>
      <w:r w:rsidRPr="00F4039A">
        <w:rPr>
          <w:i/>
          <w:iCs/>
        </w:rPr>
        <w:t>Carotai</w:t>
      </w:r>
      <w:proofErr w:type="spellEnd"/>
      <w:r w:rsidRPr="00F4039A">
        <w:t xml:space="preserve"> </w:t>
      </w:r>
      <w:r w:rsidR="00AD2315">
        <w:t>is</w:t>
      </w:r>
      <w:r w:rsidRPr="00F4039A">
        <w:t xml:space="preserve"> done, as stated by </w:t>
      </w:r>
      <w:proofErr w:type="spellStart"/>
      <w:r w:rsidRPr="00F4039A">
        <w:t>Elfiandi</w:t>
      </w:r>
      <w:proofErr w:type="spellEnd"/>
      <w:r w:rsidRPr="00F4039A">
        <w:t xml:space="preserve">, the head of </w:t>
      </w:r>
      <w:proofErr w:type="spellStart"/>
      <w:r w:rsidRPr="00F4039A">
        <w:t>Bamus</w:t>
      </w:r>
      <w:proofErr w:type="spellEnd"/>
      <w:r w:rsidRPr="00F4039A">
        <w:t xml:space="preserve"> Nagari.</w:t>
      </w:r>
    </w:p>
    <w:p w14:paraId="29969711" w14:textId="66B4BAD1" w:rsidR="00997274" w:rsidRDefault="00F4039A" w:rsidP="005F15A8">
      <w:pPr>
        <w:spacing w:line="360" w:lineRule="auto"/>
        <w:ind w:firstLine="709"/>
        <w:jc w:val="both"/>
      </w:pPr>
      <w:r w:rsidRPr="00F4039A">
        <w:t xml:space="preserve">The culture of </w:t>
      </w:r>
      <w:proofErr w:type="spellStart"/>
      <w:r w:rsidRPr="00F4039A">
        <w:rPr>
          <w:i/>
          <w:iCs/>
        </w:rPr>
        <w:t>Carotai</w:t>
      </w:r>
      <w:proofErr w:type="spellEnd"/>
      <w:r w:rsidRPr="00F4039A">
        <w:t xml:space="preserve"> (fighting </w:t>
      </w:r>
      <w:r>
        <w:t>for</w:t>
      </w:r>
      <w:r w:rsidRPr="00F4039A">
        <w:t xml:space="preserve"> catch</w:t>
      </w:r>
      <w:r>
        <w:t>ing</w:t>
      </w:r>
      <w:r w:rsidRPr="00F4039A">
        <w:t xml:space="preserve"> fish together) with simple fishing gear is a long-standing cultural heritage or tradition that has been passed down from generation to generation and is eagerly awaited by the people of Nagari Sungai </w:t>
      </w:r>
      <w:proofErr w:type="spellStart"/>
      <w:r w:rsidRPr="00F4039A">
        <w:t>Tanang</w:t>
      </w:r>
      <w:proofErr w:type="spellEnd"/>
      <w:r w:rsidRPr="00F4039A">
        <w:t xml:space="preserve">. On the long-awaited day for </w:t>
      </w:r>
      <w:proofErr w:type="spellStart"/>
      <w:r w:rsidRPr="00F4039A">
        <w:rPr>
          <w:i/>
          <w:iCs/>
        </w:rPr>
        <w:t>Carotai</w:t>
      </w:r>
      <w:proofErr w:type="spellEnd"/>
      <w:r w:rsidRPr="00F4039A">
        <w:t xml:space="preserve"> and usually on Sundays or holidays, people are already at the </w:t>
      </w:r>
      <w:r w:rsidR="00AD2315">
        <w:t>bank of</w:t>
      </w:r>
      <w:r w:rsidRPr="00F4039A">
        <w:t xml:space="preserve"> large pond </w:t>
      </w:r>
      <w:r w:rsidRPr="00AD2315">
        <w:rPr>
          <w:i/>
          <w:iCs/>
        </w:rPr>
        <w:t>(</w:t>
      </w:r>
      <w:proofErr w:type="spellStart"/>
      <w:r w:rsidRPr="00AD2315">
        <w:rPr>
          <w:i/>
          <w:iCs/>
        </w:rPr>
        <w:t>Tapian</w:t>
      </w:r>
      <w:proofErr w:type="spellEnd"/>
      <w:r w:rsidRPr="00AD2315">
        <w:rPr>
          <w:i/>
          <w:iCs/>
        </w:rPr>
        <w:t xml:space="preserve"> </w:t>
      </w:r>
      <w:proofErr w:type="spellStart"/>
      <w:r w:rsidRPr="00AD2315">
        <w:rPr>
          <w:i/>
          <w:iCs/>
        </w:rPr>
        <w:t>Tabek</w:t>
      </w:r>
      <w:proofErr w:type="spellEnd"/>
      <w:r w:rsidRPr="00AD2315">
        <w:rPr>
          <w:i/>
          <w:iCs/>
        </w:rPr>
        <w:t xml:space="preserve"> </w:t>
      </w:r>
      <w:proofErr w:type="spellStart"/>
      <w:r w:rsidRPr="00AD2315">
        <w:rPr>
          <w:i/>
          <w:iCs/>
        </w:rPr>
        <w:t>Gadang</w:t>
      </w:r>
      <w:proofErr w:type="spellEnd"/>
      <w:r w:rsidRPr="00AD2315">
        <w:rPr>
          <w:i/>
          <w:iCs/>
        </w:rPr>
        <w:t>)</w:t>
      </w:r>
      <w:r w:rsidRPr="00F4039A">
        <w:t xml:space="preserve"> around 6:00 am local time, waiting for the sound of the </w:t>
      </w:r>
      <w:proofErr w:type="spellStart"/>
      <w:r w:rsidRPr="00F4039A">
        <w:t>tabuah</w:t>
      </w:r>
      <w:proofErr w:type="spellEnd"/>
      <w:r w:rsidRPr="00F4039A">
        <w:t xml:space="preserve"> as a sign of the start of </w:t>
      </w:r>
      <w:proofErr w:type="spellStart"/>
      <w:r w:rsidRPr="00F4039A">
        <w:rPr>
          <w:i/>
          <w:iCs/>
        </w:rPr>
        <w:t>Carotai</w:t>
      </w:r>
      <w:proofErr w:type="spellEnd"/>
      <w:r w:rsidRPr="00F4039A">
        <w:t>, which usually ends around noon</w:t>
      </w:r>
      <w:r>
        <w:t xml:space="preserve"> (</w:t>
      </w:r>
      <w:proofErr w:type="spellStart"/>
      <w:r>
        <w:t>Dhuhr</w:t>
      </w:r>
      <w:proofErr w:type="spellEnd"/>
      <w:r>
        <w:t xml:space="preserve"> time)</w:t>
      </w:r>
      <w:r w:rsidRPr="00F4039A">
        <w:t>.</w:t>
      </w:r>
    </w:p>
    <w:p w14:paraId="112E393A" w14:textId="571A178D" w:rsidR="00997274" w:rsidRDefault="00F4039A" w:rsidP="00997274">
      <w:pPr>
        <w:spacing w:line="360" w:lineRule="auto"/>
        <w:jc w:val="center"/>
      </w:pPr>
      <w:r w:rsidRPr="00F4039A">
        <w:lastRenderedPageBreak/>
        <w:t>Community</w:t>
      </w:r>
      <w:r>
        <w:t>’s</w:t>
      </w:r>
      <w:r w:rsidRPr="00F4039A">
        <w:t xml:space="preserve"> </w:t>
      </w:r>
      <w:proofErr w:type="spellStart"/>
      <w:r w:rsidRPr="00F4039A">
        <w:t>Carotai</w:t>
      </w:r>
      <w:proofErr w:type="spellEnd"/>
      <w:r w:rsidRPr="00F4039A">
        <w:t xml:space="preserve"> Waqf of Nagari Sungai </w:t>
      </w:r>
      <w:proofErr w:type="spellStart"/>
      <w:r w:rsidRPr="00F4039A">
        <w:t>Tanang</w:t>
      </w:r>
      <w:proofErr w:type="spellEnd"/>
      <w:r w:rsidRPr="00F4039A">
        <w:t xml:space="preserve">, </w:t>
      </w:r>
      <w:proofErr w:type="spellStart"/>
      <w:r w:rsidRPr="00F4039A">
        <w:t>Banuhampu</w:t>
      </w:r>
      <w:proofErr w:type="spellEnd"/>
      <w:r w:rsidRPr="00F4039A">
        <w:t xml:space="preserve"> District</w:t>
      </w:r>
    </w:p>
    <w:p w14:paraId="35561593" w14:textId="77777777" w:rsidR="00997274" w:rsidRPr="00E83CEA" w:rsidRDefault="00997274" w:rsidP="00997274">
      <w:pPr>
        <w:spacing w:line="360" w:lineRule="auto"/>
        <w:jc w:val="both"/>
      </w:pPr>
      <w:r>
        <w:rPr>
          <w:noProof/>
        </w:rPr>
        <w:drawing>
          <wp:inline distT="0" distB="0" distL="0" distR="0" wp14:anchorId="3E2B0B97" wp14:editId="14688097">
            <wp:extent cx="5033010" cy="2125345"/>
            <wp:effectExtent l="0" t="0" r="0" b="8255"/>
            <wp:docPr id="1" name="Picture 1" descr="Serunya Tradisi Bacarotai Nagari Sungai Tanang Ag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unya Tradisi Bacarotai Nagari Sungai Tanang Ag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3010" cy="2125345"/>
                    </a:xfrm>
                    <a:prstGeom prst="rect">
                      <a:avLst/>
                    </a:prstGeom>
                    <a:noFill/>
                    <a:ln>
                      <a:noFill/>
                    </a:ln>
                  </pic:spPr>
                </pic:pic>
              </a:graphicData>
            </a:graphic>
          </wp:inline>
        </w:drawing>
      </w:r>
    </w:p>
    <w:p w14:paraId="42868863" w14:textId="5DBC05D7" w:rsidR="00997274" w:rsidRDefault="00E90B64" w:rsidP="00E1752B">
      <w:pPr>
        <w:spacing w:before="240" w:line="360" w:lineRule="auto"/>
        <w:ind w:firstLine="709"/>
        <w:jc w:val="both"/>
      </w:pPr>
      <w:r w:rsidRPr="00E90B64">
        <w:t xml:space="preserve">The last </w:t>
      </w:r>
      <w:proofErr w:type="spellStart"/>
      <w:r w:rsidRPr="00E90B64">
        <w:t>carotai</w:t>
      </w:r>
      <w:proofErr w:type="spellEnd"/>
      <w:r w:rsidRPr="00E90B64">
        <w:t xml:space="preserve"> culture </w:t>
      </w:r>
      <w:r>
        <w:t xml:space="preserve">that was </w:t>
      </w:r>
      <w:r w:rsidRPr="00E90B64">
        <w:t>held on Sunday, September 30</w:t>
      </w:r>
      <w:r w:rsidRPr="00E90B64">
        <w:rPr>
          <w:vertAlign w:val="superscript"/>
        </w:rPr>
        <w:t>th</w:t>
      </w:r>
      <w:r w:rsidRPr="00E90B64">
        <w:t>, 2018 was very lively</w:t>
      </w:r>
      <w:r>
        <w:t>.</w:t>
      </w:r>
      <w:r w:rsidRPr="00E90B64">
        <w:t xml:space="preserve"> </w:t>
      </w:r>
      <w:r>
        <w:t>A</w:t>
      </w:r>
      <w:r w:rsidRPr="00E90B64">
        <w:t>s according to Ferry Nata Kusuma (</w:t>
      </w:r>
      <w:r>
        <w:t>The head of</w:t>
      </w:r>
      <w:r w:rsidRPr="00E90B64">
        <w:t xml:space="preserve"> Sungai </w:t>
      </w:r>
      <w:proofErr w:type="spellStart"/>
      <w:r w:rsidRPr="00E90B64">
        <w:t>Tanang</w:t>
      </w:r>
      <w:proofErr w:type="spellEnd"/>
      <w:r w:rsidRPr="00E90B64">
        <w:t xml:space="preserve">), it was attended by about 2,000 participants. According to Ferry, this </w:t>
      </w:r>
      <w:r>
        <w:t>was</w:t>
      </w:r>
      <w:r w:rsidRPr="00E90B64">
        <w:t xml:space="preserve"> an illustration of the high level of public interest in following it, even the author, as a Nagari child, often follows it.</w:t>
      </w:r>
    </w:p>
    <w:p w14:paraId="5CC08B9B" w14:textId="614860CB" w:rsidR="00324EAF" w:rsidRDefault="00E90B64" w:rsidP="00E1752B">
      <w:pPr>
        <w:spacing w:before="240" w:line="360" w:lineRule="auto"/>
        <w:jc w:val="both"/>
        <w:rPr>
          <w:b/>
          <w:bCs/>
          <w:color w:val="00B050"/>
        </w:rPr>
      </w:pPr>
      <w:r w:rsidRPr="00E90B64">
        <w:rPr>
          <w:b/>
          <w:bCs/>
        </w:rPr>
        <w:t xml:space="preserve">The </w:t>
      </w:r>
      <w:proofErr w:type="spellStart"/>
      <w:r w:rsidRPr="00E90B64">
        <w:rPr>
          <w:b/>
          <w:bCs/>
        </w:rPr>
        <w:t>Carotai</w:t>
      </w:r>
      <w:proofErr w:type="spellEnd"/>
      <w:r w:rsidRPr="00E90B64">
        <w:rPr>
          <w:b/>
          <w:bCs/>
        </w:rPr>
        <w:t xml:space="preserve"> Waqf Tradition as Seen from the </w:t>
      </w:r>
      <w:proofErr w:type="spellStart"/>
      <w:r w:rsidRPr="00E90B64">
        <w:rPr>
          <w:b/>
          <w:bCs/>
        </w:rPr>
        <w:t>Istihsan</w:t>
      </w:r>
      <w:proofErr w:type="spellEnd"/>
      <w:r w:rsidRPr="00E90B64">
        <w:rPr>
          <w:b/>
          <w:bCs/>
        </w:rPr>
        <w:t xml:space="preserve"> Theory</w:t>
      </w:r>
    </w:p>
    <w:p w14:paraId="5AFEE4AC" w14:textId="4E3F0E19" w:rsidR="00B62AA4" w:rsidRPr="00B62AA4" w:rsidRDefault="00E90B64" w:rsidP="00B62AA4">
      <w:pPr>
        <w:pStyle w:val="ListParagraph"/>
        <w:numPr>
          <w:ilvl w:val="0"/>
          <w:numId w:val="24"/>
        </w:numPr>
        <w:spacing w:after="0" w:line="360" w:lineRule="auto"/>
        <w:ind w:left="284" w:hanging="284"/>
        <w:jc w:val="both"/>
        <w:rPr>
          <w:b/>
          <w:bCs/>
        </w:rPr>
      </w:pPr>
      <w:r w:rsidRPr="00E90B64">
        <w:rPr>
          <w:b/>
          <w:bCs/>
        </w:rPr>
        <w:t xml:space="preserve">Istihsan </w:t>
      </w:r>
      <w:proofErr w:type="spellStart"/>
      <w:r>
        <w:rPr>
          <w:b/>
          <w:bCs/>
          <w:lang w:val="en-US"/>
        </w:rPr>
        <w:t>i</w:t>
      </w:r>
      <w:proofErr w:type="spellEnd"/>
      <w:r w:rsidRPr="00E90B64">
        <w:rPr>
          <w:b/>
          <w:bCs/>
        </w:rPr>
        <w:t>n Legal Reform</w:t>
      </w:r>
    </w:p>
    <w:p w14:paraId="45CD0854" w14:textId="21ADA2C7" w:rsidR="005461A5" w:rsidRDefault="00E90B64" w:rsidP="00C361AA">
      <w:pPr>
        <w:spacing w:line="360" w:lineRule="auto"/>
        <w:ind w:firstLine="709"/>
        <w:jc w:val="both"/>
      </w:pPr>
      <w:proofErr w:type="spellStart"/>
      <w:r w:rsidRPr="00E90B64">
        <w:t>Istihsan</w:t>
      </w:r>
      <w:proofErr w:type="spellEnd"/>
      <w:r w:rsidRPr="00E90B64">
        <w:t xml:space="preserve"> linguistically means to consider something good,</w:t>
      </w:r>
      <w:r w:rsidR="00E64D48">
        <w:rPr>
          <w:rStyle w:val="FootnoteReference"/>
        </w:rPr>
        <w:footnoteReference w:id="22"/>
      </w:r>
      <w:r w:rsidR="004454FD">
        <w:t xml:space="preserve"> </w:t>
      </w:r>
      <w:r w:rsidRPr="00E90B64">
        <w:t>In terms of terminology, this means a mujtahid</w:t>
      </w:r>
      <w:r>
        <w:t>’</w:t>
      </w:r>
      <w:r w:rsidRPr="00E90B64">
        <w:t xml:space="preserve">s change from </w:t>
      </w:r>
      <w:r w:rsidRPr="00CA5112">
        <w:rPr>
          <w:i/>
          <w:iCs/>
        </w:rPr>
        <w:t xml:space="preserve">qiyas </w:t>
      </w:r>
      <w:proofErr w:type="spellStart"/>
      <w:r w:rsidRPr="00CA5112">
        <w:rPr>
          <w:i/>
          <w:iCs/>
        </w:rPr>
        <w:t>jaliy</w:t>
      </w:r>
      <w:proofErr w:type="spellEnd"/>
      <w:r w:rsidRPr="00E90B64">
        <w:t xml:space="preserve"> to </w:t>
      </w:r>
      <w:r w:rsidRPr="00CA5112">
        <w:rPr>
          <w:i/>
          <w:iCs/>
        </w:rPr>
        <w:t xml:space="preserve">qiyas </w:t>
      </w:r>
      <w:proofErr w:type="spellStart"/>
      <w:r w:rsidRPr="00CA5112">
        <w:rPr>
          <w:i/>
          <w:iCs/>
        </w:rPr>
        <w:t>khafiy</w:t>
      </w:r>
      <w:proofErr w:type="spellEnd"/>
      <w:r w:rsidRPr="00E90B64">
        <w:t xml:space="preserve"> or change from </w:t>
      </w:r>
      <w:proofErr w:type="spellStart"/>
      <w:r w:rsidRPr="00CA5112">
        <w:rPr>
          <w:i/>
          <w:iCs/>
        </w:rPr>
        <w:t>kully</w:t>
      </w:r>
      <w:proofErr w:type="spellEnd"/>
      <w:r w:rsidRPr="00E90B64">
        <w:t xml:space="preserve"> law to </w:t>
      </w:r>
      <w:proofErr w:type="spellStart"/>
      <w:r w:rsidRPr="00CA5112">
        <w:rPr>
          <w:i/>
          <w:iCs/>
        </w:rPr>
        <w:t>juz’iy</w:t>
      </w:r>
      <w:proofErr w:type="spellEnd"/>
      <w:r w:rsidRPr="00E90B64">
        <w:t xml:space="preserve"> law based on rational rules and principles. </w:t>
      </w:r>
      <w:r w:rsidRPr="00CA5112">
        <w:rPr>
          <w:i/>
          <w:iCs/>
        </w:rPr>
        <w:t xml:space="preserve">Qiyas </w:t>
      </w:r>
      <w:proofErr w:type="spellStart"/>
      <w:r w:rsidRPr="00CA5112">
        <w:rPr>
          <w:i/>
          <w:iCs/>
        </w:rPr>
        <w:t>jaliy</w:t>
      </w:r>
      <w:proofErr w:type="spellEnd"/>
      <w:r w:rsidRPr="00E90B64">
        <w:t xml:space="preserve"> is a </w:t>
      </w:r>
      <w:r w:rsidRPr="00CA5112">
        <w:rPr>
          <w:i/>
          <w:iCs/>
        </w:rPr>
        <w:t>qiyas</w:t>
      </w:r>
      <w:r w:rsidRPr="00E90B64">
        <w:t xml:space="preserve"> that its </w:t>
      </w:r>
      <w:proofErr w:type="spellStart"/>
      <w:r w:rsidRPr="00CA5112">
        <w:rPr>
          <w:i/>
          <w:iCs/>
        </w:rPr>
        <w:t>illat</w:t>
      </w:r>
      <w:proofErr w:type="spellEnd"/>
      <w:r w:rsidRPr="00E90B64">
        <w:t xml:space="preserve"> is clear, but its influence in achieving the goals of Sharia is weak, this is often called </w:t>
      </w:r>
      <w:r w:rsidRPr="00CA5112">
        <w:rPr>
          <w:i/>
          <w:iCs/>
        </w:rPr>
        <w:t>qiyas</w:t>
      </w:r>
      <w:r w:rsidRPr="00E90B64">
        <w:t xml:space="preserve">. Meanwhile, </w:t>
      </w:r>
      <w:r w:rsidRPr="00CA5112">
        <w:rPr>
          <w:i/>
          <w:iCs/>
        </w:rPr>
        <w:t xml:space="preserve">qiyas </w:t>
      </w:r>
      <w:proofErr w:type="spellStart"/>
      <w:r w:rsidRPr="00CA5112">
        <w:rPr>
          <w:i/>
          <w:iCs/>
        </w:rPr>
        <w:t>khafiy</w:t>
      </w:r>
      <w:proofErr w:type="spellEnd"/>
      <w:r w:rsidRPr="00E90B64">
        <w:t xml:space="preserve"> is the opposite, the </w:t>
      </w:r>
      <w:r w:rsidRPr="00CA5112">
        <w:rPr>
          <w:i/>
          <w:iCs/>
        </w:rPr>
        <w:t>qiyas</w:t>
      </w:r>
      <w:r w:rsidRPr="00E90B64">
        <w:t xml:space="preserve"> that its </w:t>
      </w:r>
      <w:proofErr w:type="spellStart"/>
      <w:r w:rsidRPr="00CA5112">
        <w:rPr>
          <w:i/>
          <w:iCs/>
        </w:rPr>
        <w:t>illat</w:t>
      </w:r>
      <w:proofErr w:type="spellEnd"/>
      <w:r w:rsidRPr="00E90B64">
        <w:t xml:space="preserve"> is vague, but its </w:t>
      </w:r>
      <w:proofErr w:type="spellStart"/>
      <w:r w:rsidRPr="00CA5112">
        <w:rPr>
          <w:i/>
          <w:iCs/>
        </w:rPr>
        <w:t>illat</w:t>
      </w:r>
      <w:proofErr w:type="spellEnd"/>
      <w:r w:rsidRPr="00E90B64">
        <w:t xml:space="preserve"> to achieve the goals of Sharia is strong.</w:t>
      </w:r>
      <w:r w:rsidR="00952678">
        <w:t xml:space="preserve"> </w:t>
      </w:r>
    </w:p>
    <w:p w14:paraId="65C549BE" w14:textId="00073966" w:rsidR="00990182" w:rsidRPr="00990182" w:rsidRDefault="00E90B64" w:rsidP="00D8332D">
      <w:pPr>
        <w:tabs>
          <w:tab w:val="left" w:pos="709"/>
        </w:tabs>
        <w:spacing w:line="360" w:lineRule="auto"/>
        <w:ind w:firstLine="709"/>
        <w:jc w:val="both"/>
      </w:pPr>
      <w:r w:rsidRPr="00E90B64">
        <w:t xml:space="preserve">The disagreement among </w:t>
      </w:r>
      <w:proofErr w:type="spellStart"/>
      <w:r w:rsidRPr="00E90B64">
        <w:t>usul</w:t>
      </w:r>
      <w:proofErr w:type="spellEnd"/>
      <w:r w:rsidRPr="00E90B64">
        <w:t xml:space="preserve"> </w:t>
      </w:r>
      <w:proofErr w:type="spellStart"/>
      <w:r w:rsidRPr="00E90B64">
        <w:t>fiqh</w:t>
      </w:r>
      <w:proofErr w:type="spellEnd"/>
      <w:r w:rsidRPr="00E90B64">
        <w:t xml:space="preserve"> scholars lies in the nature and form of </w:t>
      </w:r>
      <w:proofErr w:type="spellStart"/>
      <w:r w:rsidRPr="00E90B64">
        <w:rPr>
          <w:i/>
          <w:iCs/>
        </w:rPr>
        <w:t>istihsan</w:t>
      </w:r>
      <w:proofErr w:type="spellEnd"/>
      <w:r w:rsidRPr="00E90B64">
        <w:t xml:space="preserve">. </w:t>
      </w:r>
      <w:proofErr w:type="spellStart"/>
      <w:r w:rsidRPr="00E90B64">
        <w:t>Hanafiyah</w:t>
      </w:r>
      <w:proofErr w:type="spellEnd"/>
      <w:r w:rsidRPr="00E90B64">
        <w:t xml:space="preserve"> scholars have proposed the </w:t>
      </w:r>
      <w:proofErr w:type="spellStart"/>
      <w:r w:rsidRPr="00E90B64">
        <w:rPr>
          <w:i/>
          <w:iCs/>
        </w:rPr>
        <w:t>ta’rif</w:t>
      </w:r>
      <w:proofErr w:type="spellEnd"/>
      <w:r w:rsidRPr="00E90B64">
        <w:t xml:space="preserve"> of </w:t>
      </w:r>
      <w:proofErr w:type="spellStart"/>
      <w:r w:rsidRPr="00E90B64">
        <w:rPr>
          <w:i/>
          <w:iCs/>
        </w:rPr>
        <w:t>istihsan</w:t>
      </w:r>
      <w:proofErr w:type="spellEnd"/>
      <w:r w:rsidRPr="00E90B64">
        <w:t>, including the following:</w:t>
      </w:r>
    </w:p>
    <w:p w14:paraId="5CAAE5F3" w14:textId="39FCA846" w:rsidR="00990182" w:rsidRPr="00952678" w:rsidRDefault="006F457A" w:rsidP="00952678">
      <w:pPr>
        <w:ind w:left="720"/>
        <w:jc w:val="both"/>
        <w:rPr>
          <w:i/>
          <w:iCs/>
        </w:rPr>
      </w:pPr>
      <w:r>
        <w:rPr>
          <w:i/>
          <w:iCs/>
        </w:rPr>
        <w:t>“</w:t>
      </w:r>
      <w:r w:rsidRPr="006F457A">
        <w:rPr>
          <w:i/>
          <w:iCs/>
        </w:rPr>
        <w:t xml:space="preserve">Doing good deeds with ijtihad and a strong opinion in determining what is </w:t>
      </w:r>
      <w:proofErr w:type="spellStart"/>
      <w:r w:rsidRPr="006F457A">
        <w:rPr>
          <w:i/>
          <w:iCs/>
        </w:rPr>
        <w:t>syar</w:t>
      </w:r>
      <w:r>
        <w:rPr>
          <w:i/>
          <w:iCs/>
        </w:rPr>
        <w:t>’</w:t>
      </w:r>
      <w:r w:rsidRPr="006F457A">
        <w:rPr>
          <w:i/>
          <w:iCs/>
        </w:rPr>
        <w:t>i</w:t>
      </w:r>
      <w:proofErr w:type="spellEnd"/>
      <w:r w:rsidRPr="006F457A">
        <w:rPr>
          <w:i/>
          <w:iCs/>
        </w:rPr>
        <w:t xml:space="preserve"> itself has handed it down to us</w:t>
      </w:r>
      <w:r w:rsidR="00CA5112">
        <w:rPr>
          <w:i/>
          <w:iCs/>
        </w:rPr>
        <w:t>.”</w:t>
      </w:r>
    </w:p>
    <w:p w14:paraId="234472A5" w14:textId="2ED4E496" w:rsidR="00990182" w:rsidRDefault="006F457A" w:rsidP="00D8332D">
      <w:pPr>
        <w:spacing w:before="240" w:line="360" w:lineRule="auto"/>
        <w:ind w:firstLine="709"/>
        <w:jc w:val="both"/>
      </w:pPr>
      <w:r w:rsidRPr="006F457A">
        <w:lastRenderedPageBreak/>
        <w:t xml:space="preserve">If this is what is called </w:t>
      </w:r>
      <w:proofErr w:type="spellStart"/>
      <w:r w:rsidRPr="006F457A">
        <w:rPr>
          <w:i/>
          <w:iCs/>
        </w:rPr>
        <w:t>istihsan</w:t>
      </w:r>
      <w:proofErr w:type="spellEnd"/>
      <w:r w:rsidRPr="006F457A">
        <w:t xml:space="preserve">, then there will be no ulama who reject it. </w:t>
      </w:r>
      <w:proofErr w:type="spellStart"/>
      <w:r w:rsidRPr="006F457A">
        <w:t>Hambali</w:t>
      </w:r>
      <w:proofErr w:type="spellEnd"/>
      <w:r w:rsidRPr="006F457A">
        <w:t xml:space="preserve"> scholars say that </w:t>
      </w:r>
      <w:proofErr w:type="spellStart"/>
      <w:r w:rsidRPr="006F457A">
        <w:rPr>
          <w:i/>
          <w:iCs/>
        </w:rPr>
        <w:t>istihsan</w:t>
      </w:r>
      <w:proofErr w:type="spellEnd"/>
      <w:r w:rsidRPr="006F457A">
        <w:t xml:space="preserve"> is a shift from </w:t>
      </w:r>
      <w:r w:rsidRPr="006F457A">
        <w:rPr>
          <w:i/>
          <w:iCs/>
        </w:rPr>
        <w:t>qiyas</w:t>
      </w:r>
      <w:r w:rsidRPr="006F457A">
        <w:t xml:space="preserve"> to another, stronger proposition. Maliki scholars who use </w:t>
      </w:r>
      <w:proofErr w:type="spellStart"/>
      <w:r w:rsidRPr="006F457A">
        <w:rPr>
          <w:i/>
          <w:iCs/>
        </w:rPr>
        <w:t>istihsan</w:t>
      </w:r>
      <w:proofErr w:type="spellEnd"/>
      <w:r w:rsidRPr="006F457A">
        <w:t xml:space="preserve"> as a legal proposition also express it with </w:t>
      </w:r>
      <w:proofErr w:type="spellStart"/>
      <w:r w:rsidRPr="006F457A">
        <w:rPr>
          <w:i/>
          <w:iCs/>
        </w:rPr>
        <w:t>ta’rif</w:t>
      </w:r>
      <w:proofErr w:type="spellEnd"/>
      <w:r w:rsidRPr="006F457A">
        <w:rPr>
          <w:i/>
          <w:iCs/>
        </w:rPr>
        <w:t>:</w:t>
      </w:r>
      <w:r w:rsidRPr="006F457A">
        <w:t xml:space="preserve"> </w:t>
      </w:r>
      <w:r>
        <w:t>“</w:t>
      </w:r>
      <w:r w:rsidRPr="006F457A">
        <w:t xml:space="preserve">Doing good deeds with one of the two strongest propositions, or adhering to general propositions if those propositions can still be applied, and adhering to </w:t>
      </w:r>
      <w:r w:rsidRPr="006F457A">
        <w:rPr>
          <w:i/>
          <w:iCs/>
        </w:rPr>
        <w:t>qiyas</w:t>
      </w:r>
      <w:r w:rsidRPr="006F457A">
        <w:t xml:space="preserve"> if the </w:t>
      </w:r>
      <w:r w:rsidRPr="006F457A">
        <w:rPr>
          <w:i/>
          <w:iCs/>
        </w:rPr>
        <w:t>qiyas</w:t>
      </w:r>
      <w:r w:rsidRPr="006F457A">
        <w:t xml:space="preserve"> are generally valid.</w:t>
      </w:r>
      <w:r w:rsidR="002133FF">
        <w:rPr>
          <w:rStyle w:val="FootnoteReference"/>
        </w:rPr>
        <w:footnoteReference w:id="23"/>
      </w:r>
      <w:r w:rsidR="00544012">
        <w:t xml:space="preserve"> </w:t>
      </w:r>
      <w:r w:rsidRPr="006F457A">
        <w:t xml:space="preserve">Based on this </w:t>
      </w:r>
      <w:proofErr w:type="spellStart"/>
      <w:r w:rsidRPr="006F457A">
        <w:t>ta</w:t>
      </w:r>
      <w:r>
        <w:t>’</w:t>
      </w:r>
      <w:r w:rsidRPr="006F457A">
        <w:t>rif</w:t>
      </w:r>
      <w:proofErr w:type="spellEnd"/>
      <w:r w:rsidRPr="006F457A">
        <w:t xml:space="preserve">, the Maliki ulama practice </w:t>
      </w:r>
      <w:proofErr w:type="spellStart"/>
      <w:r w:rsidRPr="006F457A">
        <w:rPr>
          <w:i/>
          <w:iCs/>
        </w:rPr>
        <w:t>istihsan</w:t>
      </w:r>
      <w:proofErr w:type="spellEnd"/>
      <w:r w:rsidRPr="006F457A">
        <w:t xml:space="preserve"> by dividing it into 4 types; there </w:t>
      </w:r>
      <w:r>
        <w:t>are</w:t>
      </w:r>
      <w:r w:rsidRPr="006F457A">
        <w:t xml:space="preserve"> </w:t>
      </w:r>
      <w:proofErr w:type="spellStart"/>
      <w:r w:rsidRPr="006F457A">
        <w:t>istihsan</w:t>
      </w:r>
      <w:proofErr w:type="spellEnd"/>
      <w:r w:rsidRPr="006F457A">
        <w:t xml:space="preserve"> with </w:t>
      </w:r>
      <w:r>
        <w:t>‘</w:t>
      </w:r>
      <w:proofErr w:type="spellStart"/>
      <w:r w:rsidRPr="006F457A">
        <w:t>urf</w:t>
      </w:r>
      <w:proofErr w:type="spellEnd"/>
      <w:r w:rsidRPr="006F457A">
        <w:t xml:space="preserve">, </w:t>
      </w:r>
      <w:proofErr w:type="spellStart"/>
      <w:r w:rsidRPr="006F457A">
        <w:t>istihsan</w:t>
      </w:r>
      <w:proofErr w:type="spellEnd"/>
      <w:r w:rsidRPr="006F457A">
        <w:t xml:space="preserve"> with </w:t>
      </w:r>
      <w:proofErr w:type="spellStart"/>
      <w:r w:rsidRPr="006F457A">
        <w:t>maslahah</w:t>
      </w:r>
      <w:proofErr w:type="spellEnd"/>
      <w:r w:rsidRPr="006F457A">
        <w:t xml:space="preserve">, </w:t>
      </w:r>
      <w:proofErr w:type="spellStart"/>
      <w:r w:rsidRPr="006F457A">
        <w:t>istihsan</w:t>
      </w:r>
      <w:proofErr w:type="spellEnd"/>
      <w:r w:rsidRPr="006F457A">
        <w:t xml:space="preserve"> with ijma, and </w:t>
      </w:r>
      <w:proofErr w:type="spellStart"/>
      <w:r w:rsidRPr="006F457A">
        <w:t>istihsan</w:t>
      </w:r>
      <w:proofErr w:type="spellEnd"/>
      <w:r w:rsidRPr="006F457A">
        <w:t xml:space="preserve"> with the rules of </w:t>
      </w:r>
      <w:proofErr w:type="spellStart"/>
      <w:r w:rsidRPr="006F457A">
        <w:t>raf</w:t>
      </w:r>
      <w:r>
        <w:t>’</w:t>
      </w:r>
      <w:r w:rsidRPr="006F457A">
        <w:t>al-Harj</w:t>
      </w:r>
      <w:proofErr w:type="spellEnd"/>
      <w:r w:rsidRPr="006F457A">
        <w:t xml:space="preserve"> </w:t>
      </w:r>
      <w:proofErr w:type="spellStart"/>
      <w:r w:rsidRPr="006F457A">
        <w:t>wa</w:t>
      </w:r>
      <w:proofErr w:type="spellEnd"/>
      <w:r w:rsidRPr="006F457A">
        <w:t xml:space="preserve"> al-</w:t>
      </w:r>
      <w:proofErr w:type="spellStart"/>
      <w:r w:rsidRPr="006F457A">
        <w:t>Masyaqqah</w:t>
      </w:r>
      <w:proofErr w:type="spellEnd"/>
      <w:r w:rsidRPr="006F457A">
        <w:t xml:space="preserve"> (eliminating difficulties and hardships). ).</w:t>
      </w:r>
    </w:p>
    <w:p w14:paraId="13EEF5D7" w14:textId="05764830" w:rsidR="00F47B7F" w:rsidRDefault="006F457A" w:rsidP="00D8332D">
      <w:pPr>
        <w:spacing w:line="360" w:lineRule="auto"/>
        <w:ind w:firstLine="709"/>
        <w:jc w:val="both"/>
      </w:pPr>
      <w:r w:rsidRPr="006F457A">
        <w:t>The ulama allow waqf for movable objects such as cars and similar things, even though according to the regulations waqf is for fixed objects such as land and buildings.</w:t>
      </w:r>
      <w:r w:rsidR="005B6B9F">
        <w:rPr>
          <w:rStyle w:val="FootnoteReference"/>
        </w:rPr>
        <w:footnoteReference w:id="24"/>
      </w:r>
      <w:r w:rsidR="002B05C6">
        <w:t xml:space="preserve"> </w:t>
      </w:r>
      <w:r w:rsidRPr="006F457A">
        <w:t xml:space="preserve">This permission is related because it has become </w:t>
      </w:r>
      <w:r w:rsidRPr="006F457A">
        <w:rPr>
          <w:i/>
          <w:iCs/>
        </w:rPr>
        <w:t>‘</w:t>
      </w:r>
      <w:proofErr w:type="spellStart"/>
      <w:r w:rsidRPr="006F457A">
        <w:rPr>
          <w:i/>
          <w:iCs/>
        </w:rPr>
        <w:t>urf</w:t>
      </w:r>
      <w:proofErr w:type="spellEnd"/>
      <w:r w:rsidRPr="006F457A">
        <w:t xml:space="preserve"> for the community to donate its movable objects. Based on the category of </w:t>
      </w:r>
      <w:proofErr w:type="spellStart"/>
      <w:r w:rsidRPr="006F457A">
        <w:t>istihsan</w:t>
      </w:r>
      <w:proofErr w:type="spellEnd"/>
      <w:r w:rsidRPr="006F457A">
        <w:t xml:space="preserve"> with </w:t>
      </w:r>
      <w:r w:rsidRPr="006F457A">
        <w:rPr>
          <w:i/>
          <w:iCs/>
        </w:rPr>
        <w:t>‘</w:t>
      </w:r>
      <w:proofErr w:type="spellStart"/>
      <w:r w:rsidRPr="006F457A">
        <w:rPr>
          <w:i/>
          <w:iCs/>
        </w:rPr>
        <w:t>urf</w:t>
      </w:r>
      <w:proofErr w:type="spellEnd"/>
      <w:r w:rsidRPr="006F457A">
        <w:t xml:space="preserve">, </w:t>
      </w:r>
      <w:proofErr w:type="spellStart"/>
      <w:r w:rsidRPr="006F457A">
        <w:t>Malikiyah</w:t>
      </w:r>
      <w:proofErr w:type="spellEnd"/>
      <w:r w:rsidRPr="006F457A">
        <w:t xml:space="preserve"> ulama allow waqf to movable objects even though there is a time limit.</w:t>
      </w:r>
    </w:p>
    <w:p w14:paraId="515A0109" w14:textId="2BD243C9" w:rsidR="00855E25" w:rsidRPr="00E50A51" w:rsidRDefault="00E50A51" w:rsidP="009712C6">
      <w:pPr>
        <w:spacing w:line="360" w:lineRule="auto"/>
        <w:ind w:firstLine="709"/>
        <w:jc w:val="both"/>
      </w:pPr>
      <w:proofErr w:type="spellStart"/>
      <w:r w:rsidRPr="00E50A51">
        <w:rPr>
          <w:i/>
          <w:iCs/>
        </w:rPr>
        <w:t>Raf’al-Harj</w:t>
      </w:r>
      <w:proofErr w:type="spellEnd"/>
      <w:r w:rsidRPr="00E50A51">
        <w:rPr>
          <w:i/>
          <w:iCs/>
        </w:rPr>
        <w:t xml:space="preserve"> </w:t>
      </w:r>
      <w:proofErr w:type="spellStart"/>
      <w:r w:rsidRPr="00E50A51">
        <w:rPr>
          <w:i/>
          <w:iCs/>
        </w:rPr>
        <w:t>wa</w:t>
      </w:r>
      <w:proofErr w:type="spellEnd"/>
      <w:r w:rsidRPr="00E50A51">
        <w:rPr>
          <w:i/>
          <w:iCs/>
        </w:rPr>
        <w:t xml:space="preserve"> al-</w:t>
      </w:r>
      <w:proofErr w:type="spellStart"/>
      <w:r w:rsidRPr="00E50A51">
        <w:rPr>
          <w:i/>
          <w:iCs/>
        </w:rPr>
        <w:t>Masyaqqah</w:t>
      </w:r>
      <w:proofErr w:type="spellEnd"/>
      <w:r w:rsidRPr="00E50A51">
        <w:t xml:space="preserve"> in eliminating difficulties and hardships includes rules that are </w:t>
      </w:r>
      <w:proofErr w:type="spellStart"/>
      <w:r w:rsidRPr="00E50A51">
        <w:rPr>
          <w:i/>
          <w:iCs/>
        </w:rPr>
        <w:t>qath’i</w:t>
      </w:r>
      <w:proofErr w:type="spellEnd"/>
      <w:r w:rsidRPr="00E50A51">
        <w:t xml:space="preserve"> in nature. One thing that often happens in society is the use of public toilets without regulations regarding the rental price, the time of use, and the amount of water used. According to </w:t>
      </w:r>
      <w:proofErr w:type="spellStart"/>
      <w:r w:rsidRPr="00E50A51">
        <w:rPr>
          <w:i/>
          <w:iCs/>
        </w:rPr>
        <w:t>ashal</w:t>
      </w:r>
      <w:proofErr w:type="spellEnd"/>
      <w:r w:rsidRPr="00E50A51">
        <w:t xml:space="preserve"> or general rules, this example is prohibited because it involves </w:t>
      </w:r>
      <w:proofErr w:type="spellStart"/>
      <w:r w:rsidRPr="00E50A51">
        <w:rPr>
          <w:i/>
          <w:iCs/>
        </w:rPr>
        <w:t>gharar</w:t>
      </w:r>
      <w:proofErr w:type="spellEnd"/>
      <w:r w:rsidRPr="00E50A51">
        <w:t xml:space="preserve">. However, based on </w:t>
      </w:r>
      <w:proofErr w:type="spellStart"/>
      <w:r w:rsidRPr="00E50A51">
        <w:rPr>
          <w:i/>
          <w:iCs/>
        </w:rPr>
        <w:t>istihsan</w:t>
      </w:r>
      <w:proofErr w:type="spellEnd"/>
      <w:r w:rsidRPr="00E50A51">
        <w:t>, this rental is permitted with the consideration of eliminating difficulties, because the use of public bathrooms has become a communal necessity that is difficult to avoid.</w:t>
      </w:r>
      <w:r w:rsidR="00855E25" w:rsidRPr="00E50A51">
        <w:t xml:space="preserve"> </w:t>
      </w:r>
    </w:p>
    <w:p w14:paraId="04E69E80" w14:textId="67C8FD7C" w:rsidR="00A0559E" w:rsidRDefault="004834F3" w:rsidP="009712C6">
      <w:pPr>
        <w:spacing w:line="360" w:lineRule="auto"/>
        <w:ind w:firstLine="709"/>
        <w:jc w:val="both"/>
      </w:pPr>
      <w:r w:rsidRPr="004834F3">
        <w:t>Abandoning general arguments because of problems such as the problem of dependents or guarantees for cooperating workers.</w:t>
      </w:r>
      <w:r w:rsidR="00E50A51" w:rsidRPr="00E50A51">
        <w:t xml:space="preserve"> Based on the rules of </w:t>
      </w:r>
      <w:r w:rsidR="00E50A51" w:rsidRPr="00E50A51">
        <w:rPr>
          <w:i/>
          <w:iCs/>
        </w:rPr>
        <w:t>Ashal</w:t>
      </w:r>
      <w:r w:rsidR="00E50A51" w:rsidRPr="00E50A51">
        <w:t xml:space="preserve">, a worker who enters into a cooperation agreement is a trustworthy person, </w:t>
      </w:r>
      <w:r w:rsidR="00E50A51">
        <w:t xml:space="preserve">thus </w:t>
      </w:r>
      <w:r w:rsidR="00E50A51" w:rsidRPr="00E50A51">
        <w:t xml:space="preserve">there is no need for guarantees unless it appears that one of them has not kept his promise. Imam Malik with </w:t>
      </w:r>
      <w:proofErr w:type="spellStart"/>
      <w:r w:rsidR="00E50A51" w:rsidRPr="00E50A51">
        <w:rPr>
          <w:i/>
          <w:iCs/>
        </w:rPr>
        <w:t>Istihsan</w:t>
      </w:r>
      <w:proofErr w:type="spellEnd"/>
      <w:r w:rsidR="00E50A51" w:rsidRPr="00E50A51">
        <w:t xml:space="preserve"> </w:t>
      </w:r>
      <w:r w:rsidR="00E45A1A">
        <w:t>believed</w:t>
      </w:r>
      <w:r w:rsidR="00E50A51" w:rsidRPr="00E50A51">
        <w:t xml:space="preserve"> </w:t>
      </w:r>
      <w:r w:rsidR="00E45A1A">
        <w:t xml:space="preserve">that </w:t>
      </w:r>
      <w:r w:rsidR="00E50A51" w:rsidRPr="00E50A51">
        <w:t xml:space="preserve">one who cooperates with other </w:t>
      </w:r>
      <w:r w:rsidR="00E50A51" w:rsidRPr="00E50A51">
        <w:lastRenderedPageBreak/>
        <w:t xml:space="preserve">people is still burdened with collateral coverage by abandoning the basic rules because there is a </w:t>
      </w:r>
      <w:proofErr w:type="spellStart"/>
      <w:r w:rsidR="00E45A1A">
        <w:t>benedit</w:t>
      </w:r>
      <w:proofErr w:type="spellEnd"/>
      <w:r w:rsidR="00E50A51" w:rsidRPr="00E50A51">
        <w:t xml:space="preserve"> to be achieved.</w:t>
      </w:r>
    </w:p>
    <w:p w14:paraId="1E5B3B04" w14:textId="6EA99077" w:rsidR="00D92368" w:rsidRDefault="004834F3" w:rsidP="009712C6">
      <w:pPr>
        <w:spacing w:line="360" w:lineRule="auto"/>
        <w:ind w:firstLine="709"/>
        <w:jc w:val="both"/>
      </w:pPr>
      <w:proofErr w:type="spellStart"/>
      <w:r w:rsidRPr="004834F3">
        <w:t>Istihsan</w:t>
      </w:r>
      <w:proofErr w:type="spellEnd"/>
      <w:r w:rsidRPr="004834F3">
        <w:t xml:space="preserve"> with </w:t>
      </w:r>
      <w:r w:rsidRPr="004834F3">
        <w:rPr>
          <w:i/>
          <w:iCs/>
        </w:rPr>
        <w:t>ijma’,</w:t>
      </w:r>
      <w:r w:rsidRPr="004834F3">
        <w:t xml:space="preserve"> such as abandoning general rules or arguments based on </w:t>
      </w:r>
      <w:r w:rsidRPr="004834F3">
        <w:rPr>
          <w:i/>
          <w:iCs/>
        </w:rPr>
        <w:t>ijma’</w:t>
      </w:r>
      <w:r w:rsidRPr="004834F3">
        <w:t>.</w:t>
      </w:r>
      <w:r w:rsidR="00FA775C">
        <w:rPr>
          <w:rStyle w:val="FootnoteReference"/>
        </w:rPr>
        <w:footnoteReference w:id="25"/>
      </w:r>
      <w:r w:rsidR="00E81170">
        <w:t xml:space="preserve"> </w:t>
      </w:r>
      <w:r w:rsidRPr="004834F3">
        <w:t>Among the examples is the obligation of someone who cuts off the tail of another person</w:t>
      </w:r>
      <w:r>
        <w:t>’</w:t>
      </w:r>
      <w:r w:rsidRPr="004834F3">
        <w:t>s donkey. According to the general rule, one who cuts off the tail of another person</w:t>
      </w:r>
      <w:r>
        <w:t>’</w:t>
      </w:r>
      <w:r w:rsidRPr="004834F3">
        <w:t xml:space="preserve">s donkey must pay according to what he has done. However, based on </w:t>
      </w:r>
      <w:r w:rsidRPr="004834F3">
        <w:rPr>
          <w:i/>
          <w:iCs/>
        </w:rPr>
        <w:t>ijma’</w:t>
      </w:r>
      <w:r w:rsidRPr="004834F3">
        <w:t>, someone who damages a part of another person</w:t>
      </w:r>
      <w:r>
        <w:t>’</w:t>
      </w:r>
      <w:r w:rsidRPr="004834F3">
        <w:t xml:space="preserve">s donkey must replace the entire thing, not just the part of the donkey that was damaged. Imam Malik made </w:t>
      </w:r>
      <w:r w:rsidRPr="004834F3">
        <w:rPr>
          <w:i/>
          <w:iCs/>
        </w:rPr>
        <w:t>ijma’</w:t>
      </w:r>
      <w:r w:rsidRPr="004834F3">
        <w:t xml:space="preserve"> the basis for </w:t>
      </w:r>
      <w:proofErr w:type="spellStart"/>
      <w:r w:rsidRPr="004834F3">
        <w:t>istihsan</w:t>
      </w:r>
      <w:proofErr w:type="spellEnd"/>
      <w:r w:rsidRPr="004834F3">
        <w:t xml:space="preserve"> in this example with the obligation for those who cut off the tail of another person</w:t>
      </w:r>
      <w:r>
        <w:t>’</w:t>
      </w:r>
      <w:r w:rsidRPr="004834F3">
        <w:t>s donkey to pay the price of the donkey.</w:t>
      </w:r>
    </w:p>
    <w:p w14:paraId="2CF3C9DE" w14:textId="2C3B69D4" w:rsidR="00504AFD" w:rsidRDefault="00670194" w:rsidP="009712C6">
      <w:pPr>
        <w:spacing w:line="360" w:lineRule="auto"/>
        <w:ind w:firstLine="709"/>
        <w:jc w:val="both"/>
      </w:pPr>
      <w:r w:rsidRPr="00670194">
        <w:t>Indirectly, some people also practice it. When someone else</w:t>
      </w:r>
      <w:r>
        <w:t>’</w:t>
      </w:r>
      <w:r w:rsidRPr="00670194">
        <w:t>s property or object is damaged by someone else, he does</w:t>
      </w:r>
      <w:r>
        <w:t xml:space="preserve"> not</w:t>
      </w:r>
      <w:r w:rsidRPr="00670194">
        <w:t xml:space="preserve"> want just the damaged part to be replaced, but the person whose item or object was damaged asks for a complete replacement or even a new one, while giving the damaged part to the person who </w:t>
      </w:r>
      <w:r>
        <w:t>broke</w:t>
      </w:r>
      <w:r w:rsidRPr="00670194">
        <w:t xml:space="preserve"> it. The original rule is that the replacement is only for the damaged part, but considering that the damage means that the item or object is not functioning properly, it is a departure from the original rule with a full replacement.</w:t>
      </w:r>
    </w:p>
    <w:p w14:paraId="1F941315" w14:textId="20AFBF3B" w:rsidR="0001030F" w:rsidRDefault="00670194" w:rsidP="00F47B7F">
      <w:pPr>
        <w:spacing w:line="360" w:lineRule="auto"/>
        <w:ind w:firstLine="720"/>
        <w:jc w:val="both"/>
      </w:pPr>
      <w:r w:rsidRPr="00670194">
        <w:t xml:space="preserve">Based on the above examples, </w:t>
      </w:r>
      <w:proofErr w:type="spellStart"/>
      <w:r w:rsidRPr="00670194">
        <w:t>Malikiyah</w:t>
      </w:r>
      <w:proofErr w:type="spellEnd"/>
      <w:r w:rsidRPr="00670194">
        <w:t xml:space="preserve"> ulama use </w:t>
      </w:r>
      <w:proofErr w:type="spellStart"/>
      <w:r w:rsidRPr="00670194">
        <w:t>istihsan</w:t>
      </w:r>
      <w:proofErr w:type="spellEnd"/>
      <w:r w:rsidRPr="00670194">
        <w:t xml:space="preserve"> with Islamic arguments and leave other Islamic arguments. Moving from the requirements of one Sharia proposition to another Sharia proposition such as </w:t>
      </w:r>
      <w:r w:rsidRPr="00670194">
        <w:rPr>
          <w:i/>
          <w:iCs/>
        </w:rPr>
        <w:t>ijma</w:t>
      </w:r>
      <w:r>
        <w:rPr>
          <w:i/>
          <w:iCs/>
        </w:rPr>
        <w:t>’</w:t>
      </w:r>
      <w:r w:rsidRPr="00670194">
        <w:rPr>
          <w:i/>
          <w:iCs/>
        </w:rPr>
        <w:t xml:space="preserve">, </w:t>
      </w:r>
      <w:proofErr w:type="spellStart"/>
      <w:r w:rsidRPr="00670194">
        <w:rPr>
          <w:i/>
          <w:iCs/>
        </w:rPr>
        <w:t>maslahah</w:t>
      </w:r>
      <w:proofErr w:type="spellEnd"/>
      <w:r w:rsidRPr="00670194">
        <w:rPr>
          <w:i/>
          <w:iCs/>
        </w:rPr>
        <w:t xml:space="preserve">, </w:t>
      </w:r>
      <w:r>
        <w:rPr>
          <w:i/>
          <w:iCs/>
        </w:rPr>
        <w:t>‘</w:t>
      </w:r>
      <w:proofErr w:type="spellStart"/>
      <w:r w:rsidRPr="00670194">
        <w:rPr>
          <w:i/>
          <w:iCs/>
        </w:rPr>
        <w:t>urf</w:t>
      </w:r>
      <w:proofErr w:type="spellEnd"/>
      <w:r w:rsidRPr="00670194">
        <w:rPr>
          <w:i/>
          <w:iCs/>
        </w:rPr>
        <w:t>,</w:t>
      </w:r>
      <w:r w:rsidRPr="00670194">
        <w:t xml:space="preserve"> and eliminating difficulties. The author also agrees to use </w:t>
      </w:r>
      <w:proofErr w:type="spellStart"/>
      <w:r w:rsidRPr="00670194">
        <w:rPr>
          <w:i/>
          <w:iCs/>
        </w:rPr>
        <w:t>istihsan</w:t>
      </w:r>
      <w:proofErr w:type="spellEnd"/>
      <w:r w:rsidRPr="00670194">
        <w:t xml:space="preserve"> when </w:t>
      </w:r>
      <w:r>
        <w:t>it</w:t>
      </w:r>
      <w:r w:rsidRPr="00670194">
        <w:t xml:space="preserve"> is understood as moving from one argument to another stronger argument or moving from the provisions of one general argument to another more specific argument.</w:t>
      </w:r>
    </w:p>
    <w:p w14:paraId="0EACC068" w14:textId="2EC7C323" w:rsidR="00990182" w:rsidRDefault="0001030F" w:rsidP="00FB4838">
      <w:pPr>
        <w:spacing w:line="360" w:lineRule="auto"/>
        <w:ind w:firstLine="709"/>
        <w:jc w:val="both"/>
      </w:pPr>
      <w:r>
        <w:t xml:space="preserve"> </w:t>
      </w:r>
      <w:r w:rsidR="00670194" w:rsidRPr="00670194">
        <w:t>Al-</w:t>
      </w:r>
      <w:proofErr w:type="spellStart"/>
      <w:r w:rsidR="00670194" w:rsidRPr="00670194">
        <w:t>Bazdawi</w:t>
      </w:r>
      <w:proofErr w:type="spellEnd"/>
      <w:r w:rsidR="00670194" w:rsidRPr="00670194">
        <w:t xml:space="preserve">, a prominent Hanafi cleric, stated that </w:t>
      </w:r>
      <w:proofErr w:type="spellStart"/>
      <w:r w:rsidR="00670194" w:rsidRPr="00670194">
        <w:rPr>
          <w:i/>
          <w:iCs/>
        </w:rPr>
        <w:t>istihsan</w:t>
      </w:r>
      <w:proofErr w:type="spellEnd"/>
      <w:r w:rsidR="00670194" w:rsidRPr="00670194">
        <w:t xml:space="preserve"> is a form of </w:t>
      </w:r>
      <w:r w:rsidR="00670194" w:rsidRPr="00670194">
        <w:rPr>
          <w:i/>
          <w:iCs/>
        </w:rPr>
        <w:t>qiyas</w:t>
      </w:r>
      <w:r w:rsidR="00670194" w:rsidRPr="00670194">
        <w:t xml:space="preserve">, one that is weak in influence but strong in evidence is called </w:t>
      </w:r>
      <w:proofErr w:type="spellStart"/>
      <w:r w:rsidR="00670194" w:rsidRPr="00670194">
        <w:rPr>
          <w:i/>
          <w:iCs/>
        </w:rPr>
        <w:t>jaliy</w:t>
      </w:r>
      <w:proofErr w:type="spellEnd"/>
      <w:r w:rsidR="00670194" w:rsidRPr="00670194">
        <w:t xml:space="preserve">, and the other that is strong in influence but weak in evidence is called </w:t>
      </w:r>
      <w:proofErr w:type="spellStart"/>
      <w:r w:rsidR="00670194" w:rsidRPr="00670194">
        <w:rPr>
          <w:i/>
          <w:iCs/>
        </w:rPr>
        <w:t>khafiy</w:t>
      </w:r>
      <w:proofErr w:type="spellEnd"/>
      <w:r w:rsidR="00670194" w:rsidRPr="00670194">
        <w:t>.</w:t>
      </w:r>
      <w:r w:rsidR="002C3475">
        <w:rPr>
          <w:rStyle w:val="FootnoteReference"/>
        </w:rPr>
        <w:footnoteReference w:id="26"/>
      </w:r>
      <w:r w:rsidR="00990182">
        <w:t xml:space="preserve"> </w:t>
      </w:r>
      <w:r w:rsidR="00670194" w:rsidRPr="00670194">
        <w:t xml:space="preserve">The first is </w:t>
      </w:r>
      <w:r w:rsidR="00670194" w:rsidRPr="00670194">
        <w:lastRenderedPageBreak/>
        <w:t xml:space="preserve">called </w:t>
      </w:r>
      <w:r w:rsidR="00670194" w:rsidRPr="00670194">
        <w:rPr>
          <w:i/>
          <w:iCs/>
        </w:rPr>
        <w:t>qiyas</w:t>
      </w:r>
      <w:r w:rsidR="00670194" w:rsidRPr="00670194">
        <w:t xml:space="preserve">, and the second is called </w:t>
      </w:r>
      <w:proofErr w:type="spellStart"/>
      <w:r w:rsidR="00670194" w:rsidRPr="00670194">
        <w:rPr>
          <w:i/>
          <w:iCs/>
        </w:rPr>
        <w:t>istihsan</w:t>
      </w:r>
      <w:proofErr w:type="spellEnd"/>
      <w:r w:rsidR="00670194" w:rsidRPr="00670194">
        <w:t xml:space="preserve">, in the sense that </w:t>
      </w:r>
      <w:proofErr w:type="spellStart"/>
      <w:r w:rsidR="00670194" w:rsidRPr="00670194">
        <w:rPr>
          <w:i/>
          <w:iCs/>
        </w:rPr>
        <w:t>istihsan</w:t>
      </w:r>
      <w:proofErr w:type="spellEnd"/>
      <w:r w:rsidR="00670194" w:rsidRPr="00670194">
        <w:t xml:space="preserve"> is the strengthening of </w:t>
      </w:r>
      <w:r w:rsidR="00670194" w:rsidRPr="00670194">
        <w:rPr>
          <w:i/>
          <w:iCs/>
        </w:rPr>
        <w:t xml:space="preserve">qiyas </w:t>
      </w:r>
      <w:proofErr w:type="spellStart"/>
      <w:r w:rsidR="00670194" w:rsidRPr="00670194">
        <w:rPr>
          <w:i/>
          <w:iCs/>
        </w:rPr>
        <w:t>khafiy</w:t>
      </w:r>
      <w:proofErr w:type="spellEnd"/>
      <w:r w:rsidR="00670194" w:rsidRPr="00670194">
        <w:t xml:space="preserve"> against </w:t>
      </w:r>
      <w:r w:rsidR="00670194" w:rsidRPr="00670194">
        <w:rPr>
          <w:i/>
          <w:iCs/>
        </w:rPr>
        <w:t xml:space="preserve">qiyas </w:t>
      </w:r>
      <w:proofErr w:type="spellStart"/>
      <w:r w:rsidR="00670194" w:rsidRPr="00670194">
        <w:rPr>
          <w:i/>
          <w:iCs/>
        </w:rPr>
        <w:t>jaliy</w:t>
      </w:r>
      <w:proofErr w:type="spellEnd"/>
      <w:r w:rsidR="00670194" w:rsidRPr="00670194">
        <w:t xml:space="preserve">. The ulama who most strongly rejects </w:t>
      </w:r>
      <w:proofErr w:type="spellStart"/>
      <w:r w:rsidR="00670194" w:rsidRPr="00670194">
        <w:rPr>
          <w:i/>
          <w:iCs/>
        </w:rPr>
        <w:t>istihsan</w:t>
      </w:r>
      <w:proofErr w:type="spellEnd"/>
      <w:r w:rsidR="00670194" w:rsidRPr="00670194">
        <w:t xml:space="preserve"> in this second sense is Imam </w:t>
      </w:r>
      <w:proofErr w:type="spellStart"/>
      <w:r w:rsidR="00670194" w:rsidRPr="00670194">
        <w:t>Syafi</w:t>
      </w:r>
      <w:r w:rsidR="00670194">
        <w:t>’</w:t>
      </w:r>
      <w:r w:rsidR="00670194" w:rsidRPr="00670194">
        <w:t>i</w:t>
      </w:r>
      <w:proofErr w:type="spellEnd"/>
      <w:r w:rsidR="00670194" w:rsidRPr="00670194">
        <w:t xml:space="preserve">, who said that anyone who practices </w:t>
      </w:r>
      <w:proofErr w:type="spellStart"/>
      <w:r w:rsidR="00670194" w:rsidRPr="00670194">
        <w:rPr>
          <w:i/>
          <w:iCs/>
        </w:rPr>
        <w:t>istihsan</w:t>
      </w:r>
      <w:proofErr w:type="spellEnd"/>
      <w:r w:rsidR="00670194" w:rsidRPr="00670194">
        <w:t xml:space="preserve"> is the same as making up the Sharia.</w:t>
      </w:r>
      <w:r w:rsidR="00DD6A93">
        <w:rPr>
          <w:rStyle w:val="FootnoteReference"/>
        </w:rPr>
        <w:footnoteReference w:id="27"/>
      </w:r>
    </w:p>
    <w:p w14:paraId="145E1CF7" w14:textId="683E5EA7" w:rsidR="0031046C" w:rsidRDefault="00670194" w:rsidP="00FB4838">
      <w:pPr>
        <w:spacing w:line="360" w:lineRule="auto"/>
        <w:ind w:firstLine="709"/>
        <w:jc w:val="both"/>
      </w:pPr>
      <w:r w:rsidRPr="00670194">
        <w:t xml:space="preserve">No definition of </w:t>
      </w:r>
      <w:proofErr w:type="spellStart"/>
      <w:r w:rsidRPr="00670194">
        <w:t>istihsan</w:t>
      </w:r>
      <w:proofErr w:type="spellEnd"/>
      <w:r w:rsidRPr="00670194">
        <w:t xml:space="preserve"> could be found among the </w:t>
      </w:r>
      <w:proofErr w:type="spellStart"/>
      <w:r w:rsidRPr="00670194">
        <w:rPr>
          <w:i/>
          <w:iCs/>
        </w:rPr>
        <w:t>Shafi’iyah</w:t>
      </w:r>
      <w:proofErr w:type="spellEnd"/>
      <w:r w:rsidRPr="00670194">
        <w:t xml:space="preserve"> scholars because from the beginning they did not accept </w:t>
      </w:r>
      <w:proofErr w:type="spellStart"/>
      <w:r w:rsidRPr="00AA2F73">
        <w:rPr>
          <w:i/>
          <w:iCs/>
        </w:rPr>
        <w:t>istihsan</w:t>
      </w:r>
      <w:proofErr w:type="spellEnd"/>
      <w:r w:rsidRPr="00670194">
        <w:t xml:space="preserve"> as one of the arguments for establishing sharia. In this case, Imam </w:t>
      </w:r>
      <w:proofErr w:type="spellStart"/>
      <w:r w:rsidRPr="00670194">
        <w:t>Syafi</w:t>
      </w:r>
      <w:r w:rsidR="00AA2F73">
        <w:t>’</w:t>
      </w:r>
      <w:r w:rsidRPr="00670194">
        <w:t>i</w:t>
      </w:r>
      <w:proofErr w:type="spellEnd"/>
      <w:r w:rsidRPr="00670194">
        <w:t xml:space="preserve"> stated that whoever uses </w:t>
      </w:r>
      <w:proofErr w:type="spellStart"/>
      <w:r w:rsidRPr="00670194">
        <w:t>istihsan</w:t>
      </w:r>
      <w:proofErr w:type="spellEnd"/>
      <w:r w:rsidRPr="00670194">
        <w:t xml:space="preserve"> has actually </w:t>
      </w:r>
      <w:r>
        <w:t>made up</w:t>
      </w:r>
      <w:r w:rsidRPr="00670194">
        <w:t xml:space="preserve"> the </w:t>
      </w:r>
      <w:r w:rsidR="00AA2F73">
        <w:t>Sharia</w:t>
      </w:r>
      <w:r w:rsidRPr="00670194">
        <w:t>.</w:t>
      </w:r>
      <w:r w:rsidR="0013317C">
        <w:rPr>
          <w:rStyle w:val="FootnoteReference"/>
        </w:rPr>
        <w:footnoteReference w:id="28"/>
      </w:r>
      <w:r w:rsidR="0013317C">
        <w:t xml:space="preserve"> </w:t>
      </w:r>
      <w:r w:rsidR="00AA2F73" w:rsidRPr="00AA2F73">
        <w:t xml:space="preserve">Imam al-Ghazali also did not use </w:t>
      </w:r>
      <w:proofErr w:type="spellStart"/>
      <w:r w:rsidR="00AA2F73" w:rsidRPr="00AA2F73">
        <w:rPr>
          <w:i/>
          <w:iCs/>
        </w:rPr>
        <w:t>istihsan</w:t>
      </w:r>
      <w:proofErr w:type="spellEnd"/>
      <w:r w:rsidR="00AA2F73" w:rsidRPr="00AA2F73">
        <w:rPr>
          <w:i/>
          <w:iCs/>
        </w:rPr>
        <w:t xml:space="preserve"> (</w:t>
      </w:r>
      <w:proofErr w:type="spellStart"/>
      <w:r w:rsidR="00AA2F73" w:rsidRPr="00AA2F73">
        <w:rPr>
          <w:i/>
          <w:iCs/>
        </w:rPr>
        <w:t>ibthal</w:t>
      </w:r>
      <w:proofErr w:type="spellEnd"/>
      <w:r w:rsidR="00AA2F73" w:rsidRPr="00AA2F73">
        <w:rPr>
          <w:i/>
          <w:iCs/>
        </w:rPr>
        <w:t xml:space="preserve"> al-</w:t>
      </w:r>
      <w:proofErr w:type="spellStart"/>
      <w:r w:rsidR="00AA2F73" w:rsidRPr="00AA2F73">
        <w:rPr>
          <w:i/>
          <w:iCs/>
        </w:rPr>
        <w:t>istihsan</w:t>
      </w:r>
      <w:proofErr w:type="spellEnd"/>
      <w:r w:rsidR="00AA2F73" w:rsidRPr="00AA2F73">
        <w:rPr>
          <w:i/>
          <w:iCs/>
        </w:rPr>
        <w:t>)</w:t>
      </w:r>
      <w:r w:rsidR="00AA2F73" w:rsidRPr="00AA2F73">
        <w:t xml:space="preserve"> because </w:t>
      </w:r>
      <w:r w:rsidR="00AA2F73">
        <w:t>Sharia</w:t>
      </w:r>
      <w:r w:rsidR="00AA2F73" w:rsidRPr="00AA2F73">
        <w:t xml:space="preserve"> is not made for servants other than those justified by miracles. The use of the term </w:t>
      </w:r>
      <w:proofErr w:type="spellStart"/>
      <w:r w:rsidR="00AA2F73" w:rsidRPr="00AA2F73">
        <w:rPr>
          <w:i/>
          <w:iCs/>
        </w:rPr>
        <w:t>istihsan</w:t>
      </w:r>
      <w:proofErr w:type="spellEnd"/>
      <w:r w:rsidR="00AA2F73" w:rsidRPr="00AA2F73">
        <w:t xml:space="preserve"> tends to lead to making up one</w:t>
      </w:r>
      <w:r w:rsidR="00AA2F73">
        <w:t>’</w:t>
      </w:r>
      <w:r w:rsidR="00AA2F73" w:rsidRPr="00AA2F73">
        <w:t xml:space="preserve">s own </w:t>
      </w:r>
      <w:r w:rsidR="00AA2F73">
        <w:t>Sharia</w:t>
      </w:r>
      <w:r w:rsidR="00AA2F73" w:rsidRPr="00AA2F73">
        <w:t>.</w:t>
      </w:r>
      <w:r w:rsidR="00604C8A">
        <w:rPr>
          <w:rStyle w:val="FootnoteReference"/>
        </w:rPr>
        <w:footnoteReference w:id="29"/>
      </w:r>
    </w:p>
    <w:p w14:paraId="7989F8A2" w14:textId="5D251B7C" w:rsidR="00AC395F" w:rsidRDefault="00AA2F73" w:rsidP="00990182">
      <w:pPr>
        <w:spacing w:line="360" w:lineRule="auto"/>
        <w:ind w:firstLine="720"/>
        <w:jc w:val="both"/>
      </w:pPr>
      <w:r w:rsidRPr="00AA2F73">
        <w:t xml:space="preserve">Slightly different from the </w:t>
      </w:r>
      <w:proofErr w:type="spellStart"/>
      <w:r w:rsidRPr="00AA2F73">
        <w:t>Malikiyah</w:t>
      </w:r>
      <w:proofErr w:type="spellEnd"/>
      <w:r w:rsidRPr="00AA2F73">
        <w:t xml:space="preserve"> scholars above, Hanafi scholars who also use </w:t>
      </w:r>
      <w:proofErr w:type="spellStart"/>
      <w:r w:rsidRPr="00AA2F73">
        <w:rPr>
          <w:i/>
          <w:iCs/>
        </w:rPr>
        <w:t>istihsan</w:t>
      </w:r>
      <w:proofErr w:type="spellEnd"/>
      <w:r w:rsidRPr="00AA2F73">
        <w:t xml:space="preserve"> </w:t>
      </w:r>
      <w:r>
        <w:t xml:space="preserve">that is </w:t>
      </w:r>
      <w:r w:rsidRPr="00AA2F73">
        <w:t>divide</w:t>
      </w:r>
      <w:r>
        <w:t xml:space="preserve">d </w:t>
      </w:r>
      <w:r w:rsidRPr="00AA2F73">
        <w:t xml:space="preserve">into: </w:t>
      </w:r>
      <w:proofErr w:type="spellStart"/>
      <w:r w:rsidRPr="00AA2F73">
        <w:rPr>
          <w:i/>
          <w:iCs/>
        </w:rPr>
        <w:t>istihsan</w:t>
      </w:r>
      <w:proofErr w:type="spellEnd"/>
      <w:r w:rsidRPr="00AA2F73">
        <w:rPr>
          <w:i/>
          <w:iCs/>
        </w:rPr>
        <w:t xml:space="preserve"> bi al-Nash, </w:t>
      </w:r>
      <w:proofErr w:type="spellStart"/>
      <w:r w:rsidRPr="00AA2F73">
        <w:rPr>
          <w:i/>
          <w:iCs/>
        </w:rPr>
        <w:t>istihsan</w:t>
      </w:r>
      <w:proofErr w:type="spellEnd"/>
      <w:r w:rsidRPr="00AA2F73">
        <w:rPr>
          <w:i/>
          <w:iCs/>
        </w:rPr>
        <w:t xml:space="preserve"> bi al-Ijma</w:t>
      </w:r>
      <w:r>
        <w:rPr>
          <w:i/>
          <w:iCs/>
        </w:rPr>
        <w:t>’</w:t>
      </w:r>
      <w:r w:rsidRPr="00AA2F73">
        <w:rPr>
          <w:i/>
          <w:iCs/>
        </w:rPr>
        <w:t xml:space="preserve">, </w:t>
      </w:r>
      <w:proofErr w:type="spellStart"/>
      <w:r w:rsidRPr="00AA2F73">
        <w:rPr>
          <w:i/>
          <w:iCs/>
        </w:rPr>
        <w:t>istihsan</w:t>
      </w:r>
      <w:proofErr w:type="spellEnd"/>
      <w:r w:rsidRPr="00AA2F73">
        <w:rPr>
          <w:i/>
          <w:iCs/>
        </w:rPr>
        <w:t xml:space="preserve"> bi al-Qiyas al-</w:t>
      </w:r>
      <w:proofErr w:type="spellStart"/>
      <w:r w:rsidRPr="00AA2F73">
        <w:rPr>
          <w:i/>
          <w:iCs/>
        </w:rPr>
        <w:t>Khafi</w:t>
      </w:r>
      <w:proofErr w:type="spellEnd"/>
      <w:r w:rsidRPr="00AA2F73">
        <w:rPr>
          <w:i/>
          <w:iCs/>
        </w:rPr>
        <w:t xml:space="preserve">, and </w:t>
      </w:r>
      <w:proofErr w:type="spellStart"/>
      <w:r w:rsidRPr="00AA2F73">
        <w:rPr>
          <w:i/>
          <w:iCs/>
        </w:rPr>
        <w:t>istihsan</w:t>
      </w:r>
      <w:proofErr w:type="spellEnd"/>
      <w:r w:rsidRPr="00AA2F73">
        <w:rPr>
          <w:i/>
          <w:iCs/>
        </w:rPr>
        <w:t xml:space="preserve"> bi al-</w:t>
      </w:r>
      <w:proofErr w:type="spellStart"/>
      <w:r w:rsidRPr="00AA2F73">
        <w:rPr>
          <w:i/>
          <w:iCs/>
        </w:rPr>
        <w:t>Darurah</w:t>
      </w:r>
      <w:proofErr w:type="spellEnd"/>
      <w:r w:rsidRPr="00AA2F73">
        <w:rPr>
          <w:i/>
          <w:iCs/>
        </w:rPr>
        <w:t>.</w:t>
      </w:r>
      <w:r w:rsidRPr="00AA2F73">
        <w:t xml:space="preserve"> </w:t>
      </w:r>
      <w:proofErr w:type="spellStart"/>
      <w:r w:rsidRPr="00AA2F73">
        <w:rPr>
          <w:i/>
          <w:iCs/>
        </w:rPr>
        <w:t>Istihsan</w:t>
      </w:r>
      <w:proofErr w:type="spellEnd"/>
      <w:r w:rsidRPr="00AA2F73">
        <w:t xml:space="preserve"> with </w:t>
      </w:r>
      <w:r w:rsidRPr="00AA2F73">
        <w:rPr>
          <w:i/>
          <w:iCs/>
        </w:rPr>
        <w:t>Nash</w:t>
      </w:r>
      <w:r w:rsidRPr="00AA2F73">
        <w:t xml:space="preserve"> </w:t>
      </w:r>
      <w:r w:rsidRPr="00AA2F73">
        <w:rPr>
          <w:i/>
          <w:iCs/>
        </w:rPr>
        <w:t>(</w:t>
      </w:r>
      <w:proofErr w:type="spellStart"/>
      <w:r w:rsidRPr="00AA2F73">
        <w:rPr>
          <w:i/>
          <w:iCs/>
        </w:rPr>
        <w:t>istihsan</w:t>
      </w:r>
      <w:proofErr w:type="spellEnd"/>
      <w:r w:rsidRPr="00AA2F73">
        <w:rPr>
          <w:i/>
          <w:iCs/>
        </w:rPr>
        <w:t xml:space="preserve"> bi al Nash)</w:t>
      </w:r>
      <w:r w:rsidRPr="00AA2F73">
        <w:t xml:space="preserve"> is a mujtahid</w:t>
      </w:r>
      <w:r>
        <w:t>’</w:t>
      </w:r>
      <w:r w:rsidRPr="00AA2F73">
        <w:t xml:space="preserve">s </w:t>
      </w:r>
      <w:r>
        <w:t xml:space="preserve">that </w:t>
      </w:r>
      <w:r w:rsidRPr="00AA2F73">
        <w:t>turn</w:t>
      </w:r>
      <w:r>
        <w:t>s</w:t>
      </w:r>
      <w:r w:rsidRPr="00AA2F73">
        <w:t xml:space="preserve"> away from the law desired by general rules to the text that specifically requires it.</w:t>
      </w:r>
      <w:r w:rsidR="002C3475">
        <w:rPr>
          <w:rStyle w:val="FootnoteReference"/>
        </w:rPr>
        <w:footnoteReference w:id="30"/>
      </w:r>
      <w:r w:rsidR="00BE3507">
        <w:t xml:space="preserve"> </w:t>
      </w:r>
      <w:r w:rsidRPr="00AA2F73">
        <w:t xml:space="preserve">In principle, the general rules cover almost the same issues, but in practice there are special arguments that differ from the general arguments, such as the issue of drinking </w:t>
      </w:r>
      <w:r>
        <w:t xml:space="preserve">water </w:t>
      </w:r>
      <w:r w:rsidRPr="00AA2F73">
        <w:t xml:space="preserve">during the month of Ramadan. Based on the general rules, drinking </w:t>
      </w:r>
      <w:r>
        <w:t xml:space="preserve">water </w:t>
      </w:r>
      <w:r w:rsidRPr="00AA2F73">
        <w:t xml:space="preserve">in the month of Ramadan breaks the fast. For people who forget that they are fasting, drinking </w:t>
      </w:r>
      <w:r>
        <w:t>water</w:t>
      </w:r>
      <w:r w:rsidRPr="00AA2F73">
        <w:t xml:space="preserve"> will not break their fast because there is a special reason.</w:t>
      </w:r>
    </w:p>
    <w:p w14:paraId="500B5F37" w14:textId="1D956560" w:rsidR="002126E9" w:rsidRPr="00AA2F73" w:rsidRDefault="00AA2F73" w:rsidP="00990182">
      <w:pPr>
        <w:spacing w:line="360" w:lineRule="auto"/>
        <w:ind w:firstLine="720"/>
        <w:jc w:val="both"/>
      </w:pPr>
      <w:proofErr w:type="spellStart"/>
      <w:r w:rsidRPr="00AA2F73">
        <w:rPr>
          <w:i/>
          <w:iCs/>
        </w:rPr>
        <w:t>Istihsan</w:t>
      </w:r>
      <w:proofErr w:type="spellEnd"/>
      <w:r w:rsidRPr="00AA2F73">
        <w:rPr>
          <w:i/>
          <w:iCs/>
        </w:rPr>
        <w:t xml:space="preserve"> bi al-Ijma</w:t>
      </w:r>
      <w:r>
        <w:rPr>
          <w:i/>
          <w:iCs/>
        </w:rPr>
        <w:t>’</w:t>
      </w:r>
      <w:r w:rsidRPr="00AA2F73">
        <w:t xml:space="preserve"> means abandoning Qiyas and general rules because of Ijma</w:t>
      </w:r>
      <w:r>
        <w:t>’</w:t>
      </w:r>
      <w:r w:rsidRPr="00AA2F73">
        <w:t xml:space="preserve"> which establishes a different law from the previous law established by </w:t>
      </w:r>
      <w:r>
        <w:rPr>
          <w:i/>
          <w:iCs/>
        </w:rPr>
        <w:t>q</w:t>
      </w:r>
      <w:r w:rsidRPr="00AA2F73">
        <w:rPr>
          <w:i/>
          <w:iCs/>
        </w:rPr>
        <w:t>iyas</w:t>
      </w:r>
      <w:r w:rsidRPr="00AA2F73">
        <w:t xml:space="preserve">. </w:t>
      </w:r>
      <w:proofErr w:type="spellStart"/>
      <w:r w:rsidRPr="00AA2F73">
        <w:rPr>
          <w:i/>
          <w:iCs/>
        </w:rPr>
        <w:t>Isti</w:t>
      </w:r>
      <w:r w:rsidR="00880E73">
        <w:rPr>
          <w:i/>
          <w:iCs/>
        </w:rPr>
        <w:t>shna</w:t>
      </w:r>
      <w:proofErr w:type="spellEnd"/>
      <w:r w:rsidRPr="00AA2F73">
        <w:t xml:space="preserve"> </w:t>
      </w:r>
      <w:r w:rsidR="00880E73">
        <w:t xml:space="preserve">type of </w:t>
      </w:r>
      <w:r w:rsidRPr="00AA2F73">
        <w:t xml:space="preserve">buying and selling is void according to qiyas and general rules because buying and selling is done without any objects or goods, but based </w:t>
      </w:r>
      <w:r w:rsidRPr="00AA2F73">
        <w:lastRenderedPageBreak/>
        <w:t xml:space="preserve">on </w:t>
      </w:r>
      <w:proofErr w:type="spellStart"/>
      <w:r w:rsidRPr="00880E73">
        <w:rPr>
          <w:i/>
          <w:iCs/>
        </w:rPr>
        <w:t>istihsan</w:t>
      </w:r>
      <w:proofErr w:type="spellEnd"/>
      <w:r w:rsidRPr="00880E73">
        <w:rPr>
          <w:i/>
          <w:iCs/>
        </w:rPr>
        <w:t xml:space="preserve"> with ijma</w:t>
      </w:r>
      <w:r w:rsidR="00880E73" w:rsidRPr="00880E73">
        <w:rPr>
          <w:i/>
          <w:iCs/>
        </w:rPr>
        <w:t>’</w:t>
      </w:r>
      <w:r w:rsidRPr="00AA2F73">
        <w:t xml:space="preserve">, buying and selling like this is permissible and this is what the community follows. Finally, </w:t>
      </w:r>
      <w:proofErr w:type="spellStart"/>
      <w:r w:rsidRPr="00880E73">
        <w:rPr>
          <w:i/>
          <w:iCs/>
        </w:rPr>
        <w:t>istihsan</w:t>
      </w:r>
      <w:proofErr w:type="spellEnd"/>
      <w:r w:rsidRPr="00880E73">
        <w:rPr>
          <w:i/>
          <w:iCs/>
        </w:rPr>
        <w:t xml:space="preserve"> bi al-</w:t>
      </w:r>
      <w:proofErr w:type="spellStart"/>
      <w:r w:rsidRPr="00880E73">
        <w:rPr>
          <w:i/>
          <w:iCs/>
        </w:rPr>
        <w:t>Dharurah</w:t>
      </w:r>
      <w:proofErr w:type="spellEnd"/>
      <w:r w:rsidRPr="00AA2F73">
        <w:t xml:space="preserve"> gives an ancient example that can be indirectly applied to other examples that society faces. If a well is impure, the well water cannot be used for cooking or ablution for prayer, based on </w:t>
      </w:r>
      <w:r w:rsidRPr="00880E73">
        <w:rPr>
          <w:i/>
          <w:iCs/>
        </w:rPr>
        <w:t>qiyas</w:t>
      </w:r>
      <w:r w:rsidRPr="00AA2F73">
        <w:t xml:space="preserve">. If you pour several buckets of water into the well, the water you pour will indirectly mix with the unclean well water. According to some </w:t>
      </w:r>
      <w:proofErr w:type="spellStart"/>
      <w:r w:rsidRPr="00AA2F73">
        <w:t>Hanafiyah</w:t>
      </w:r>
      <w:proofErr w:type="spellEnd"/>
      <w:r w:rsidRPr="00AA2F73">
        <w:t xml:space="preserve"> scholars, by using </w:t>
      </w:r>
      <w:proofErr w:type="spellStart"/>
      <w:r w:rsidRPr="00880E73">
        <w:rPr>
          <w:i/>
          <w:iCs/>
        </w:rPr>
        <w:t>istihsan</w:t>
      </w:r>
      <w:proofErr w:type="spellEnd"/>
      <w:r w:rsidRPr="00880E73">
        <w:rPr>
          <w:i/>
          <w:iCs/>
        </w:rPr>
        <w:t xml:space="preserve"> bi al-</w:t>
      </w:r>
      <w:proofErr w:type="spellStart"/>
      <w:r w:rsidRPr="00880E73">
        <w:rPr>
          <w:i/>
          <w:iCs/>
        </w:rPr>
        <w:t>dharurah</w:t>
      </w:r>
      <w:proofErr w:type="spellEnd"/>
      <w:r w:rsidRPr="00AA2F73">
        <w:t>, the well can be cleaned and used as usual by pouring several buckets of clean water into the well.</w:t>
      </w:r>
      <w:r w:rsidR="00EB1531" w:rsidRPr="00AA2F73">
        <w:t xml:space="preserve"> </w:t>
      </w:r>
    </w:p>
    <w:p w14:paraId="456103B5" w14:textId="1B03E0BE" w:rsidR="00871800" w:rsidRPr="006302FC" w:rsidRDefault="00880E73" w:rsidP="00716FAA">
      <w:pPr>
        <w:pStyle w:val="ListParagraph"/>
        <w:numPr>
          <w:ilvl w:val="0"/>
          <w:numId w:val="24"/>
        </w:numPr>
        <w:spacing w:before="240" w:after="0" w:line="360" w:lineRule="auto"/>
        <w:ind w:left="284" w:hanging="284"/>
        <w:jc w:val="both"/>
        <w:rPr>
          <w:b/>
          <w:bCs/>
        </w:rPr>
      </w:pPr>
      <w:proofErr w:type="spellStart"/>
      <w:r w:rsidRPr="00880E73">
        <w:rPr>
          <w:b/>
          <w:bCs/>
          <w:lang w:val="en-US"/>
        </w:rPr>
        <w:t>Carotai</w:t>
      </w:r>
      <w:proofErr w:type="spellEnd"/>
      <w:r w:rsidRPr="00880E73">
        <w:rPr>
          <w:b/>
          <w:bCs/>
          <w:lang w:val="en-US"/>
        </w:rPr>
        <w:t xml:space="preserve"> Waqf as seen by </w:t>
      </w:r>
      <w:proofErr w:type="spellStart"/>
      <w:r w:rsidRPr="00880E73">
        <w:rPr>
          <w:b/>
          <w:bCs/>
          <w:lang w:val="en-US"/>
        </w:rPr>
        <w:t>Istihsan</w:t>
      </w:r>
      <w:proofErr w:type="spellEnd"/>
    </w:p>
    <w:p w14:paraId="1A2B74AC" w14:textId="2AB7560D" w:rsidR="00504C7C" w:rsidRPr="00594877" w:rsidRDefault="00880E73" w:rsidP="00716FAA">
      <w:pPr>
        <w:spacing w:line="360" w:lineRule="auto"/>
        <w:jc w:val="center"/>
      </w:pPr>
      <w:r w:rsidRPr="00880E73">
        <w:t xml:space="preserve">Table 2 Waqf and </w:t>
      </w:r>
      <w:proofErr w:type="spellStart"/>
      <w:r w:rsidRPr="00880E73">
        <w:t>Istihsan</w:t>
      </w:r>
      <w:proofErr w:type="spellEnd"/>
      <w:r w:rsidRPr="00880E73">
        <w:t xml:space="preserve"> in Community Culture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70"/>
        <w:gridCol w:w="3510"/>
      </w:tblGrid>
      <w:tr w:rsidR="00504C7C" w:rsidRPr="003933BE" w14:paraId="08B74BFD" w14:textId="77777777" w:rsidTr="00D57F19">
        <w:tc>
          <w:tcPr>
            <w:tcW w:w="540" w:type="dxa"/>
            <w:shd w:val="clear" w:color="auto" w:fill="auto"/>
          </w:tcPr>
          <w:p w14:paraId="1027ADB3" w14:textId="77777777" w:rsidR="00504C7C" w:rsidRPr="00BA1139" w:rsidRDefault="00504C7C" w:rsidP="00D57F19">
            <w:pPr>
              <w:spacing w:line="360" w:lineRule="auto"/>
              <w:jc w:val="both"/>
              <w:rPr>
                <w:rFonts w:eastAsia="Calibri"/>
                <w:b/>
                <w:bCs/>
                <w:sz w:val="22"/>
                <w:szCs w:val="22"/>
              </w:rPr>
            </w:pPr>
            <w:r w:rsidRPr="00BA1139">
              <w:rPr>
                <w:rFonts w:eastAsia="Calibri"/>
                <w:b/>
                <w:bCs/>
                <w:sz w:val="22"/>
                <w:szCs w:val="22"/>
              </w:rPr>
              <w:t>No</w:t>
            </w:r>
          </w:p>
        </w:tc>
        <w:tc>
          <w:tcPr>
            <w:tcW w:w="3870" w:type="dxa"/>
            <w:shd w:val="clear" w:color="auto" w:fill="auto"/>
          </w:tcPr>
          <w:p w14:paraId="5D3F5CE1" w14:textId="77F6C507" w:rsidR="00504C7C" w:rsidRPr="00BA1139" w:rsidRDefault="00880E73" w:rsidP="00D57F19">
            <w:pPr>
              <w:jc w:val="both"/>
              <w:rPr>
                <w:rFonts w:eastAsia="Calibri"/>
                <w:b/>
                <w:bCs/>
                <w:sz w:val="22"/>
                <w:szCs w:val="22"/>
              </w:rPr>
            </w:pPr>
            <w:r w:rsidRPr="00880E73">
              <w:rPr>
                <w:rFonts w:eastAsia="Calibri"/>
                <w:b/>
                <w:bCs/>
                <w:sz w:val="22"/>
                <w:szCs w:val="22"/>
              </w:rPr>
              <w:t>Waqf According to Ulama and Community Trends</w:t>
            </w:r>
          </w:p>
        </w:tc>
        <w:tc>
          <w:tcPr>
            <w:tcW w:w="3510" w:type="dxa"/>
            <w:shd w:val="clear" w:color="auto" w:fill="auto"/>
          </w:tcPr>
          <w:p w14:paraId="62DB0E0F" w14:textId="2F11624C" w:rsidR="00504C7C" w:rsidRPr="00BA1139" w:rsidRDefault="00880E73" w:rsidP="00D57F19">
            <w:pPr>
              <w:jc w:val="both"/>
              <w:rPr>
                <w:rFonts w:eastAsia="Calibri"/>
                <w:b/>
                <w:bCs/>
                <w:sz w:val="22"/>
                <w:szCs w:val="22"/>
              </w:rPr>
            </w:pPr>
            <w:proofErr w:type="spellStart"/>
            <w:r w:rsidRPr="00880E73">
              <w:rPr>
                <w:rFonts w:eastAsia="Calibri"/>
                <w:b/>
                <w:bCs/>
                <w:sz w:val="22"/>
                <w:szCs w:val="22"/>
              </w:rPr>
              <w:t>Istihsan</w:t>
            </w:r>
            <w:proofErr w:type="spellEnd"/>
            <w:r w:rsidRPr="00880E73">
              <w:rPr>
                <w:rFonts w:eastAsia="Calibri"/>
                <w:b/>
                <w:bCs/>
                <w:sz w:val="22"/>
                <w:szCs w:val="22"/>
              </w:rPr>
              <w:t xml:space="preserve"> According </w:t>
            </w:r>
            <w:r>
              <w:rPr>
                <w:rFonts w:eastAsia="Calibri"/>
                <w:b/>
                <w:bCs/>
                <w:sz w:val="22"/>
                <w:szCs w:val="22"/>
              </w:rPr>
              <w:t>t</w:t>
            </w:r>
            <w:r w:rsidRPr="00880E73">
              <w:rPr>
                <w:rFonts w:eastAsia="Calibri"/>
                <w:b/>
                <w:bCs/>
                <w:sz w:val="22"/>
                <w:szCs w:val="22"/>
              </w:rPr>
              <w:t xml:space="preserve">o Scholars </w:t>
            </w:r>
            <w:r>
              <w:rPr>
                <w:rFonts w:eastAsia="Calibri"/>
                <w:b/>
                <w:bCs/>
                <w:sz w:val="22"/>
                <w:szCs w:val="22"/>
              </w:rPr>
              <w:t>a</w:t>
            </w:r>
            <w:r w:rsidRPr="00880E73">
              <w:rPr>
                <w:rFonts w:eastAsia="Calibri"/>
                <w:b/>
                <w:bCs/>
                <w:sz w:val="22"/>
                <w:szCs w:val="22"/>
              </w:rPr>
              <w:t>nd Society</w:t>
            </w:r>
          </w:p>
        </w:tc>
      </w:tr>
      <w:tr w:rsidR="00504C7C" w:rsidRPr="00BA1139" w14:paraId="5ACAE670" w14:textId="77777777" w:rsidTr="00D57F19">
        <w:tc>
          <w:tcPr>
            <w:tcW w:w="540" w:type="dxa"/>
            <w:shd w:val="clear" w:color="auto" w:fill="auto"/>
          </w:tcPr>
          <w:p w14:paraId="7AEAEA05" w14:textId="77777777" w:rsidR="00504C7C" w:rsidRPr="00BA1139" w:rsidRDefault="00504C7C" w:rsidP="00D57F19">
            <w:pPr>
              <w:spacing w:line="360" w:lineRule="auto"/>
              <w:jc w:val="center"/>
              <w:rPr>
                <w:rFonts w:eastAsia="Calibri"/>
                <w:sz w:val="22"/>
                <w:szCs w:val="22"/>
              </w:rPr>
            </w:pPr>
            <w:r w:rsidRPr="00BA1139">
              <w:rPr>
                <w:rFonts w:eastAsia="Calibri"/>
                <w:sz w:val="22"/>
                <w:szCs w:val="22"/>
              </w:rPr>
              <w:t>1.</w:t>
            </w:r>
          </w:p>
        </w:tc>
        <w:tc>
          <w:tcPr>
            <w:tcW w:w="3870" w:type="dxa"/>
            <w:shd w:val="clear" w:color="auto" w:fill="auto"/>
          </w:tcPr>
          <w:p w14:paraId="2120BC1A" w14:textId="55FF34CC" w:rsidR="00504C7C" w:rsidRPr="00BA1139" w:rsidRDefault="00880E73" w:rsidP="00D57F19">
            <w:pPr>
              <w:jc w:val="both"/>
              <w:rPr>
                <w:rFonts w:eastAsia="Calibri"/>
                <w:sz w:val="22"/>
                <w:szCs w:val="22"/>
              </w:rPr>
            </w:pPr>
            <w:r w:rsidRPr="00880E73">
              <w:rPr>
                <w:rFonts w:eastAsia="Calibri"/>
                <w:sz w:val="22"/>
                <w:szCs w:val="22"/>
              </w:rPr>
              <w:t xml:space="preserve">According to Imam Abu Hanifah, waqf holds objects, remains the property of the </w:t>
            </w:r>
            <w:r w:rsidR="00106D4A" w:rsidRPr="00106D4A">
              <w:rPr>
                <w:rFonts w:eastAsia="Calibri"/>
                <w:i/>
                <w:iCs/>
                <w:sz w:val="22"/>
                <w:szCs w:val="22"/>
              </w:rPr>
              <w:t>waqif</w:t>
            </w:r>
            <w:r w:rsidRPr="00880E73">
              <w:rPr>
                <w:rFonts w:eastAsia="Calibri"/>
                <w:sz w:val="22"/>
                <w:szCs w:val="22"/>
              </w:rPr>
              <w:t>, and can be withdrawn, sold, and inherited.</w:t>
            </w:r>
          </w:p>
        </w:tc>
        <w:tc>
          <w:tcPr>
            <w:tcW w:w="3510" w:type="dxa"/>
            <w:shd w:val="clear" w:color="auto" w:fill="auto"/>
          </w:tcPr>
          <w:p w14:paraId="7FDCF5B4" w14:textId="39E042B9" w:rsidR="00504C7C" w:rsidRPr="00BA1139" w:rsidRDefault="00880E73" w:rsidP="00D57F19">
            <w:pPr>
              <w:jc w:val="both"/>
              <w:rPr>
                <w:rFonts w:eastAsia="Calibri"/>
                <w:sz w:val="22"/>
                <w:szCs w:val="22"/>
              </w:rPr>
            </w:pPr>
            <w:proofErr w:type="spellStart"/>
            <w:r w:rsidRPr="00880E73">
              <w:rPr>
                <w:rFonts w:eastAsia="Calibri"/>
                <w:sz w:val="22"/>
                <w:szCs w:val="22"/>
              </w:rPr>
              <w:t>Hanafiyah</w:t>
            </w:r>
            <w:proofErr w:type="spellEnd"/>
            <w:r w:rsidRPr="00880E73">
              <w:rPr>
                <w:rFonts w:eastAsia="Calibri"/>
                <w:sz w:val="22"/>
                <w:szCs w:val="22"/>
              </w:rPr>
              <w:t xml:space="preserve"> scholars argue with </w:t>
            </w:r>
            <w:proofErr w:type="spellStart"/>
            <w:r w:rsidRPr="00880E73">
              <w:rPr>
                <w:rFonts w:eastAsia="Calibri"/>
                <w:i/>
                <w:iCs/>
                <w:sz w:val="22"/>
                <w:szCs w:val="22"/>
              </w:rPr>
              <w:t>istihsan</w:t>
            </w:r>
            <w:proofErr w:type="spellEnd"/>
            <w:r w:rsidRPr="00880E73">
              <w:rPr>
                <w:rFonts w:eastAsia="Calibri"/>
                <w:sz w:val="22"/>
                <w:szCs w:val="22"/>
              </w:rPr>
              <w:t xml:space="preserve"> using </w:t>
            </w:r>
            <w:r w:rsidRPr="00880E73">
              <w:rPr>
                <w:rFonts w:eastAsia="Calibri"/>
                <w:i/>
                <w:iCs/>
                <w:sz w:val="22"/>
                <w:szCs w:val="22"/>
              </w:rPr>
              <w:t xml:space="preserve">qiyas </w:t>
            </w:r>
            <w:proofErr w:type="spellStart"/>
            <w:r w:rsidRPr="00880E73">
              <w:rPr>
                <w:rFonts w:eastAsia="Calibri"/>
                <w:i/>
                <w:iCs/>
                <w:sz w:val="22"/>
                <w:szCs w:val="22"/>
              </w:rPr>
              <w:t>khafiy</w:t>
            </w:r>
            <w:proofErr w:type="spellEnd"/>
            <w:r w:rsidRPr="00880E73">
              <w:rPr>
                <w:rFonts w:eastAsia="Calibri"/>
                <w:sz w:val="22"/>
                <w:szCs w:val="22"/>
              </w:rPr>
              <w:t xml:space="preserve"> against </w:t>
            </w:r>
            <w:r w:rsidRPr="00880E73">
              <w:rPr>
                <w:rFonts w:eastAsia="Calibri"/>
                <w:i/>
                <w:iCs/>
                <w:sz w:val="22"/>
                <w:szCs w:val="22"/>
              </w:rPr>
              <w:t xml:space="preserve">qiyas </w:t>
            </w:r>
            <w:proofErr w:type="spellStart"/>
            <w:r w:rsidRPr="00880E73">
              <w:rPr>
                <w:rFonts w:eastAsia="Calibri"/>
                <w:i/>
                <w:iCs/>
                <w:sz w:val="22"/>
                <w:szCs w:val="22"/>
              </w:rPr>
              <w:t>jaliy</w:t>
            </w:r>
            <w:proofErr w:type="spellEnd"/>
            <w:r w:rsidRPr="00880E73">
              <w:rPr>
                <w:rFonts w:eastAsia="Calibri"/>
                <w:sz w:val="22"/>
                <w:szCs w:val="22"/>
              </w:rPr>
              <w:t xml:space="preserve"> while dividing it into </w:t>
            </w:r>
            <w:proofErr w:type="spellStart"/>
            <w:r w:rsidRPr="00880E73">
              <w:rPr>
                <w:rFonts w:eastAsia="Calibri"/>
                <w:i/>
                <w:iCs/>
                <w:sz w:val="22"/>
                <w:szCs w:val="22"/>
              </w:rPr>
              <w:t>istihsan</w:t>
            </w:r>
            <w:proofErr w:type="spellEnd"/>
            <w:r w:rsidRPr="00880E73">
              <w:rPr>
                <w:rFonts w:eastAsia="Calibri"/>
                <w:i/>
                <w:iCs/>
                <w:sz w:val="22"/>
                <w:szCs w:val="22"/>
              </w:rPr>
              <w:t xml:space="preserve"> bi al-Nash, </w:t>
            </w:r>
            <w:proofErr w:type="spellStart"/>
            <w:r w:rsidRPr="00880E73">
              <w:rPr>
                <w:rFonts w:eastAsia="Calibri"/>
                <w:i/>
                <w:iCs/>
                <w:sz w:val="22"/>
                <w:szCs w:val="22"/>
              </w:rPr>
              <w:t>istihsan</w:t>
            </w:r>
            <w:proofErr w:type="spellEnd"/>
            <w:r w:rsidRPr="00880E73">
              <w:rPr>
                <w:rFonts w:eastAsia="Calibri"/>
                <w:i/>
                <w:iCs/>
                <w:sz w:val="22"/>
                <w:szCs w:val="22"/>
              </w:rPr>
              <w:t xml:space="preserve"> bi al-Ijma</w:t>
            </w:r>
            <w:r>
              <w:rPr>
                <w:rFonts w:eastAsia="Calibri"/>
                <w:i/>
                <w:iCs/>
                <w:sz w:val="22"/>
                <w:szCs w:val="22"/>
              </w:rPr>
              <w:t>’</w:t>
            </w:r>
            <w:r w:rsidRPr="00880E73">
              <w:rPr>
                <w:rFonts w:eastAsia="Calibri"/>
                <w:i/>
                <w:iCs/>
                <w:sz w:val="22"/>
                <w:szCs w:val="22"/>
              </w:rPr>
              <w:t xml:space="preserve">, </w:t>
            </w:r>
            <w:proofErr w:type="spellStart"/>
            <w:r w:rsidRPr="00880E73">
              <w:rPr>
                <w:rFonts w:eastAsia="Calibri"/>
                <w:i/>
                <w:iCs/>
                <w:sz w:val="22"/>
                <w:szCs w:val="22"/>
              </w:rPr>
              <w:t>istihsan</w:t>
            </w:r>
            <w:proofErr w:type="spellEnd"/>
            <w:r w:rsidRPr="00880E73">
              <w:rPr>
                <w:rFonts w:eastAsia="Calibri"/>
                <w:i/>
                <w:iCs/>
                <w:sz w:val="22"/>
                <w:szCs w:val="22"/>
              </w:rPr>
              <w:t xml:space="preserve"> bi al-Qiyas </w:t>
            </w:r>
            <w:proofErr w:type="spellStart"/>
            <w:r w:rsidRPr="00880E73">
              <w:rPr>
                <w:rFonts w:eastAsia="Calibri"/>
                <w:i/>
                <w:iCs/>
                <w:sz w:val="22"/>
                <w:szCs w:val="22"/>
              </w:rPr>
              <w:t>khafiy</w:t>
            </w:r>
            <w:proofErr w:type="spellEnd"/>
            <w:r w:rsidRPr="00880E73">
              <w:rPr>
                <w:rFonts w:eastAsia="Calibri"/>
                <w:i/>
                <w:iCs/>
                <w:sz w:val="22"/>
                <w:szCs w:val="22"/>
              </w:rPr>
              <w:t xml:space="preserve">, and </w:t>
            </w:r>
            <w:proofErr w:type="spellStart"/>
            <w:r w:rsidRPr="00880E73">
              <w:rPr>
                <w:rFonts w:eastAsia="Calibri"/>
                <w:i/>
                <w:iCs/>
                <w:sz w:val="22"/>
                <w:szCs w:val="22"/>
              </w:rPr>
              <w:t>istihsan</w:t>
            </w:r>
            <w:proofErr w:type="spellEnd"/>
            <w:r w:rsidRPr="00880E73">
              <w:rPr>
                <w:rFonts w:eastAsia="Calibri"/>
                <w:i/>
                <w:iCs/>
                <w:sz w:val="22"/>
                <w:szCs w:val="22"/>
              </w:rPr>
              <w:t xml:space="preserve"> bi al-</w:t>
            </w:r>
            <w:proofErr w:type="spellStart"/>
            <w:r w:rsidRPr="00880E73">
              <w:rPr>
                <w:rFonts w:eastAsia="Calibri"/>
                <w:i/>
                <w:iCs/>
                <w:sz w:val="22"/>
                <w:szCs w:val="22"/>
              </w:rPr>
              <w:t>Dharurah</w:t>
            </w:r>
            <w:proofErr w:type="spellEnd"/>
            <w:r w:rsidRPr="00880E73">
              <w:rPr>
                <w:rFonts w:eastAsia="Calibri"/>
                <w:i/>
                <w:iCs/>
                <w:sz w:val="22"/>
                <w:szCs w:val="22"/>
              </w:rPr>
              <w:t>.</w:t>
            </w:r>
          </w:p>
        </w:tc>
      </w:tr>
      <w:tr w:rsidR="00504C7C" w:rsidRPr="00BA1139" w14:paraId="59745EF0" w14:textId="77777777" w:rsidTr="00D57F19">
        <w:tc>
          <w:tcPr>
            <w:tcW w:w="540" w:type="dxa"/>
            <w:shd w:val="clear" w:color="auto" w:fill="auto"/>
          </w:tcPr>
          <w:p w14:paraId="34F72DD5" w14:textId="77777777" w:rsidR="00504C7C" w:rsidRPr="00BA1139" w:rsidRDefault="00504C7C" w:rsidP="00D57F19">
            <w:pPr>
              <w:spacing w:line="360" w:lineRule="auto"/>
              <w:jc w:val="center"/>
              <w:rPr>
                <w:rFonts w:eastAsia="Calibri"/>
                <w:sz w:val="22"/>
                <w:szCs w:val="22"/>
              </w:rPr>
            </w:pPr>
            <w:r w:rsidRPr="00BA1139">
              <w:rPr>
                <w:rFonts w:eastAsia="Calibri"/>
                <w:sz w:val="22"/>
                <w:szCs w:val="22"/>
              </w:rPr>
              <w:t>2.</w:t>
            </w:r>
          </w:p>
        </w:tc>
        <w:tc>
          <w:tcPr>
            <w:tcW w:w="3870" w:type="dxa"/>
            <w:shd w:val="clear" w:color="auto" w:fill="auto"/>
          </w:tcPr>
          <w:p w14:paraId="09A60160" w14:textId="29BEEADE" w:rsidR="00504C7C" w:rsidRPr="00BA1139" w:rsidRDefault="00880E73" w:rsidP="00D57F19">
            <w:pPr>
              <w:jc w:val="both"/>
              <w:rPr>
                <w:rFonts w:eastAsia="Calibri"/>
                <w:sz w:val="22"/>
                <w:szCs w:val="22"/>
              </w:rPr>
            </w:pPr>
            <w:r w:rsidRPr="00880E73">
              <w:rPr>
                <w:rFonts w:eastAsia="Calibri"/>
                <w:sz w:val="22"/>
                <w:szCs w:val="22"/>
              </w:rPr>
              <w:t xml:space="preserve">According to Imam Malik, waqf </w:t>
            </w:r>
            <w:r w:rsidR="00983669">
              <w:rPr>
                <w:rFonts w:eastAsia="Calibri"/>
                <w:sz w:val="22"/>
                <w:szCs w:val="22"/>
              </w:rPr>
              <w:t>holds</w:t>
            </w:r>
            <w:r w:rsidRPr="00880E73">
              <w:rPr>
                <w:rFonts w:eastAsia="Calibri"/>
                <w:sz w:val="22"/>
                <w:szCs w:val="22"/>
              </w:rPr>
              <w:t xml:space="preserve"> objects </w:t>
            </w:r>
            <w:r w:rsidR="00983669">
              <w:rPr>
                <w:rFonts w:eastAsia="Calibri"/>
                <w:sz w:val="22"/>
                <w:szCs w:val="22"/>
              </w:rPr>
              <w:t xml:space="preserve">and </w:t>
            </w:r>
            <w:r w:rsidRPr="00880E73">
              <w:rPr>
                <w:rFonts w:eastAsia="Calibri"/>
                <w:sz w:val="22"/>
                <w:szCs w:val="22"/>
              </w:rPr>
              <w:t xml:space="preserve">does not release them from the </w:t>
            </w:r>
            <w:r w:rsidR="00106D4A" w:rsidRPr="00106D4A">
              <w:rPr>
                <w:rFonts w:eastAsia="Calibri"/>
                <w:i/>
                <w:iCs/>
                <w:sz w:val="22"/>
                <w:szCs w:val="22"/>
              </w:rPr>
              <w:t>waqif</w:t>
            </w:r>
            <w:r>
              <w:rPr>
                <w:rFonts w:eastAsia="Calibri"/>
                <w:sz w:val="22"/>
                <w:szCs w:val="22"/>
              </w:rPr>
              <w:t>’</w:t>
            </w:r>
            <w:r w:rsidRPr="00880E73">
              <w:rPr>
                <w:rFonts w:eastAsia="Calibri"/>
                <w:sz w:val="22"/>
                <w:szCs w:val="22"/>
              </w:rPr>
              <w:t>s ownership, but they cannot be withdrawn, and waqf may be subject to a time limit.</w:t>
            </w:r>
          </w:p>
        </w:tc>
        <w:tc>
          <w:tcPr>
            <w:tcW w:w="3510" w:type="dxa"/>
            <w:shd w:val="clear" w:color="auto" w:fill="auto"/>
          </w:tcPr>
          <w:p w14:paraId="408F6DCE" w14:textId="729DCDB7" w:rsidR="00504C7C" w:rsidRPr="00BA1139" w:rsidRDefault="00983669" w:rsidP="00D57F19">
            <w:pPr>
              <w:jc w:val="both"/>
              <w:rPr>
                <w:rFonts w:eastAsia="Calibri"/>
                <w:sz w:val="22"/>
                <w:szCs w:val="22"/>
              </w:rPr>
            </w:pPr>
            <w:proofErr w:type="spellStart"/>
            <w:r w:rsidRPr="00983669">
              <w:rPr>
                <w:rFonts w:eastAsia="Calibri"/>
                <w:sz w:val="22"/>
                <w:szCs w:val="22"/>
              </w:rPr>
              <w:t>Malikiyah</w:t>
            </w:r>
            <w:proofErr w:type="spellEnd"/>
            <w:r w:rsidRPr="00983669">
              <w:rPr>
                <w:rFonts w:eastAsia="Calibri"/>
                <w:sz w:val="22"/>
                <w:szCs w:val="22"/>
              </w:rPr>
              <w:t xml:space="preserve"> scholars use </w:t>
            </w:r>
            <w:proofErr w:type="spellStart"/>
            <w:r w:rsidRPr="00983669">
              <w:rPr>
                <w:rFonts w:eastAsia="Calibri"/>
                <w:sz w:val="22"/>
                <w:szCs w:val="22"/>
              </w:rPr>
              <w:t>istihsan</w:t>
            </w:r>
            <w:proofErr w:type="spellEnd"/>
            <w:r w:rsidRPr="00983669">
              <w:rPr>
                <w:rFonts w:eastAsia="Calibri"/>
                <w:sz w:val="22"/>
                <w:szCs w:val="22"/>
              </w:rPr>
              <w:t xml:space="preserve"> by dividing it into </w:t>
            </w:r>
            <w:proofErr w:type="spellStart"/>
            <w:r w:rsidRPr="00983669">
              <w:rPr>
                <w:rFonts w:eastAsia="Calibri"/>
                <w:i/>
                <w:iCs/>
                <w:sz w:val="22"/>
                <w:szCs w:val="22"/>
              </w:rPr>
              <w:t>istihsan</w:t>
            </w:r>
            <w:proofErr w:type="spellEnd"/>
            <w:r w:rsidRPr="00983669">
              <w:rPr>
                <w:rFonts w:eastAsia="Calibri"/>
                <w:i/>
                <w:iCs/>
                <w:sz w:val="22"/>
                <w:szCs w:val="22"/>
              </w:rPr>
              <w:t xml:space="preserve"> with ‘</w:t>
            </w:r>
            <w:proofErr w:type="spellStart"/>
            <w:r w:rsidRPr="00983669">
              <w:rPr>
                <w:rFonts w:eastAsia="Calibri"/>
                <w:i/>
                <w:iCs/>
                <w:sz w:val="22"/>
                <w:szCs w:val="22"/>
              </w:rPr>
              <w:t>Urf</w:t>
            </w:r>
            <w:proofErr w:type="spellEnd"/>
            <w:r w:rsidRPr="00983669">
              <w:rPr>
                <w:rFonts w:eastAsia="Calibri"/>
                <w:i/>
                <w:iCs/>
                <w:sz w:val="22"/>
                <w:szCs w:val="22"/>
              </w:rPr>
              <w:t xml:space="preserve">, </w:t>
            </w:r>
            <w:proofErr w:type="spellStart"/>
            <w:r w:rsidRPr="00983669">
              <w:rPr>
                <w:rFonts w:eastAsia="Calibri"/>
                <w:i/>
                <w:iCs/>
                <w:sz w:val="22"/>
                <w:szCs w:val="22"/>
              </w:rPr>
              <w:t>istihsan</w:t>
            </w:r>
            <w:proofErr w:type="spellEnd"/>
            <w:r w:rsidRPr="00983669">
              <w:rPr>
                <w:rFonts w:eastAsia="Calibri"/>
                <w:i/>
                <w:iCs/>
                <w:sz w:val="22"/>
                <w:szCs w:val="22"/>
              </w:rPr>
              <w:t xml:space="preserve"> with </w:t>
            </w:r>
            <w:proofErr w:type="spellStart"/>
            <w:r w:rsidRPr="00983669">
              <w:rPr>
                <w:rFonts w:eastAsia="Calibri"/>
                <w:i/>
                <w:iCs/>
                <w:sz w:val="22"/>
                <w:szCs w:val="22"/>
              </w:rPr>
              <w:t>Maslahah</w:t>
            </w:r>
            <w:proofErr w:type="spellEnd"/>
            <w:r w:rsidRPr="00983669">
              <w:rPr>
                <w:rFonts w:eastAsia="Calibri"/>
                <w:i/>
                <w:iCs/>
                <w:sz w:val="22"/>
                <w:szCs w:val="22"/>
              </w:rPr>
              <w:t xml:space="preserve">, </w:t>
            </w:r>
            <w:proofErr w:type="spellStart"/>
            <w:r w:rsidRPr="00983669">
              <w:rPr>
                <w:rFonts w:eastAsia="Calibri"/>
                <w:i/>
                <w:iCs/>
                <w:sz w:val="22"/>
                <w:szCs w:val="22"/>
              </w:rPr>
              <w:t>istihsan</w:t>
            </w:r>
            <w:proofErr w:type="spellEnd"/>
            <w:r w:rsidRPr="00983669">
              <w:rPr>
                <w:rFonts w:eastAsia="Calibri"/>
                <w:i/>
                <w:iCs/>
                <w:sz w:val="22"/>
                <w:szCs w:val="22"/>
              </w:rPr>
              <w:t xml:space="preserve"> with Ijma’, and </w:t>
            </w:r>
            <w:proofErr w:type="spellStart"/>
            <w:r w:rsidRPr="00983669">
              <w:rPr>
                <w:rFonts w:eastAsia="Calibri"/>
                <w:i/>
                <w:iCs/>
                <w:sz w:val="22"/>
                <w:szCs w:val="22"/>
              </w:rPr>
              <w:t>istihsan</w:t>
            </w:r>
            <w:proofErr w:type="spellEnd"/>
            <w:r w:rsidRPr="00983669">
              <w:rPr>
                <w:rFonts w:eastAsia="Calibri"/>
                <w:i/>
                <w:iCs/>
                <w:sz w:val="22"/>
                <w:szCs w:val="22"/>
              </w:rPr>
              <w:t xml:space="preserve"> with Raf’ al-</w:t>
            </w:r>
            <w:proofErr w:type="spellStart"/>
            <w:r w:rsidRPr="00983669">
              <w:rPr>
                <w:rFonts w:eastAsia="Calibri"/>
                <w:i/>
                <w:iCs/>
                <w:sz w:val="22"/>
                <w:szCs w:val="22"/>
              </w:rPr>
              <w:t>Harj</w:t>
            </w:r>
            <w:proofErr w:type="spellEnd"/>
            <w:r w:rsidRPr="00983669">
              <w:rPr>
                <w:rFonts w:eastAsia="Calibri"/>
                <w:i/>
                <w:iCs/>
                <w:sz w:val="22"/>
                <w:szCs w:val="22"/>
              </w:rPr>
              <w:t xml:space="preserve"> </w:t>
            </w:r>
            <w:proofErr w:type="spellStart"/>
            <w:r w:rsidRPr="00983669">
              <w:rPr>
                <w:rFonts w:eastAsia="Calibri"/>
                <w:i/>
                <w:iCs/>
                <w:sz w:val="22"/>
                <w:szCs w:val="22"/>
              </w:rPr>
              <w:t>wa</w:t>
            </w:r>
            <w:proofErr w:type="spellEnd"/>
            <w:r w:rsidRPr="00983669">
              <w:rPr>
                <w:rFonts w:eastAsia="Calibri"/>
                <w:i/>
                <w:iCs/>
                <w:sz w:val="22"/>
                <w:szCs w:val="22"/>
              </w:rPr>
              <w:t xml:space="preserve"> al-</w:t>
            </w:r>
            <w:proofErr w:type="spellStart"/>
            <w:r w:rsidRPr="00983669">
              <w:rPr>
                <w:rFonts w:eastAsia="Calibri"/>
                <w:i/>
                <w:iCs/>
                <w:sz w:val="22"/>
                <w:szCs w:val="22"/>
              </w:rPr>
              <w:t>Masyaqqah</w:t>
            </w:r>
            <w:proofErr w:type="spellEnd"/>
            <w:r w:rsidRPr="00983669">
              <w:rPr>
                <w:rFonts w:eastAsia="Calibri"/>
                <w:i/>
                <w:iCs/>
                <w:sz w:val="22"/>
                <w:szCs w:val="22"/>
              </w:rPr>
              <w:t>.</w:t>
            </w:r>
          </w:p>
        </w:tc>
      </w:tr>
      <w:tr w:rsidR="00504C7C" w:rsidRPr="00BA1139" w14:paraId="4E7C8040" w14:textId="77777777" w:rsidTr="00D57F19">
        <w:tc>
          <w:tcPr>
            <w:tcW w:w="540" w:type="dxa"/>
            <w:shd w:val="clear" w:color="auto" w:fill="auto"/>
          </w:tcPr>
          <w:p w14:paraId="606AF4A1" w14:textId="77777777" w:rsidR="00504C7C" w:rsidRPr="00BA1139" w:rsidRDefault="00504C7C" w:rsidP="00D57F19">
            <w:pPr>
              <w:spacing w:line="360" w:lineRule="auto"/>
              <w:jc w:val="center"/>
              <w:rPr>
                <w:rFonts w:eastAsia="Calibri"/>
                <w:sz w:val="22"/>
                <w:szCs w:val="22"/>
              </w:rPr>
            </w:pPr>
            <w:r w:rsidRPr="00BA1139">
              <w:rPr>
                <w:rFonts w:eastAsia="Calibri"/>
                <w:sz w:val="22"/>
                <w:szCs w:val="22"/>
              </w:rPr>
              <w:t>3.</w:t>
            </w:r>
          </w:p>
        </w:tc>
        <w:tc>
          <w:tcPr>
            <w:tcW w:w="3870" w:type="dxa"/>
            <w:shd w:val="clear" w:color="auto" w:fill="auto"/>
          </w:tcPr>
          <w:p w14:paraId="02379D5B" w14:textId="1CEE1298" w:rsidR="00504C7C" w:rsidRPr="00BA1139" w:rsidRDefault="00983669" w:rsidP="00D57F19">
            <w:pPr>
              <w:jc w:val="both"/>
              <w:rPr>
                <w:rFonts w:eastAsia="Calibri"/>
                <w:sz w:val="22"/>
                <w:szCs w:val="22"/>
              </w:rPr>
            </w:pPr>
            <w:r w:rsidRPr="00983669">
              <w:rPr>
                <w:rFonts w:eastAsia="Calibri"/>
                <w:sz w:val="22"/>
                <w:szCs w:val="22"/>
              </w:rPr>
              <w:t xml:space="preserve">According to Imam </w:t>
            </w:r>
            <w:proofErr w:type="spellStart"/>
            <w:r w:rsidRPr="00983669">
              <w:rPr>
                <w:rFonts w:eastAsia="Calibri"/>
                <w:sz w:val="22"/>
                <w:szCs w:val="22"/>
              </w:rPr>
              <w:t>Syafi</w:t>
            </w:r>
            <w:r w:rsidR="00FD2108">
              <w:rPr>
                <w:rFonts w:eastAsia="Calibri"/>
                <w:sz w:val="22"/>
                <w:szCs w:val="22"/>
              </w:rPr>
              <w:t>’</w:t>
            </w:r>
            <w:r w:rsidRPr="00983669">
              <w:rPr>
                <w:rFonts w:eastAsia="Calibri"/>
                <w:sz w:val="22"/>
                <w:szCs w:val="22"/>
              </w:rPr>
              <w:t>i</w:t>
            </w:r>
            <w:proofErr w:type="spellEnd"/>
            <w:r w:rsidRPr="00983669">
              <w:rPr>
                <w:rFonts w:eastAsia="Calibri"/>
                <w:sz w:val="22"/>
                <w:szCs w:val="22"/>
              </w:rPr>
              <w:t xml:space="preserve"> and Imam Ahmad bin Hanbal, waqf holds objects forever, releases the ownership of the wakif, cannot be withdrawn, and provides benefits to society.</w:t>
            </w:r>
          </w:p>
        </w:tc>
        <w:tc>
          <w:tcPr>
            <w:tcW w:w="3510" w:type="dxa"/>
            <w:shd w:val="clear" w:color="auto" w:fill="auto"/>
          </w:tcPr>
          <w:p w14:paraId="2A9C6FDF" w14:textId="070BAAF5" w:rsidR="00504C7C" w:rsidRPr="00BA1139" w:rsidRDefault="00FD2108" w:rsidP="00D57F19">
            <w:pPr>
              <w:jc w:val="both"/>
              <w:rPr>
                <w:rFonts w:eastAsia="Calibri"/>
                <w:sz w:val="22"/>
                <w:szCs w:val="22"/>
              </w:rPr>
            </w:pPr>
            <w:proofErr w:type="spellStart"/>
            <w:r w:rsidRPr="00FD2108">
              <w:rPr>
                <w:rFonts w:eastAsia="Calibri"/>
                <w:sz w:val="22"/>
                <w:szCs w:val="22"/>
              </w:rPr>
              <w:t>Shafi</w:t>
            </w:r>
            <w:r>
              <w:rPr>
                <w:rFonts w:eastAsia="Calibri"/>
                <w:sz w:val="22"/>
                <w:szCs w:val="22"/>
              </w:rPr>
              <w:t>’</w:t>
            </w:r>
            <w:r w:rsidRPr="00FD2108">
              <w:rPr>
                <w:rFonts w:eastAsia="Calibri"/>
                <w:sz w:val="22"/>
                <w:szCs w:val="22"/>
              </w:rPr>
              <w:t>iyah</w:t>
            </w:r>
            <w:proofErr w:type="spellEnd"/>
            <w:r w:rsidRPr="00FD2108">
              <w:rPr>
                <w:rFonts w:eastAsia="Calibri"/>
                <w:sz w:val="22"/>
                <w:szCs w:val="22"/>
              </w:rPr>
              <w:t xml:space="preserve"> scholars do not accept </w:t>
            </w:r>
            <w:proofErr w:type="spellStart"/>
            <w:r w:rsidRPr="00FD2108">
              <w:rPr>
                <w:rFonts w:eastAsia="Calibri"/>
                <w:sz w:val="22"/>
                <w:szCs w:val="22"/>
              </w:rPr>
              <w:t>istihsan</w:t>
            </w:r>
            <w:proofErr w:type="spellEnd"/>
            <w:r w:rsidRPr="00FD2108">
              <w:rPr>
                <w:rFonts w:eastAsia="Calibri"/>
                <w:sz w:val="22"/>
                <w:szCs w:val="22"/>
              </w:rPr>
              <w:t xml:space="preserve"> as evidence in establishing Sharia law, while some </w:t>
            </w:r>
            <w:proofErr w:type="spellStart"/>
            <w:r w:rsidRPr="00FD2108">
              <w:rPr>
                <w:rFonts w:eastAsia="Calibri"/>
                <w:sz w:val="22"/>
                <w:szCs w:val="22"/>
              </w:rPr>
              <w:t>Hanabilah</w:t>
            </w:r>
            <w:proofErr w:type="spellEnd"/>
            <w:r w:rsidRPr="00FD2108">
              <w:rPr>
                <w:rFonts w:eastAsia="Calibri"/>
                <w:sz w:val="22"/>
                <w:szCs w:val="22"/>
              </w:rPr>
              <w:t xml:space="preserve"> use it.</w:t>
            </w:r>
          </w:p>
        </w:tc>
      </w:tr>
      <w:tr w:rsidR="00504C7C" w:rsidRPr="00BA1139" w14:paraId="7A002AB0" w14:textId="77777777" w:rsidTr="00D57F19">
        <w:tc>
          <w:tcPr>
            <w:tcW w:w="540" w:type="dxa"/>
            <w:shd w:val="clear" w:color="auto" w:fill="auto"/>
          </w:tcPr>
          <w:p w14:paraId="1950F79C" w14:textId="77777777" w:rsidR="00504C7C" w:rsidRPr="00BA1139" w:rsidRDefault="00504C7C" w:rsidP="006E081C">
            <w:pPr>
              <w:spacing w:line="360" w:lineRule="auto"/>
              <w:jc w:val="center"/>
              <w:rPr>
                <w:rFonts w:eastAsia="Calibri"/>
                <w:sz w:val="22"/>
                <w:szCs w:val="22"/>
              </w:rPr>
            </w:pPr>
            <w:r w:rsidRPr="00BA1139">
              <w:rPr>
                <w:rFonts w:eastAsia="Calibri"/>
                <w:sz w:val="22"/>
                <w:szCs w:val="22"/>
              </w:rPr>
              <w:t>4.</w:t>
            </w:r>
          </w:p>
        </w:tc>
        <w:tc>
          <w:tcPr>
            <w:tcW w:w="3870" w:type="dxa"/>
            <w:shd w:val="clear" w:color="auto" w:fill="auto"/>
          </w:tcPr>
          <w:p w14:paraId="5237E5C6" w14:textId="23160BEC" w:rsidR="00504C7C" w:rsidRPr="00BA1139" w:rsidRDefault="00FD2108" w:rsidP="00D57F19">
            <w:pPr>
              <w:jc w:val="both"/>
              <w:rPr>
                <w:rFonts w:eastAsia="Calibri"/>
                <w:sz w:val="22"/>
                <w:szCs w:val="22"/>
              </w:rPr>
            </w:pPr>
            <w:r w:rsidRPr="00FD2108">
              <w:rPr>
                <w:rFonts w:eastAsia="Calibri"/>
                <w:sz w:val="22"/>
                <w:szCs w:val="22"/>
              </w:rPr>
              <w:t xml:space="preserve">According to the people of Sungai </w:t>
            </w:r>
            <w:proofErr w:type="spellStart"/>
            <w:r w:rsidRPr="00FD2108">
              <w:rPr>
                <w:rFonts w:eastAsia="Calibri"/>
                <w:sz w:val="22"/>
                <w:szCs w:val="22"/>
              </w:rPr>
              <w:t>Tanang</w:t>
            </w:r>
            <w:proofErr w:type="spellEnd"/>
            <w:r w:rsidRPr="00FD2108">
              <w:rPr>
                <w:rFonts w:eastAsia="Calibri"/>
                <w:sz w:val="22"/>
                <w:szCs w:val="22"/>
              </w:rPr>
              <w:t xml:space="preserve">, waqf is generally a permanent object, regardless of the ownership of the </w:t>
            </w:r>
            <w:r w:rsidR="00106D4A" w:rsidRPr="00106D4A">
              <w:rPr>
                <w:rFonts w:eastAsia="Calibri"/>
                <w:i/>
                <w:iCs/>
                <w:sz w:val="22"/>
                <w:szCs w:val="22"/>
              </w:rPr>
              <w:t>waqif</w:t>
            </w:r>
            <w:r w:rsidRPr="00FD2108">
              <w:rPr>
                <w:rFonts w:eastAsia="Calibri"/>
                <w:sz w:val="22"/>
                <w:szCs w:val="22"/>
              </w:rPr>
              <w:t>, and is valid forever because it cannot be withdrawn, pawned, donated, or passed on to heirs.</w:t>
            </w:r>
          </w:p>
        </w:tc>
        <w:tc>
          <w:tcPr>
            <w:tcW w:w="3510" w:type="dxa"/>
            <w:shd w:val="clear" w:color="auto" w:fill="auto"/>
          </w:tcPr>
          <w:p w14:paraId="4576CF6C" w14:textId="5FCB6A32" w:rsidR="00504C7C" w:rsidRPr="00BA1139" w:rsidRDefault="00FD2108" w:rsidP="00D57F19">
            <w:pPr>
              <w:jc w:val="both"/>
              <w:rPr>
                <w:rFonts w:eastAsia="Calibri"/>
                <w:sz w:val="22"/>
                <w:szCs w:val="22"/>
              </w:rPr>
            </w:pPr>
            <w:r w:rsidRPr="00FD2108">
              <w:rPr>
                <w:rFonts w:eastAsia="Calibri"/>
                <w:sz w:val="22"/>
                <w:szCs w:val="22"/>
              </w:rPr>
              <w:t xml:space="preserve">In general, the people of Sungai </w:t>
            </w:r>
            <w:proofErr w:type="spellStart"/>
            <w:r w:rsidRPr="00FD2108">
              <w:rPr>
                <w:rFonts w:eastAsia="Calibri"/>
                <w:sz w:val="22"/>
                <w:szCs w:val="22"/>
              </w:rPr>
              <w:t>Tanang</w:t>
            </w:r>
            <w:proofErr w:type="spellEnd"/>
            <w:r w:rsidRPr="00FD2108">
              <w:rPr>
                <w:rFonts w:eastAsia="Calibri"/>
                <w:sz w:val="22"/>
                <w:szCs w:val="22"/>
              </w:rPr>
              <w:t xml:space="preserve"> do not understand </w:t>
            </w:r>
            <w:proofErr w:type="spellStart"/>
            <w:r w:rsidRPr="00FD2108">
              <w:rPr>
                <w:rFonts w:eastAsia="Calibri"/>
                <w:sz w:val="22"/>
                <w:szCs w:val="22"/>
              </w:rPr>
              <w:t>istihsan</w:t>
            </w:r>
            <w:proofErr w:type="spellEnd"/>
            <w:r w:rsidRPr="00FD2108">
              <w:rPr>
                <w:rFonts w:eastAsia="Calibri"/>
                <w:sz w:val="22"/>
                <w:szCs w:val="22"/>
              </w:rPr>
              <w:t xml:space="preserve"> as a legal proposition, but with many considerations, they carry out </w:t>
            </w:r>
            <w:proofErr w:type="spellStart"/>
            <w:r w:rsidRPr="00FD2108">
              <w:rPr>
                <w:rFonts w:eastAsia="Calibri"/>
                <w:i/>
                <w:iCs/>
                <w:sz w:val="22"/>
                <w:szCs w:val="22"/>
              </w:rPr>
              <w:t>Carotai</w:t>
            </w:r>
            <w:proofErr w:type="spellEnd"/>
            <w:r w:rsidRPr="00FD2108">
              <w:rPr>
                <w:rFonts w:eastAsia="Calibri"/>
                <w:sz w:val="22"/>
                <w:szCs w:val="22"/>
              </w:rPr>
              <w:t xml:space="preserve"> waqf, which in a sense uses </w:t>
            </w:r>
            <w:proofErr w:type="spellStart"/>
            <w:r w:rsidRPr="00FD2108">
              <w:rPr>
                <w:rFonts w:eastAsia="Calibri"/>
                <w:i/>
                <w:iCs/>
                <w:sz w:val="22"/>
                <w:szCs w:val="22"/>
              </w:rPr>
              <w:t>istihsan</w:t>
            </w:r>
            <w:proofErr w:type="spellEnd"/>
            <w:r w:rsidRPr="00FD2108">
              <w:rPr>
                <w:rFonts w:eastAsia="Calibri"/>
                <w:sz w:val="22"/>
                <w:szCs w:val="22"/>
              </w:rPr>
              <w:t>.</w:t>
            </w:r>
          </w:p>
        </w:tc>
      </w:tr>
    </w:tbl>
    <w:p w14:paraId="73729493" w14:textId="77777777" w:rsidR="00504C7C" w:rsidRPr="00BA1139" w:rsidRDefault="00504C7C" w:rsidP="00504C7C">
      <w:pPr>
        <w:spacing w:line="360" w:lineRule="auto"/>
        <w:jc w:val="both"/>
        <w:rPr>
          <w:color w:val="FF0000"/>
        </w:rPr>
      </w:pPr>
    </w:p>
    <w:p w14:paraId="0DBAC850" w14:textId="259E57DE" w:rsidR="00504C7C" w:rsidRDefault="00FD2108" w:rsidP="00504C7C">
      <w:pPr>
        <w:spacing w:line="360" w:lineRule="auto"/>
        <w:ind w:firstLine="720"/>
        <w:jc w:val="both"/>
      </w:pPr>
      <w:r w:rsidRPr="00FD2108">
        <w:t xml:space="preserve">Regarding the implementation of </w:t>
      </w:r>
      <w:proofErr w:type="spellStart"/>
      <w:r>
        <w:t>C</w:t>
      </w:r>
      <w:r w:rsidRPr="00FD2108">
        <w:t>arotai</w:t>
      </w:r>
      <w:proofErr w:type="spellEnd"/>
      <w:r w:rsidRPr="00FD2108">
        <w:t xml:space="preserve"> waqf in the Nagari Sungai </w:t>
      </w:r>
      <w:proofErr w:type="spellStart"/>
      <w:r w:rsidRPr="00FD2108">
        <w:t>Tanang</w:t>
      </w:r>
      <w:proofErr w:type="spellEnd"/>
      <w:r w:rsidRPr="00FD2108">
        <w:t xml:space="preserve"> community, the </w:t>
      </w:r>
      <w:proofErr w:type="spellStart"/>
      <w:r w:rsidRPr="00FD2108">
        <w:rPr>
          <w:i/>
          <w:iCs/>
        </w:rPr>
        <w:t>Istihsan</w:t>
      </w:r>
      <w:proofErr w:type="spellEnd"/>
      <w:r w:rsidRPr="00FD2108">
        <w:t xml:space="preserve"> is of the opinion that it needs to be further investigated considering that the </w:t>
      </w:r>
      <w:proofErr w:type="spellStart"/>
      <w:r>
        <w:t>C</w:t>
      </w:r>
      <w:r w:rsidRPr="00FD2108">
        <w:t>arotai</w:t>
      </w:r>
      <w:proofErr w:type="spellEnd"/>
      <w:r w:rsidRPr="00FD2108">
        <w:t xml:space="preserve"> waqf comes from the </w:t>
      </w:r>
      <w:proofErr w:type="spellStart"/>
      <w:r w:rsidRPr="00FD2108">
        <w:t>Tabek</w:t>
      </w:r>
      <w:proofErr w:type="spellEnd"/>
      <w:r w:rsidRPr="00FD2108">
        <w:t xml:space="preserve"> </w:t>
      </w:r>
      <w:proofErr w:type="spellStart"/>
      <w:r w:rsidRPr="00FD2108">
        <w:t>Gadang</w:t>
      </w:r>
      <w:proofErr w:type="spellEnd"/>
      <w:r w:rsidRPr="00FD2108">
        <w:t xml:space="preserve"> fish, which was a waqf from the previous </w:t>
      </w:r>
      <w:r w:rsidR="00106D4A" w:rsidRPr="00106D4A">
        <w:rPr>
          <w:i/>
          <w:iCs/>
        </w:rPr>
        <w:t>waqif</w:t>
      </w:r>
      <w:r w:rsidRPr="00FD2108">
        <w:t xml:space="preserve">. That the land used as </w:t>
      </w:r>
      <w:proofErr w:type="spellStart"/>
      <w:r w:rsidRPr="00FD2108">
        <w:t>Tabek</w:t>
      </w:r>
      <w:proofErr w:type="spellEnd"/>
      <w:r w:rsidRPr="00FD2108">
        <w:t xml:space="preserve"> </w:t>
      </w:r>
      <w:proofErr w:type="spellStart"/>
      <w:r w:rsidRPr="00FD2108">
        <w:t>Gadang</w:t>
      </w:r>
      <w:proofErr w:type="spellEnd"/>
      <w:r w:rsidRPr="00FD2108">
        <w:t xml:space="preserve"> has remained the same from the past until now. The </w:t>
      </w:r>
      <w:proofErr w:type="spellStart"/>
      <w:r w:rsidRPr="00FD2108">
        <w:t>Tabek</w:t>
      </w:r>
      <w:proofErr w:type="spellEnd"/>
      <w:r w:rsidRPr="00FD2108">
        <w:t xml:space="preserve"> </w:t>
      </w:r>
      <w:proofErr w:type="spellStart"/>
      <w:r w:rsidRPr="00FD2108">
        <w:t>Gadang</w:t>
      </w:r>
      <w:proofErr w:type="spellEnd"/>
      <w:r w:rsidRPr="00FD2108">
        <w:t xml:space="preserve"> has never been </w:t>
      </w:r>
      <w:r w:rsidRPr="00FD2108">
        <w:lastRenderedPageBreak/>
        <w:t>donated, exchanged</w:t>
      </w:r>
      <w:r>
        <w:t>,</w:t>
      </w:r>
      <w:r w:rsidRPr="00FD2108">
        <w:t xml:space="preserve"> or withdrawn by its previous heirs, let alone it</w:t>
      </w:r>
      <w:r>
        <w:t xml:space="preserve"> is</w:t>
      </w:r>
      <w:r w:rsidRPr="00FD2108">
        <w:t xml:space="preserve"> waqf by many tribes in Nagari Sungai </w:t>
      </w:r>
      <w:proofErr w:type="spellStart"/>
      <w:r w:rsidRPr="00FD2108">
        <w:t>Tanang</w:t>
      </w:r>
      <w:proofErr w:type="spellEnd"/>
      <w:r w:rsidRPr="00FD2108">
        <w:t xml:space="preserve">. Apart from fish farming, the water from </w:t>
      </w:r>
      <w:proofErr w:type="spellStart"/>
      <w:r w:rsidRPr="00FD2108">
        <w:t>Tabek</w:t>
      </w:r>
      <w:proofErr w:type="spellEnd"/>
      <w:r w:rsidRPr="00FD2108">
        <w:t xml:space="preserve"> </w:t>
      </w:r>
      <w:proofErr w:type="spellStart"/>
      <w:r w:rsidRPr="00FD2108">
        <w:t>Gadang</w:t>
      </w:r>
      <w:proofErr w:type="spellEnd"/>
      <w:r w:rsidRPr="00FD2108">
        <w:t xml:space="preserve"> continues to flow down to irrigate the farmers</w:t>
      </w:r>
      <w:r>
        <w:t>’</w:t>
      </w:r>
      <w:r w:rsidRPr="00FD2108">
        <w:t xml:space="preserve"> fields and this function has not changed. The intention of the waqf rewards to provide convenience to the farmers continues to this day, which is very much in line with Imam </w:t>
      </w:r>
      <w:proofErr w:type="spellStart"/>
      <w:r w:rsidRPr="00FD2108">
        <w:t>Syafi</w:t>
      </w:r>
      <w:r>
        <w:t>’</w:t>
      </w:r>
      <w:r w:rsidRPr="00FD2108">
        <w:t>i</w:t>
      </w:r>
      <w:r>
        <w:t>’</w:t>
      </w:r>
      <w:r w:rsidRPr="00FD2108">
        <w:t>s</w:t>
      </w:r>
      <w:proofErr w:type="spellEnd"/>
      <w:r w:rsidRPr="00FD2108">
        <w:t xml:space="preserve"> opinion.</w:t>
      </w:r>
    </w:p>
    <w:p w14:paraId="51A350BF" w14:textId="55147EB9" w:rsidR="00504C7C" w:rsidRPr="00D300C1" w:rsidRDefault="00056A06" w:rsidP="00504C7C">
      <w:pPr>
        <w:spacing w:line="360" w:lineRule="auto"/>
        <w:ind w:firstLine="720"/>
        <w:jc w:val="both"/>
      </w:pPr>
      <w:r w:rsidRPr="00056A06">
        <w:t xml:space="preserve">Similarly, in terms of time, the people of Nagari Sungai </w:t>
      </w:r>
      <w:proofErr w:type="spellStart"/>
      <w:r w:rsidRPr="00056A06">
        <w:t>Tanang</w:t>
      </w:r>
      <w:proofErr w:type="spellEnd"/>
      <w:r w:rsidRPr="00056A06">
        <w:t xml:space="preserve"> understand that no waqf is limited by a period of time. The waqf granted by the </w:t>
      </w:r>
      <w:r w:rsidR="00106D4A" w:rsidRPr="00106D4A">
        <w:rPr>
          <w:i/>
          <w:iCs/>
        </w:rPr>
        <w:t>waqif</w:t>
      </w:r>
      <w:r w:rsidRPr="00056A06">
        <w:t xml:space="preserve"> is valid forever and this is well known to the Nagari community. Meanwhile, the management of the waqf assets is not specifically determined, but it seems that the waqf assets are managed and administered by </w:t>
      </w:r>
      <w:proofErr w:type="spellStart"/>
      <w:r w:rsidRPr="00056A06">
        <w:t>nazhir</w:t>
      </w:r>
      <w:proofErr w:type="spellEnd"/>
      <w:r w:rsidRPr="00056A06">
        <w:t xml:space="preserve">, mosque administrators, community and youth leaders, the Nagari government, as well as traditional leaders from each tribe in the Nagari. In general, the management is not determined by permanent </w:t>
      </w:r>
      <w:r w:rsidR="006C63CB">
        <w:t>team</w:t>
      </w:r>
      <w:r w:rsidRPr="00056A06">
        <w:t>, but depends on who the delegates and respective administrators are.</w:t>
      </w:r>
    </w:p>
    <w:p w14:paraId="015D8542" w14:textId="48216DA1" w:rsidR="00504C7C" w:rsidRDefault="00056A06" w:rsidP="00504C7C">
      <w:pPr>
        <w:spacing w:line="360" w:lineRule="auto"/>
        <w:ind w:firstLine="720"/>
        <w:jc w:val="both"/>
      </w:pPr>
      <w:r w:rsidRPr="00056A06">
        <w:t xml:space="preserve">One of the basic questions of this research is what to do with the fish allocated (disputed) by the Waqf. It is clear that the main results expected from </w:t>
      </w:r>
      <w:proofErr w:type="spellStart"/>
      <w:r w:rsidRPr="00056A06">
        <w:t>Tabek</w:t>
      </w:r>
      <w:proofErr w:type="spellEnd"/>
      <w:r w:rsidRPr="00056A06">
        <w:t xml:space="preserve"> </w:t>
      </w:r>
      <w:proofErr w:type="spellStart"/>
      <w:r w:rsidRPr="00056A06">
        <w:t>Gadang</w:t>
      </w:r>
      <w:proofErr w:type="spellEnd"/>
      <w:r w:rsidRPr="00056A06">
        <w:t xml:space="preserve"> </w:t>
      </w:r>
      <w:r>
        <w:t>were</w:t>
      </w:r>
      <w:r w:rsidRPr="00056A06">
        <w:t xml:space="preserve"> fishing and selling fish. If the fish </w:t>
      </w:r>
      <w:r>
        <w:t>was</w:t>
      </w:r>
      <w:r w:rsidRPr="00056A06">
        <w:t xml:space="preserve"> taken away, something w</w:t>
      </w:r>
      <w:r>
        <w:t>ould</w:t>
      </w:r>
      <w:r w:rsidRPr="00056A06">
        <w:t xml:space="preserve"> be lost in terms of price, value</w:t>
      </w:r>
      <w:r>
        <w:t>,</w:t>
      </w:r>
      <w:r w:rsidRPr="00056A06">
        <w:t xml:space="preserve"> and income. However, from the perspective of </w:t>
      </w:r>
      <w:proofErr w:type="spellStart"/>
      <w:r w:rsidRPr="00056A06">
        <w:rPr>
          <w:i/>
          <w:iCs/>
        </w:rPr>
        <w:t>istihsan</w:t>
      </w:r>
      <w:proofErr w:type="spellEnd"/>
      <w:r w:rsidRPr="00056A06">
        <w:t xml:space="preserve">, this seems to fall under the category of </w:t>
      </w:r>
      <w:proofErr w:type="spellStart"/>
      <w:r w:rsidRPr="00056A06">
        <w:rPr>
          <w:i/>
          <w:iCs/>
        </w:rPr>
        <w:t>istihsan</w:t>
      </w:r>
      <w:proofErr w:type="spellEnd"/>
      <w:r w:rsidRPr="00056A06">
        <w:rPr>
          <w:i/>
          <w:iCs/>
        </w:rPr>
        <w:t xml:space="preserve"> bi al-Ijma</w:t>
      </w:r>
      <w:r>
        <w:rPr>
          <w:i/>
          <w:iCs/>
        </w:rPr>
        <w:t>’</w:t>
      </w:r>
      <w:r w:rsidRPr="00056A06">
        <w:t xml:space="preserve"> because it can be seen that all the people of Nagari Sungai </w:t>
      </w:r>
      <w:proofErr w:type="spellStart"/>
      <w:r w:rsidRPr="00056A06">
        <w:t>Tanang</w:t>
      </w:r>
      <w:proofErr w:type="spellEnd"/>
      <w:r w:rsidRPr="00056A06">
        <w:t xml:space="preserve">, represented by </w:t>
      </w:r>
      <w:proofErr w:type="spellStart"/>
      <w:r w:rsidRPr="00056A06">
        <w:t>nazhir</w:t>
      </w:r>
      <w:proofErr w:type="spellEnd"/>
      <w:r w:rsidRPr="00056A06">
        <w:t xml:space="preserve"> waqf, </w:t>
      </w:r>
      <w:proofErr w:type="spellStart"/>
      <w:r w:rsidRPr="00056A06">
        <w:rPr>
          <w:i/>
          <w:iCs/>
        </w:rPr>
        <w:t>niniak</w:t>
      </w:r>
      <w:proofErr w:type="spellEnd"/>
      <w:r w:rsidRPr="00056A06">
        <w:rPr>
          <w:i/>
          <w:iCs/>
        </w:rPr>
        <w:t xml:space="preserve"> mamak</w:t>
      </w:r>
      <w:r>
        <w:rPr>
          <w:i/>
          <w:iCs/>
        </w:rPr>
        <w:t xml:space="preserve"> </w:t>
      </w:r>
      <w:r>
        <w:t>(traditional leaders of each tribe)</w:t>
      </w:r>
      <w:r w:rsidRPr="00056A06">
        <w:t xml:space="preserve">, </w:t>
      </w:r>
      <w:r>
        <w:t>religious scholars</w:t>
      </w:r>
      <w:r w:rsidRPr="00056A06">
        <w:t xml:space="preserve">, </w:t>
      </w:r>
      <w:proofErr w:type="spellStart"/>
      <w:r>
        <w:t>inttelectuals</w:t>
      </w:r>
      <w:proofErr w:type="spellEnd"/>
      <w:r w:rsidRPr="00056A06">
        <w:t xml:space="preserve">, traditional leaders, community leaders and youth, agreed to hold </w:t>
      </w:r>
      <w:r>
        <w:t xml:space="preserve">the </w:t>
      </w:r>
      <w:proofErr w:type="spellStart"/>
      <w:r>
        <w:t>C</w:t>
      </w:r>
      <w:r w:rsidRPr="00056A06">
        <w:t>arotai</w:t>
      </w:r>
      <w:proofErr w:type="spellEnd"/>
      <w:r w:rsidRPr="00056A06">
        <w:t xml:space="preserve"> waqf. This, especially considering that </w:t>
      </w:r>
      <w:proofErr w:type="spellStart"/>
      <w:r>
        <w:t>C</w:t>
      </w:r>
      <w:r w:rsidRPr="00056A06">
        <w:t>arotai</w:t>
      </w:r>
      <w:proofErr w:type="spellEnd"/>
      <w:r w:rsidRPr="00056A06">
        <w:t xml:space="preserve"> activities are still being carried out today.</w:t>
      </w:r>
    </w:p>
    <w:p w14:paraId="7BCDEE98" w14:textId="620299FD" w:rsidR="00504C7C" w:rsidRPr="00056A06" w:rsidRDefault="00056A06" w:rsidP="00504C7C">
      <w:pPr>
        <w:spacing w:line="360" w:lineRule="auto"/>
        <w:ind w:firstLine="720"/>
        <w:jc w:val="both"/>
      </w:pPr>
      <w:proofErr w:type="spellStart"/>
      <w:r w:rsidRPr="00056A06">
        <w:rPr>
          <w:i/>
          <w:iCs/>
        </w:rPr>
        <w:t>Istihsan</w:t>
      </w:r>
      <w:proofErr w:type="spellEnd"/>
      <w:r w:rsidRPr="00056A06">
        <w:rPr>
          <w:i/>
          <w:iCs/>
        </w:rPr>
        <w:t xml:space="preserve"> bi al-Ijma’</w:t>
      </w:r>
      <w:r w:rsidRPr="00056A06">
        <w:t xml:space="preserve"> is a division of </w:t>
      </w:r>
      <w:proofErr w:type="spellStart"/>
      <w:r w:rsidRPr="00056A06">
        <w:rPr>
          <w:i/>
          <w:iCs/>
        </w:rPr>
        <w:t>istihsan</w:t>
      </w:r>
      <w:proofErr w:type="spellEnd"/>
      <w:r w:rsidRPr="00056A06">
        <w:t xml:space="preserve"> by </w:t>
      </w:r>
      <w:proofErr w:type="spellStart"/>
      <w:r w:rsidRPr="00056A06">
        <w:t>Hanafiyah</w:t>
      </w:r>
      <w:proofErr w:type="spellEnd"/>
      <w:r w:rsidRPr="00056A06">
        <w:t xml:space="preserve"> ulama who use it as a postulate in enforcing the law. When it comes to waqf, according to Imam Abu Hanifah, the waqf holds the waqf objects, but the waqf objects remain the property of the </w:t>
      </w:r>
      <w:r w:rsidR="00106D4A" w:rsidRPr="00106D4A">
        <w:rPr>
          <w:i/>
          <w:iCs/>
        </w:rPr>
        <w:t>waqif</w:t>
      </w:r>
      <w:r w:rsidRPr="00056A06">
        <w:t xml:space="preserve"> and he can withdraw them, sell them, or even pass them on to heirs. </w:t>
      </w:r>
      <w:proofErr w:type="spellStart"/>
      <w:r w:rsidRPr="00056A06">
        <w:t>Malikiyah</w:t>
      </w:r>
      <w:proofErr w:type="spellEnd"/>
      <w:r w:rsidRPr="00056A06">
        <w:t xml:space="preserve"> clerics also use </w:t>
      </w:r>
      <w:proofErr w:type="spellStart"/>
      <w:r w:rsidRPr="004B6D32">
        <w:rPr>
          <w:i/>
          <w:iCs/>
        </w:rPr>
        <w:t>istihsan</w:t>
      </w:r>
      <w:proofErr w:type="spellEnd"/>
      <w:r w:rsidRPr="00056A06">
        <w:t xml:space="preserve">, whether it is </w:t>
      </w:r>
      <w:proofErr w:type="spellStart"/>
      <w:r w:rsidRPr="004B6D32">
        <w:rPr>
          <w:i/>
          <w:iCs/>
        </w:rPr>
        <w:t>istihsan</w:t>
      </w:r>
      <w:proofErr w:type="spellEnd"/>
      <w:r w:rsidRPr="004B6D32">
        <w:rPr>
          <w:i/>
          <w:iCs/>
        </w:rPr>
        <w:t xml:space="preserve"> with </w:t>
      </w:r>
      <w:r w:rsidR="004B6D32">
        <w:rPr>
          <w:i/>
          <w:iCs/>
        </w:rPr>
        <w:t>‘</w:t>
      </w:r>
      <w:proofErr w:type="spellStart"/>
      <w:r w:rsidRPr="004B6D32">
        <w:rPr>
          <w:i/>
          <w:iCs/>
        </w:rPr>
        <w:t>Urf</w:t>
      </w:r>
      <w:proofErr w:type="spellEnd"/>
      <w:r w:rsidRPr="004B6D32">
        <w:rPr>
          <w:i/>
          <w:iCs/>
        </w:rPr>
        <w:t xml:space="preserve">, </w:t>
      </w:r>
      <w:proofErr w:type="spellStart"/>
      <w:r w:rsidRPr="004B6D32">
        <w:rPr>
          <w:i/>
          <w:iCs/>
        </w:rPr>
        <w:t>istihsan</w:t>
      </w:r>
      <w:proofErr w:type="spellEnd"/>
      <w:r w:rsidRPr="004B6D32">
        <w:rPr>
          <w:i/>
          <w:iCs/>
        </w:rPr>
        <w:t xml:space="preserve"> with </w:t>
      </w:r>
      <w:proofErr w:type="spellStart"/>
      <w:r w:rsidRPr="004B6D32">
        <w:rPr>
          <w:i/>
          <w:iCs/>
        </w:rPr>
        <w:t>maslahah</w:t>
      </w:r>
      <w:proofErr w:type="spellEnd"/>
      <w:r w:rsidRPr="004B6D32">
        <w:rPr>
          <w:i/>
          <w:iCs/>
        </w:rPr>
        <w:t xml:space="preserve">, </w:t>
      </w:r>
      <w:proofErr w:type="spellStart"/>
      <w:r w:rsidRPr="004B6D32">
        <w:rPr>
          <w:i/>
          <w:iCs/>
        </w:rPr>
        <w:t>istihsan</w:t>
      </w:r>
      <w:proofErr w:type="spellEnd"/>
      <w:r w:rsidRPr="004B6D32">
        <w:rPr>
          <w:i/>
          <w:iCs/>
        </w:rPr>
        <w:t xml:space="preserve"> with ijma</w:t>
      </w:r>
      <w:r w:rsidR="004B6D32">
        <w:rPr>
          <w:i/>
          <w:iCs/>
        </w:rPr>
        <w:t>’</w:t>
      </w:r>
      <w:r w:rsidRPr="004B6D32">
        <w:rPr>
          <w:i/>
          <w:iCs/>
        </w:rPr>
        <w:t xml:space="preserve">, or </w:t>
      </w:r>
      <w:proofErr w:type="spellStart"/>
      <w:r w:rsidRPr="004B6D32">
        <w:rPr>
          <w:i/>
          <w:iCs/>
        </w:rPr>
        <w:t>istihsan</w:t>
      </w:r>
      <w:proofErr w:type="spellEnd"/>
      <w:r w:rsidRPr="004B6D32">
        <w:rPr>
          <w:i/>
          <w:iCs/>
        </w:rPr>
        <w:t xml:space="preserve"> Raf</w:t>
      </w:r>
      <w:r w:rsidR="004B6D32">
        <w:rPr>
          <w:i/>
          <w:iCs/>
        </w:rPr>
        <w:t>’</w:t>
      </w:r>
      <w:r w:rsidRPr="004B6D32">
        <w:rPr>
          <w:i/>
          <w:iCs/>
        </w:rPr>
        <w:t xml:space="preserve"> al-</w:t>
      </w:r>
      <w:proofErr w:type="spellStart"/>
      <w:r w:rsidRPr="004B6D32">
        <w:rPr>
          <w:i/>
          <w:iCs/>
        </w:rPr>
        <w:t>Harj</w:t>
      </w:r>
      <w:proofErr w:type="spellEnd"/>
      <w:r w:rsidRPr="004B6D32">
        <w:rPr>
          <w:i/>
          <w:iCs/>
        </w:rPr>
        <w:t xml:space="preserve"> </w:t>
      </w:r>
      <w:proofErr w:type="spellStart"/>
      <w:r w:rsidRPr="004B6D32">
        <w:rPr>
          <w:i/>
          <w:iCs/>
        </w:rPr>
        <w:t>wa</w:t>
      </w:r>
      <w:proofErr w:type="spellEnd"/>
      <w:r w:rsidRPr="004B6D32">
        <w:rPr>
          <w:i/>
          <w:iCs/>
        </w:rPr>
        <w:t xml:space="preserve"> al-</w:t>
      </w:r>
      <w:proofErr w:type="spellStart"/>
      <w:r w:rsidRPr="004B6D32">
        <w:rPr>
          <w:i/>
          <w:iCs/>
        </w:rPr>
        <w:lastRenderedPageBreak/>
        <w:t>Masyaqqah</w:t>
      </w:r>
      <w:proofErr w:type="spellEnd"/>
      <w:r w:rsidRPr="004B6D32">
        <w:rPr>
          <w:i/>
          <w:iCs/>
        </w:rPr>
        <w:t>,</w:t>
      </w:r>
      <w:r w:rsidRPr="00056A06">
        <w:t xml:space="preserve"> but when it comes to waqf it is a little different because </w:t>
      </w:r>
      <w:proofErr w:type="spellStart"/>
      <w:r w:rsidRPr="00056A06">
        <w:t>Malikiyah</w:t>
      </w:r>
      <w:proofErr w:type="spellEnd"/>
      <w:r w:rsidRPr="00056A06">
        <w:t xml:space="preserve"> clerics believe that the waqf continues to exist. Waqf assets cannot be separated from the ownership of the </w:t>
      </w:r>
      <w:r w:rsidR="00106D4A" w:rsidRPr="00106D4A">
        <w:rPr>
          <w:i/>
          <w:iCs/>
        </w:rPr>
        <w:t>waqif</w:t>
      </w:r>
      <w:r w:rsidRPr="00056A06">
        <w:t>, but the waqf cannot be withdrawn, donated, or bequeathed to heirs.</w:t>
      </w:r>
    </w:p>
    <w:p w14:paraId="30D67E04" w14:textId="0D8E1847" w:rsidR="00D24B2C" w:rsidRDefault="00D24B2C" w:rsidP="00E63AC1">
      <w:pPr>
        <w:spacing w:line="360" w:lineRule="auto"/>
        <w:ind w:firstLine="709"/>
        <w:jc w:val="both"/>
      </w:pPr>
      <w:proofErr w:type="spellStart"/>
      <w:r w:rsidRPr="00D24B2C">
        <w:t>Syafi</w:t>
      </w:r>
      <w:r>
        <w:t>’</w:t>
      </w:r>
      <w:r w:rsidRPr="00D24B2C">
        <w:t>iyah</w:t>
      </w:r>
      <w:proofErr w:type="spellEnd"/>
      <w:r w:rsidRPr="00D24B2C">
        <w:t xml:space="preserve"> ulama and some </w:t>
      </w:r>
      <w:proofErr w:type="spellStart"/>
      <w:r w:rsidRPr="00D24B2C">
        <w:t>hanabalah</w:t>
      </w:r>
      <w:proofErr w:type="spellEnd"/>
      <w:r w:rsidRPr="00D24B2C">
        <w:t xml:space="preserve"> ulama who do not postulate with </w:t>
      </w:r>
      <w:proofErr w:type="spellStart"/>
      <w:r w:rsidRPr="00D24B2C">
        <w:rPr>
          <w:i/>
          <w:iCs/>
        </w:rPr>
        <w:t>istihsan</w:t>
      </w:r>
      <w:proofErr w:type="spellEnd"/>
      <w:r w:rsidRPr="00D24B2C">
        <w:t xml:space="preserve"> are very much in line with the people of Nagari Sungai </w:t>
      </w:r>
      <w:proofErr w:type="spellStart"/>
      <w:r w:rsidRPr="00D24B2C">
        <w:t>Tanang</w:t>
      </w:r>
      <w:proofErr w:type="spellEnd"/>
      <w:r w:rsidRPr="00D24B2C">
        <w:t xml:space="preserve"> in implementing waqf. The community believes that waqf objects must be held indefinitely, regardless of the waqf</w:t>
      </w:r>
      <w:r>
        <w:t>’</w:t>
      </w:r>
      <w:r w:rsidRPr="00D24B2C">
        <w:t xml:space="preserve">s ownership, and the </w:t>
      </w:r>
      <w:r w:rsidR="00106D4A" w:rsidRPr="00106D4A">
        <w:rPr>
          <w:i/>
          <w:iCs/>
        </w:rPr>
        <w:t>waqif</w:t>
      </w:r>
      <w:r w:rsidRPr="00D24B2C">
        <w:t xml:space="preserve"> and </w:t>
      </w:r>
      <w:r>
        <w:t>his</w:t>
      </w:r>
      <w:r w:rsidRPr="00D24B2C">
        <w:t xml:space="preserve"> family cannot withdraw, donate, sell, or pass on to their heirs. If it is related to such an understanding, of course, the community does not carry out the </w:t>
      </w:r>
      <w:proofErr w:type="spellStart"/>
      <w:r>
        <w:t>C</w:t>
      </w:r>
      <w:r w:rsidRPr="00D24B2C">
        <w:t>arotai</w:t>
      </w:r>
      <w:proofErr w:type="spellEnd"/>
      <w:r w:rsidRPr="00D24B2C">
        <w:t xml:space="preserve"> tradition or culture from the proceeds of the </w:t>
      </w:r>
      <w:proofErr w:type="spellStart"/>
      <w:r>
        <w:t>T</w:t>
      </w:r>
      <w:r w:rsidRPr="00D24B2C">
        <w:t>abek</w:t>
      </w:r>
      <w:proofErr w:type="spellEnd"/>
      <w:r w:rsidRPr="00D24B2C">
        <w:t xml:space="preserve"> </w:t>
      </w:r>
      <w:proofErr w:type="spellStart"/>
      <w:r>
        <w:t>G</w:t>
      </w:r>
      <w:r w:rsidRPr="00D24B2C">
        <w:t>adang</w:t>
      </w:r>
      <w:proofErr w:type="spellEnd"/>
      <w:r w:rsidRPr="00D24B2C">
        <w:t xml:space="preserve"> waqf.</w:t>
      </w:r>
    </w:p>
    <w:p w14:paraId="1437AA87" w14:textId="0E165E5E" w:rsidR="00504C7C" w:rsidRDefault="00D24B2C" w:rsidP="00E63AC1">
      <w:pPr>
        <w:spacing w:line="360" w:lineRule="auto"/>
        <w:ind w:firstLine="709"/>
        <w:jc w:val="both"/>
      </w:pPr>
      <w:r w:rsidRPr="00D24B2C">
        <w:t xml:space="preserve">In the </w:t>
      </w:r>
      <w:proofErr w:type="spellStart"/>
      <w:r>
        <w:t>C</w:t>
      </w:r>
      <w:r w:rsidRPr="00D24B2C">
        <w:t>arotai</w:t>
      </w:r>
      <w:proofErr w:type="spellEnd"/>
      <w:r w:rsidRPr="00D24B2C">
        <w:t xml:space="preserve"> waqf in the Nagari Sungai </w:t>
      </w:r>
      <w:proofErr w:type="spellStart"/>
      <w:r w:rsidRPr="00D24B2C">
        <w:t>Tanang</w:t>
      </w:r>
      <w:proofErr w:type="spellEnd"/>
      <w:r w:rsidRPr="00D24B2C">
        <w:t xml:space="preserve"> community, it is understood that there is a combination of two different opinions of the ulama, because in terms of the waqf rules, it seems that they use the opinion of Imam </w:t>
      </w:r>
      <w:proofErr w:type="spellStart"/>
      <w:r w:rsidRPr="00D24B2C">
        <w:t>Syafi</w:t>
      </w:r>
      <w:r>
        <w:t>’</w:t>
      </w:r>
      <w:r w:rsidRPr="00D24B2C">
        <w:t>i</w:t>
      </w:r>
      <w:proofErr w:type="spellEnd"/>
      <w:r w:rsidRPr="00D24B2C">
        <w:t xml:space="preserve">, while in terms of the implementation of the </w:t>
      </w:r>
      <w:proofErr w:type="spellStart"/>
      <w:r>
        <w:t>C</w:t>
      </w:r>
      <w:r w:rsidRPr="00D24B2C">
        <w:t>arotai</w:t>
      </w:r>
      <w:proofErr w:type="spellEnd"/>
      <w:r w:rsidRPr="00D24B2C">
        <w:t xml:space="preserve"> waqf, they use the opinion of Imam Abu Hanifah, even though in the Nagari Sungai </w:t>
      </w:r>
      <w:proofErr w:type="spellStart"/>
      <w:r w:rsidRPr="00D24B2C">
        <w:t>Tanang</w:t>
      </w:r>
      <w:proofErr w:type="spellEnd"/>
      <w:r w:rsidRPr="00D24B2C">
        <w:t xml:space="preserve"> community, Imam Abu Hanifah</w:t>
      </w:r>
      <w:r>
        <w:t>’</w:t>
      </w:r>
      <w:r w:rsidRPr="00D24B2C">
        <w:t xml:space="preserve">s opinion is not as </w:t>
      </w:r>
      <w:proofErr w:type="spellStart"/>
      <w:r w:rsidRPr="00D24B2C">
        <w:t>well known</w:t>
      </w:r>
      <w:proofErr w:type="spellEnd"/>
      <w:r w:rsidRPr="00D24B2C">
        <w:t xml:space="preserve"> as Imam </w:t>
      </w:r>
      <w:proofErr w:type="spellStart"/>
      <w:r w:rsidRPr="00D24B2C">
        <w:t>Syafi</w:t>
      </w:r>
      <w:r>
        <w:t>’</w:t>
      </w:r>
      <w:r w:rsidRPr="00D24B2C">
        <w:t>i</w:t>
      </w:r>
      <w:r>
        <w:t>’</w:t>
      </w:r>
      <w:r w:rsidRPr="00D24B2C">
        <w:t>s</w:t>
      </w:r>
      <w:proofErr w:type="spellEnd"/>
      <w:r w:rsidRPr="00D24B2C">
        <w:t xml:space="preserve"> opinion.</w:t>
      </w:r>
      <w:r w:rsidR="00504C7C">
        <w:t xml:space="preserve">   </w:t>
      </w:r>
    </w:p>
    <w:p w14:paraId="437FD919" w14:textId="7733A5CB" w:rsidR="00251D56" w:rsidRDefault="00DA5DC7" w:rsidP="00991047">
      <w:pPr>
        <w:spacing w:before="240" w:line="360" w:lineRule="auto"/>
        <w:jc w:val="both"/>
        <w:rPr>
          <w:b/>
          <w:bCs/>
        </w:rPr>
      </w:pPr>
      <w:r w:rsidRPr="00DA5DC7">
        <w:rPr>
          <w:b/>
          <w:bCs/>
        </w:rPr>
        <w:t xml:space="preserve">Social Cohesion Growing out of the </w:t>
      </w:r>
      <w:proofErr w:type="spellStart"/>
      <w:r w:rsidRPr="00DA5DC7">
        <w:rPr>
          <w:b/>
          <w:bCs/>
        </w:rPr>
        <w:t>Carotai</w:t>
      </w:r>
      <w:proofErr w:type="spellEnd"/>
      <w:r w:rsidRPr="00DA5DC7">
        <w:rPr>
          <w:b/>
          <w:bCs/>
        </w:rPr>
        <w:t xml:space="preserve"> Tradition</w:t>
      </w:r>
    </w:p>
    <w:p w14:paraId="2EBAFC7D" w14:textId="5C0B816A" w:rsidR="009A3CC4" w:rsidRPr="00DA5DC7" w:rsidRDefault="00DA5DC7" w:rsidP="009A3CC4">
      <w:pPr>
        <w:spacing w:line="360" w:lineRule="auto"/>
        <w:ind w:firstLine="720"/>
        <w:jc w:val="both"/>
      </w:pPr>
      <w:proofErr w:type="spellStart"/>
      <w:r w:rsidRPr="00DA5DC7">
        <w:t>Carotai</w:t>
      </w:r>
      <w:proofErr w:type="spellEnd"/>
      <w:r w:rsidRPr="00DA5DC7">
        <w:t xml:space="preserve"> Waqf in </w:t>
      </w:r>
      <w:proofErr w:type="spellStart"/>
      <w:r w:rsidRPr="00DA5DC7">
        <w:t>Tabek</w:t>
      </w:r>
      <w:proofErr w:type="spellEnd"/>
      <w:r w:rsidRPr="00DA5DC7">
        <w:t xml:space="preserve"> </w:t>
      </w:r>
      <w:proofErr w:type="spellStart"/>
      <w:r w:rsidRPr="00DA5DC7">
        <w:t>Gadang</w:t>
      </w:r>
      <w:proofErr w:type="spellEnd"/>
      <w:r w:rsidRPr="00DA5DC7">
        <w:t xml:space="preserve"> Nagari Sungai </w:t>
      </w:r>
      <w:proofErr w:type="spellStart"/>
      <w:r w:rsidRPr="00DA5DC7">
        <w:t>Tanang</w:t>
      </w:r>
      <w:proofErr w:type="spellEnd"/>
      <w:r w:rsidRPr="00DA5DC7">
        <w:t xml:space="preserve"> is estimated to have started around 1950 and taught the values of life to the residents of Nagari community as stated by Ferry Nata Kusuma (community figure). First, </w:t>
      </w:r>
      <w:r>
        <w:t>it teaches</w:t>
      </w:r>
      <w:r w:rsidRPr="00DA5DC7">
        <w:t xml:space="preserve"> nephew</w:t>
      </w:r>
      <w:r>
        <w:t>s, nieces, and</w:t>
      </w:r>
      <w:r w:rsidRPr="00DA5DC7">
        <w:t xml:space="preserve"> children the values of trust in protecting and raising the fish in </w:t>
      </w:r>
      <w:proofErr w:type="spellStart"/>
      <w:r w:rsidRPr="00DA5DC7">
        <w:t>Tabek</w:t>
      </w:r>
      <w:proofErr w:type="spellEnd"/>
      <w:r w:rsidRPr="00DA5DC7">
        <w:t xml:space="preserve"> </w:t>
      </w:r>
      <w:proofErr w:type="spellStart"/>
      <w:r w:rsidRPr="00DA5DC7">
        <w:t>Gadang</w:t>
      </w:r>
      <w:proofErr w:type="spellEnd"/>
      <w:r w:rsidRPr="00DA5DC7">
        <w:t>. They remind each other of their respective roles and ma</w:t>
      </w:r>
      <w:r>
        <w:t>ke</w:t>
      </w:r>
      <w:r w:rsidRPr="00DA5DC7">
        <w:t xml:space="preserve"> them aware that even though the fish in </w:t>
      </w:r>
      <w:proofErr w:type="spellStart"/>
      <w:r w:rsidRPr="00DA5DC7">
        <w:t>Tabek</w:t>
      </w:r>
      <w:proofErr w:type="spellEnd"/>
      <w:r w:rsidRPr="00DA5DC7">
        <w:t xml:space="preserve"> </w:t>
      </w:r>
      <w:proofErr w:type="spellStart"/>
      <w:r w:rsidRPr="00DA5DC7">
        <w:t>Gadang</w:t>
      </w:r>
      <w:proofErr w:type="spellEnd"/>
      <w:r w:rsidRPr="00DA5DC7">
        <w:t xml:space="preserve"> </w:t>
      </w:r>
      <w:r>
        <w:t>are</w:t>
      </w:r>
      <w:r w:rsidRPr="00DA5DC7">
        <w:t xml:space="preserve"> not prohibited fish, they ha</w:t>
      </w:r>
      <w:r>
        <w:t>ve</w:t>
      </w:r>
      <w:r w:rsidRPr="00DA5DC7">
        <w:t xml:space="preserve"> to take care of them together.</w:t>
      </w:r>
    </w:p>
    <w:p w14:paraId="7C0ECFBB" w14:textId="0CE6BF39" w:rsidR="00E31794" w:rsidRPr="00DA5DC7" w:rsidRDefault="00DA5DC7" w:rsidP="009A3CC4">
      <w:pPr>
        <w:spacing w:line="360" w:lineRule="auto"/>
        <w:ind w:firstLine="720"/>
        <w:jc w:val="both"/>
      </w:pPr>
      <w:r w:rsidRPr="00DA5DC7">
        <w:t xml:space="preserve">Second, to teach family values and togetherness. Many of the people of Nagari Sungai </w:t>
      </w:r>
      <w:proofErr w:type="spellStart"/>
      <w:r w:rsidRPr="00DA5DC7">
        <w:t>Tanang</w:t>
      </w:r>
      <w:proofErr w:type="spellEnd"/>
      <w:r w:rsidRPr="00DA5DC7">
        <w:t xml:space="preserve"> have migrated to Jakarta, Medan, Padang</w:t>
      </w:r>
      <w:r>
        <w:t>,</w:t>
      </w:r>
      <w:r w:rsidRPr="00DA5DC7">
        <w:t xml:space="preserve"> and other cities that are almost the same as other Nagari in the Minang</w:t>
      </w:r>
      <w:r>
        <w:t>kabau</w:t>
      </w:r>
      <w:r w:rsidRPr="00DA5DC7">
        <w:t xml:space="preserve"> </w:t>
      </w:r>
      <w:r>
        <w:t>circle</w:t>
      </w:r>
      <w:r w:rsidRPr="00DA5DC7">
        <w:t xml:space="preserve">. These overseas communities rarely return home together </w:t>
      </w:r>
      <w:r>
        <w:t xml:space="preserve">(so-called </w:t>
      </w:r>
      <w:proofErr w:type="spellStart"/>
      <w:r>
        <w:t>pulang</w:t>
      </w:r>
      <w:proofErr w:type="spellEnd"/>
      <w:r w:rsidRPr="00DA5DC7">
        <w:t xml:space="preserve"> </w:t>
      </w:r>
      <w:proofErr w:type="spellStart"/>
      <w:r w:rsidRPr="00DA5DC7">
        <w:t>basamo</w:t>
      </w:r>
      <w:proofErr w:type="spellEnd"/>
      <w:r>
        <w:t>)</w:t>
      </w:r>
      <w:r w:rsidRPr="00DA5DC7">
        <w:t xml:space="preserve"> to </w:t>
      </w:r>
      <w:r w:rsidRPr="00DA5DC7">
        <w:lastRenderedPageBreak/>
        <w:t xml:space="preserve">their hometown in Nagari Sungai </w:t>
      </w:r>
      <w:proofErr w:type="spellStart"/>
      <w:r w:rsidRPr="00DA5DC7">
        <w:t>Tanang</w:t>
      </w:r>
      <w:proofErr w:type="spellEnd"/>
      <w:r w:rsidRPr="00DA5DC7">
        <w:t xml:space="preserve">, unless there are activities that the children of the three </w:t>
      </w:r>
      <w:proofErr w:type="spellStart"/>
      <w:r w:rsidRPr="00DA5DC7">
        <w:rPr>
          <w:i/>
          <w:iCs/>
        </w:rPr>
        <w:t>jorong</w:t>
      </w:r>
      <w:proofErr w:type="spellEnd"/>
      <w:r w:rsidRPr="00DA5DC7">
        <w:t xml:space="preserve"> </w:t>
      </w:r>
      <w:r>
        <w:t>(</w:t>
      </w:r>
      <w:r w:rsidRPr="00DA5DC7">
        <w:t>villages</w:t>
      </w:r>
      <w:r>
        <w:t>)</w:t>
      </w:r>
      <w:r w:rsidRPr="00DA5DC7">
        <w:t xml:space="preserve"> do together, such as this </w:t>
      </w:r>
      <w:proofErr w:type="spellStart"/>
      <w:r>
        <w:t>C</w:t>
      </w:r>
      <w:r w:rsidRPr="00DA5DC7">
        <w:t>arotai</w:t>
      </w:r>
      <w:proofErr w:type="spellEnd"/>
      <w:r w:rsidRPr="00DA5DC7">
        <w:t xml:space="preserve"> event.</w:t>
      </w:r>
    </w:p>
    <w:p w14:paraId="5E70FB08" w14:textId="2586F8F0" w:rsidR="00DA5DC7" w:rsidRPr="00DA5DC7" w:rsidRDefault="00DA5DC7" w:rsidP="00B15E27">
      <w:pPr>
        <w:spacing w:line="360" w:lineRule="auto"/>
        <w:ind w:firstLine="720"/>
        <w:jc w:val="both"/>
      </w:pPr>
      <w:r w:rsidRPr="00DA5DC7">
        <w:t xml:space="preserve">Third, to re-cultivate the spirit of mutual cooperation and a sense of togetherness. According to </w:t>
      </w:r>
      <w:proofErr w:type="spellStart"/>
      <w:r w:rsidRPr="00DA5DC7">
        <w:t>Elfiandi</w:t>
      </w:r>
      <w:proofErr w:type="spellEnd"/>
      <w:r w:rsidRPr="00DA5DC7">
        <w:t xml:space="preserve"> (Chairman of the Nagari Advisory Board), in the implementation of the </w:t>
      </w:r>
      <w:proofErr w:type="spellStart"/>
      <w:r w:rsidRPr="00DA5DC7">
        <w:t>Carotai</w:t>
      </w:r>
      <w:proofErr w:type="spellEnd"/>
      <w:r w:rsidRPr="00DA5DC7">
        <w:t xml:space="preserve"> Waqf, there </w:t>
      </w:r>
      <w:r w:rsidR="00A45860">
        <w:t>was</w:t>
      </w:r>
      <w:r w:rsidRPr="00DA5DC7">
        <w:t xml:space="preserve"> no difference </w:t>
      </w:r>
      <w:r w:rsidR="00A45860">
        <w:t>among</w:t>
      </w:r>
      <w:r w:rsidRPr="00DA5DC7">
        <w:t xml:space="preserve"> people </w:t>
      </w:r>
      <w:r w:rsidR="00A45860">
        <w:t>whether they have lower or higher social status</w:t>
      </w:r>
      <w:r w:rsidRPr="00DA5DC7">
        <w:t>. Everyone was covered in mud, their bodies and clothes were wet, but they still had time to talk to each other. Happy smiles for people who ca</w:t>
      </w:r>
      <w:r w:rsidR="00A45860">
        <w:t>ught</w:t>
      </w:r>
      <w:r w:rsidRPr="00DA5DC7">
        <w:t xml:space="preserve"> big fish, and for those who </w:t>
      </w:r>
      <w:r w:rsidR="00A45860">
        <w:t>caught</w:t>
      </w:r>
      <w:r w:rsidRPr="00DA5DC7">
        <w:t xml:space="preserve"> small or medium fish, they </w:t>
      </w:r>
      <w:r w:rsidR="00A45860">
        <w:t>were</w:t>
      </w:r>
      <w:r w:rsidRPr="00DA5DC7">
        <w:t xml:space="preserve"> still enthusiastically looking for them.</w:t>
      </w:r>
    </w:p>
    <w:p w14:paraId="3521BB80" w14:textId="293CE960" w:rsidR="00A921B1" w:rsidRDefault="00D42856" w:rsidP="00B15E27">
      <w:pPr>
        <w:spacing w:line="360" w:lineRule="auto"/>
        <w:ind w:firstLine="720"/>
        <w:jc w:val="both"/>
        <w:rPr>
          <w:b/>
          <w:bCs/>
        </w:rPr>
      </w:pPr>
      <w:r w:rsidRPr="00D42856">
        <w:t xml:space="preserve">Apart from that, </w:t>
      </w:r>
      <w:proofErr w:type="spellStart"/>
      <w:r w:rsidRPr="00D42856">
        <w:t>Wandrizon</w:t>
      </w:r>
      <w:proofErr w:type="spellEnd"/>
      <w:r w:rsidRPr="00D42856">
        <w:t xml:space="preserve">, chairman of </w:t>
      </w:r>
      <w:proofErr w:type="spellStart"/>
      <w:r w:rsidRPr="00D42856">
        <w:t>Nazhir</w:t>
      </w:r>
      <w:proofErr w:type="spellEnd"/>
      <w:r w:rsidRPr="00D42856">
        <w:t xml:space="preserve"> Wa</w:t>
      </w:r>
      <w:r>
        <w:t>qf</w:t>
      </w:r>
      <w:r w:rsidRPr="00D42856">
        <w:t xml:space="preserve"> </w:t>
      </w:r>
      <w:r>
        <w:t xml:space="preserve">of </w:t>
      </w:r>
      <w:proofErr w:type="spellStart"/>
      <w:r w:rsidRPr="00D42856">
        <w:t>Tabek</w:t>
      </w:r>
      <w:proofErr w:type="spellEnd"/>
      <w:r w:rsidRPr="00D42856">
        <w:t xml:space="preserve"> </w:t>
      </w:r>
      <w:proofErr w:type="spellStart"/>
      <w:r w:rsidRPr="00D42856">
        <w:t>Gadang</w:t>
      </w:r>
      <w:proofErr w:type="spellEnd"/>
      <w:r w:rsidRPr="00D42856">
        <w:t xml:space="preserve">, explained that the </w:t>
      </w:r>
      <w:proofErr w:type="spellStart"/>
      <w:r>
        <w:t>C</w:t>
      </w:r>
      <w:r w:rsidRPr="00D42856">
        <w:t>arotai</w:t>
      </w:r>
      <w:proofErr w:type="spellEnd"/>
      <w:r w:rsidRPr="00D42856">
        <w:t xml:space="preserve"> waqf was carried out when the </w:t>
      </w:r>
      <w:proofErr w:type="spellStart"/>
      <w:r>
        <w:t>T</w:t>
      </w:r>
      <w:r w:rsidRPr="00D42856">
        <w:t>abek</w:t>
      </w:r>
      <w:proofErr w:type="spellEnd"/>
      <w:r w:rsidRPr="00D42856">
        <w:t xml:space="preserve"> needed repairs, such as the edge of the pool was leaking, while the time for carrying out the repairs was still a matter of deliberation, so that the </w:t>
      </w:r>
      <w:proofErr w:type="spellStart"/>
      <w:r>
        <w:t>C</w:t>
      </w:r>
      <w:r w:rsidRPr="00D42856">
        <w:t>arotai</w:t>
      </w:r>
      <w:proofErr w:type="spellEnd"/>
      <w:r w:rsidRPr="00D42856">
        <w:t xml:space="preserve"> waqf can be participated in by as many people as possible in Nagari Sungai </w:t>
      </w:r>
      <w:proofErr w:type="spellStart"/>
      <w:r w:rsidRPr="00D42856">
        <w:t>Tanang</w:t>
      </w:r>
      <w:proofErr w:type="spellEnd"/>
      <w:r>
        <w:t>,</w:t>
      </w:r>
      <w:r w:rsidRPr="00D42856">
        <w:t xml:space="preserve"> both those in their hometown and people who are overseas by going home </w:t>
      </w:r>
      <w:r>
        <w:t>together</w:t>
      </w:r>
      <w:r w:rsidRPr="00D42856">
        <w:t xml:space="preserve"> (so-called</w:t>
      </w:r>
      <w:r>
        <w:rPr>
          <w:i/>
          <w:iCs/>
        </w:rPr>
        <w:t xml:space="preserve"> </w:t>
      </w:r>
      <w:proofErr w:type="spellStart"/>
      <w:r w:rsidRPr="00D42856">
        <w:rPr>
          <w:i/>
          <w:iCs/>
        </w:rPr>
        <w:t>pulang</w:t>
      </w:r>
      <w:proofErr w:type="spellEnd"/>
      <w:r w:rsidRPr="00D42856">
        <w:rPr>
          <w:i/>
          <w:iCs/>
        </w:rPr>
        <w:t xml:space="preserve"> </w:t>
      </w:r>
      <w:proofErr w:type="spellStart"/>
      <w:r w:rsidRPr="00D42856">
        <w:rPr>
          <w:i/>
          <w:iCs/>
        </w:rPr>
        <w:t>basamo</w:t>
      </w:r>
      <w:proofErr w:type="spellEnd"/>
      <w:r>
        <w:t>)</w:t>
      </w:r>
      <w:r w:rsidRPr="00D42856">
        <w:t>.</w:t>
      </w:r>
      <w:r w:rsidR="00595D5A">
        <w:t xml:space="preserve">   </w:t>
      </w:r>
    </w:p>
    <w:p w14:paraId="1CEEEBF6" w14:textId="5487094C" w:rsidR="001B6A7F" w:rsidRDefault="007F2996" w:rsidP="00455BD6">
      <w:pPr>
        <w:spacing w:before="240" w:line="360" w:lineRule="auto"/>
        <w:jc w:val="both"/>
        <w:rPr>
          <w:b/>
          <w:bCs/>
        </w:rPr>
      </w:pPr>
      <w:proofErr w:type="spellStart"/>
      <w:r>
        <w:rPr>
          <w:b/>
          <w:bCs/>
        </w:rPr>
        <w:t>Conclution</w:t>
      </w:r>
      <w:proofErr w:type="spellEnd"/>
    </w:p>
    <w:p w14:paraId="0BF208B0" w14:textId="5EC505D4" w:rsidR="00645011" w:rsidRPr="00DB2A72" w:rsidRDefault="006349B8" w:rsidP="00455BD6">
      <w:pPr>
        <w:spacing w:line="360" w:lineRule="auto"/>
        <w:jc w:val="both"/>
      </w:pPr>
      <w:r>
        <w:rPr>
          <w:b/>
          <w:bCs/>
        </w:rPr>
        <w:tab/>
      </w:r>
      <w:r w:rsidR="000651C5" w:rsidRPr="000651C5">
        <w:t xml:space="preserve">The implementation of the </w:t>
      </w:r>
      <w:proofErr w:type="spellStart"/>
      <w:r w:rsidR="000651C5">
        <w:t>C</w:t>
      </w:r>
      <w:r w:rsidR="000651C5" w:rsidRPr="000651C5">
        <w:t>arotai</w:t>
      </w:r>
      <w:proofErr w:type="spellEnd"/>
      <w:r w:rsidR="000651C5" w:rsidRPr="000651C5">
        <w:t xml:space="preserve"> waqf in </w:t>
      </w:r>
      <w:proofErr w:type="spellStart"/>
      <w:r w:rsidR="000651C5" w:rsidRPr="000651C5">
        <w:t>Tabek</w:t>
      </w:r>
      <w:proofErr w:type="spellEnd"/>
      <w:r w:rsidR="000651C5" w:rsidRPr="000651C5">
        <w:t xml:space="preserve"> </w:t>
      </w:r>
      <w:proofErr w:type="spellStart"/>
      <w:r w:rsidR="000651C5" w:rsidRPr="000651C5">
        <w:t>Gadang</w:t>
      </w:r>
      <w:proofErr w:type="spellEnd"/>
      <w:r w:rsidR="000651C5" w:rsidRPr="000651C5">
        <w:t xml:space="preserve"> (a large fish pond) in Nagari Sungai </w:t>
      </w:r>
      <w:proofErr w:type="spellStart"/>
      <w:r w:rsidR="000651C5" w:rsidRPr="000651C5">
        <w:t>Tanang</w:t>
      </w:r>
      <w:proofErr w:type="spellEnd"/>
      <w:r w:rsidR="000651C5" w:rsidRPr="000651C5">
        <w:t>, on the one hand, s</w:t>
      </w:r>
      <w:r w:rsidR="000651C5">
        <w:t>ought</w:t>
      </w:r>
      <w:r w:rsidR="000651C5" w:rsidRPr="000651C5">
        <w:t xml:space="preserve"> to realize the values of social cohesion in the community, while on the other hand, the fish that </w:t>
      </w:r>
      <w:r w:rsidR="000651C5">
        <w:t>was</w:t>
      </w:r>
      <w:r w:rsidR="000651C5" w:rsidRPr="000651C5">
        <w:t xml:space="preserve"> </w:t>
      </w:r>
      <w:proofErr w:type="spellStart"/>
      <w:r w:rsidR="000651C5">
        <w:t>C</w:t>
      </w:r>
      <w:r w:rsidR="000651C5" w:rsidRPr="000651C5">
        <w:t>arotai</w:t>
      </w:r>
      <w:proofErr w:type="spellEnd"/>
      <w:r w:rsidR="000651C5" w:rsidRPr="000651C5">
        <w:t xml:space="preserve"> (disputed) </w:t>
      </w:r>
      <w:r w:rsidR="000651C5">
        <w:t>was</w:t>
      </w:r>
      <w:r w:rsidR="000651C5" w:rsidRPr="000651C5">
        <w:t xml:space="preserve"> waqf assets. By looking at several series of activities before the implementation of the </w:t>
      </w:r>
      <w:proofErr w:type="spellStart"/>
      <w:r w:rsidR="000651C5">
        <w:t>C</w:t>
      </w:r>
      <w:r w:rsidR="000651C5" w:rsidRPr="000651C5">
        <w:t>arotai</w:t>
      </w:r>
      <w:proofErr w:type="spellEnd"/>
      <w:r w:rsidR="000651C5" w:rsidRPr="000651C5">
        <w:t xml:space="preserve"> waqf, and most importantly the joint deliberations before the decision to </w:t>
      </w:r>
      <w:r w:rsidR="000651C5">
        <w:t xml:space="preserve">do </w:t>
      </w:r>
      <w:proofErr w:type="spellStart"/>
      <w:r w:rsidR="000651C5">
        <w:t>C</w:t>
      </w:r>
      <w:r w:rsidR="000651C5" w:rsidRPr="000651C5">
        <w:t>arotai</w:t>
      </w:r>
      <w:proofErr w:type="spellEnd"/>
      <w:r w:rsidR="000651C5" w:rsidRPr="000651C5">
        <w:t xml:space="preserve"> </w:t>
      </w:r>
      <w:r w:rsidR="000651C5">
        <w:t xml:space="preserve">in </w:t>
      </w:r>
      <w:proofErr w:type="spellStart"/>
      <w:r w:rsidR="000651C5" w:rsidRPr="000651C5">
        <w:t>Tabek</w:t>
      </w:r>
      <w:proofErr w:type="spellEnd"/>
      <w:r w:rsidR="000651C5" w:rsidRPr="000651C5">
        <w:t xml:space="preserve"> </w:t>
      </w:r>
      <w:proofErr w:type="spellStart"/>
      <w:r w:rsidR="000651C5" w:rsidRPr="000651C5">
        <w:t>Gadang</w:t>
      </w:r>
      <w:proofErr w:type="spellEnd"/>
      <w:r w:rsidR="000651C5" w:rsidRPr="000651C5">
        <w:t xml:space="preserve"> was carried out, even if there </w:t>
      </w:r>
      <w:r w:rsidR="000651C5">
        <w:t>was</w:t>
      </w:r>
      <w:r w:rsidR="000651C5" w:rsidRPr="000651C5">
        <w:t xml:space="preserve"> no evidence to support it, but at least with some considerations, it attract</w:t>
      </w:r>
      <w:r w:rsidR="000651C5">
        <w:t>ed</w:t>
      </w:r>
      <w:r w:rsidR="000651C5" w:rsidRPr="000651C5">
        <w:t xml:space="preserve"> positive values for </w:t>
      </w:r>
      <w:r w:rsidR="000651C5">
        <w:t>the youth</w:t>
      </w:r>
      <w:r w:rsidR="000651C5" w:rsidRPr="000651C5">
        <w:t>, it can be understood that they tr</w:t>
      </w:r>
      <w:r w:rsidR="000651C5">
        <w:t>ied</w:t>
      </w:r>
      <w:r w:rsidR="000651C5" w:rsidRPr="000651C5">
        <w:t xml:space="preserve"> to find good from the </w:t>
      </w:r>
      <w:proofErr w:type="spellStart"/>
      <w:r w:rsidR="000651C5">
        <w:t>C</w:t>
      </w:r>
      <w:r w:rsidR="000651C5" w:rsidRPr="000651C5">
        <w:t>arotai</w:t>
      </w:r>
      <w:proofErr w:type="spellEnd"/>
      <w:r w:rsidR="000651C5" w:rsidRPr="000651C5">
        <w:t xml:space="preserve"> waqf activities with an agreement that </w:t>
      </w:r>
      <w:r w:rsidR="000651C5">
        <w:t>was</w:t>
      </w:r>
      <w:r w:rsidR="000651C5" w:rsidRPr="000651C5">
        <w:t xml:space="preserve"> more similar to </w:t>
      </w:r>
      <w:proofErr w:type="spellStart"/>
      <w:r w:rsidR="000651C5" w:rsidRPr="000651C5">
        <w:rPr>
          <w:i/>
          <w:iCs/>
        </w:rPr>
        <w:t>istihsan</w:t>
      </w:r>
      <w:proofErr w:type="spellEnd"/>
      <w:r w:rsidR="000651C5" w:rsidRPr="000651C5">
        <w:rPr>
          <w:i/>
          <w:iCs/>
        </w:rPr>
        <w:t xml:space="preserve"> </w:t>
      </w:r>
      <w:proofErr w:type="spellStart"/>
      <w:r w:rsidR="000651C5" w:rsidRPr="000651C5">
        <w:rPr>
          <w:i/>
          <w:iCs/>
        </w:rPr>
        <w:t>bi</w:t>
      </w:r>
      <w:proofErr w:type="spellEnd"/>
      <w:r w:rsidR="000651C5" w:rsidRPr="000651C5">
        <w:rPr>
          <w:i/>
          <w:iCs/>
        </w:rPr>
        <w:t xml:space="preserve"> al-Ijma’</w:t>
      </w:r>
      <w:r w:rsidR="000651C5" w:rsidRPr="000651C5">
        <w:t>.</w:t>
      </w:r>
    </w:p>
    <w:p w14:paraId="4F298209" w14:textId="7F73E308" w:rsidR="002C5BC3" w:rsidRDefault="00D7012F" w:rsidP="003B1117">
      <w:pPr>
        <w:widowControl w:val="0"/>
        <w:autoSpaceDE w:val="0"/>
        <w:autoSpaceDN w:val="0"/>
        <w:adjustRightInd w:val="0"/>
        <w:spacing w:before="240" w:line="360" w:lineRule="auto"/>
        <w:ind w:left="480" w:hanging="480"/>
        <w:rPr>
          <w:b/>
          <w:bCs/>
        </w:rPr>
      </w:pPr>
      <w:r>
        <w:rPr>
          <w:b/>
          <w:bCs/>
        </w:rPr>
        <w:t>Bibliography</w:t>
      </w:r>
    </w:p>
    <w:p w14:paraId="5FD12FF9" w14:textId="799EFE55" w:rsidR="00332AF4" w:rsidRPr="00332AF4" w:rsidRDefault="00332AF4" w:rsidP="003D33E4">
      <w:pPr>
        <w:widowControl w:val="0"/>
        <w:autoSpaceDE w:val="0"/>
        <w:autoSpaceDN w:val="0"/>
        <w:adjustRightInd w:val="0"/>
        <w:spacing w:before="120" w:after="120"/>
        <w:ind w:left="475" w:hanging="475"/>
        <w:jc w:val="both"/>
        <w:rPr>
          <w:noProof/>
        </w:rPr>
      </w:pPr>
      <w:r>
        <w:rPr>
          <w:b/>
          <w:bCs/>
        </w:rPr>
        <w:fldChar w:fldCharType="begin" w:fldLock="1"/>
      </w:r>
      <w:r>
        <w:rPr>
          <w:b/>
          <w:bCs/>
        </w:rPr>
        <w:instrText xml:space="preserve">ADDIN Mendeley Bibliography CSL_BIBLIOGRAPHY </w:instrText>
      </w:r>
      <w:r>
        <w:rPr>
          <w:b/>
          <w:bCs/>
        </w:rPr>
        <w:fldChar w:fldCharType="separate"/>
      </w:r>
      <w:r w:rsidRPr="00332AF4">
        <w:rPr>
          <w:noProof/>
        </w:rPr>
        <w:t xml:space="preserve">Abdullah, Agung. “Waqf and State Interference: A Phenomenology Study in Al-Azhar University, Egypt.” </w:t>
      </w:r>
      <w:r w:rsidRPr="00332AF4">
        <w:rPr>
          <w:i/>
          <w:iCs/>
          <w:noProof/>
        </w:rPr>
        <w:t>Journal of Finance and Islamic Banking</w:t>
      </w:r>
      <w:r w:rsidR="00A93D8E">
        <w:rPr>
          <w:noProof/>
        </w:rPr>
        <w:t>, Volume</w:t>
      </w:r>
      <w:r w:rsidRPr="00332AF4">
        <w:rPr>
          <w:noProof/>
        </w:rPr>
        <w:t xml:space="preserve"> </w:t>
      </w:r>
      <w:r w:rsidRPr="00332AF4">
        <w:rPr>
          <w:noProof/>
        </w:rPr>
        <w:lastRenderedPageBreak/>
        <w:t xml:space="preserve">3, </w:t>
      </w:r>
      <w:r w:rsidR="00A93D8E">
        <w:rPr>
          <w:noProof/>
        </w:rPr>
        <w:t xml:space="preserve">Nomor </w:t>
      </w:r>
      <w:r w:rsidRPr="00332AF4">
        <w:rPr>
          <w:noProof/>
        </w:rPr>
        <w:t>1 (2020)</w:t>
      </w:r>
      <w:r w:rsidR="00A93D8E">
        <w:rPr>
          <w:noProof/>
        </w:rPr>
        <w:t xml:space="preserve">, </w:t>
      </w:r>
      <w:r w:rsidRPr="00332AF4">
        <w:rPr>
          <w:noProof/>
        </w:rPr>
        <w:t>38–56.</w:t>
      </w:r>
    </w:p>
    <w:p w14:paraId="772A3ECB" w14:textId="756C35F7"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Al-Harethi, Abobakr Ramadhan Salem. “Perception from Students in Kolej University Insaniah.” </w:t>
      </w:r>
      <w:r w:rsidRPr="00332AF4">
        <w:rPr>
          <w:i/>
          <w:iCs/>
          <w:noProof/>
        </w:rPr>
        <w:t>IKONOMIKA: Jurnal Ekonomi Dan Bisnis Islam</w:t>
      </w:r>
      <w:r w:rsidR="00A93D8E">
        <w:rPr>
          <w:noProof/>
        </w:rPr>
        <w:t>, Volume</w:t>
      </w:r>
      <w:r w:rsidRPr="00332AF4">
        <w:rPr>
          <w:noProof/>
        </w:rPr>
        <w:t xml:space="preserve"> 4, </w:t>
      </w:r>
      <w:r w:rsidR="00A93D8E">
        <w:rPr>
          <w:noProof/>
        </w:rPr>
        <w:t xml:space="preserve">Nomor </w:t>
      </w:r>
      <w:r w:rsidRPr="00332AF4">
        <w:rPr>
          <w:noProof/>
        </w:rPr>
        <w:t>1 (2019)</w:t>
      </w:r>
      <w:r w:rsidR="00A93D8E">
        <w:rPr>
          <w:noProof/>
        </w:rPr>
        <w:t>,</w:t>
      </w:r>
      <w:r w:rsidRPr="00332AF4">
        <w:rPr>
          <w:noProof/>
        </w:rPr>
        <w:t xml:space="preserve"> 53–59.</w:t>
      </w:r>
    </w:p>
    <w:p w14:paraId="2AB7DBB2" w14:textId="5AEE5E81"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Efendi, Mansur. “Menakar Progresivitas Hukum Wakaf Dalam Pengembangan Wakaf Uang Di Indonesia.” </w:t>
      </w:r>
      <w:r w:rsidRPr="00332AF4">
        <w:rPr>
          <w:i/>
          <w:iCs/>
          <w:noProof/>
        </w:rPr>
        <w:t>Al-Ahkam Jurnal Ilmu Syariah Dan Hukum</w:t>
      </w:r>
      <w:r w:rsidR="00A93D8E">
        <w:rPr>
          <w:noProof/>
        </w:rPr>
        <w:t>, Volume</w:t>
      </w:r>
      <w:r w:rsidRPr="00332AF4">
        <w:rPr>
          <w:noProof/>
        </w:rPr>
        <w:t xml:space="preserve"> 3</w:t>
      </w:r>
      <w:r w:rsidR="00A93D8E">
        <w:rPr>
          <w:noProof/>
        </w:rPr>
        <w:t>, Nomor 2</w:t>
      </w:r>
      <w:r w:rsidRPr="00332AF4">
        <w:rPr>
          <w:noProof/>
        </w:rPr>
        <w:t xml:space="preserve"> (2018)</w:t>
      </w:r>
      <w:r w:rsidR="00A93D8E">
        <w:rPr>
          <w:noProof/>
        </w:rPr>
        <w:t>, 191-204</w:t>
      </w:r>
      <w:r w:rsidRPr="00332AF4">
        <w:rPr>
          <w:noProof/>
        </w:rPr>
        <w:t>.</w:t>
      </w:r>
    </w:p>
    <w:p w14:paraId="6A740F82" w14:textId="7952C066"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Esa, Abeer, Ahmad Al, Abeer Esa, and Ahmad Al. “The Role Of Sukuk Al Waqf In Education And Islamic Media” </w:t>
      </w:r>
      <w:r w:rsidR="00A93D8E">
        <w:rPr>
          <w:noProof/>
        </w:rPr>
        <w:t xml:space="preserve">Volume </w:t>
      </w:r>
      <w:r w:rsidRPr="00332AF4">
        <w:rPr>
          <w:noProof/>
        </w:rPr>
        <w:t xml:space="preserve">12, </w:t>
      </w:r>
      <w:r w:rsidR="00A93D8E">
        <w:rPr>
          <w:noProof/>
        </w:rPr>
        <w:t xml:space="preserve">Number </w:t>
      </w:r>
      <w:r w:rsidRPr="00332AF4">
        <w:rPr>
          <w:noProof/>
        </w:rPr>
        <w:t>4 (2021)</w:t>
      </w:r>
      <w:r w:rsidR="00A93D8E">
        <w:rPr>
          <w:noProof/>
        </w:rPr>
        <w:t xml:space="preserve">, </w:t>
      </w:r>
      <w:r w:rsidRPr="00332AF4">
        <w:rPr>
          <w:noProof/>
        </w:rPr>
        <w:t>500–507.</w:t>
      </w:r>
    </w:p>
    <w:p w14:paraId="0183D1E3" w14:textId="69C5177F"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Falahy, Lutfi El. “Alih Fungsi Tanah Wakaf Ditinjau Dari Hukum Islam </w:t>
      </w:r>
      <w:r w:rsidR="00FC3E06">
        <w:rPr>
          <w:noProof/>
        </w:rPr>
        <w:t>d</w:t>
      </w:r>
      <w:r w:rsidRPr="00332AF4">
        <w:rPr>
          <w:noProof/>
        </w:rPr>
        <w:t xml:space="preserve">an Undang-Undang Nomor 41 Tahun 2004 Tentang Wakaf.” </w:t>
      </w:r>
      <w:r w:rsidRPr="00332AF4">
        <w:rPr>
          <w:i/>
          <w:iCs/>
          <w:noProof/>
        </w:rPr>
        <w:t>Al Istinbath: Jurnal Hukum Islam</w:t>
      </w:r>
      <w:r w:rsidR="00A93D8E">
        <w:rPr>
          <w:noProof/>
        </w:rPr>
        <w:t xml:space="preserve">, Volume </w:t>
      </w:r>
      <w:r w:rsidRPr="00332AF4">
        <w:rPr>
          <w:noProof/>
        </w:rPr>
        <w:t xml:space="preserve">1, </w:t>
      </w:r>
      <w:r w:rsidR="00A93D8E">
        <w:rPr>
          <w:noProof/>
        </w:rPr>
        <w:t xml:space="preserve">Nomor </w:t>
      </w:r>
      <w:r w:rsidRPr="00332AF4">
        <w:rPr>
          <w:noProof/>
        </w:rPr>
        <w:t>2 (2016)</w:t>
      </w:r>
      <w:r w:rsidR="00A93D8E">
        <w:rPr>
          <w:noProof/>
        </w:rPr>
        <w:t xml:space="preserve">, </w:t>
      </w:r>
      <w:r w:rsidRPr="00332AF4">
        <w:rPr>
          <w:noProof/>
        </w:rPr>
        <w:t>121–</w:t>
      </w:r>
      <w:r w:rsidR="00A93D8E">
        <w:rPr>
          <w:noProof/>
        </w:rPr>
        <w:t>1</w:t>
      </w:r>
      <w:r w:rsidRPr="00332AF4">
        <w:rPr>
          <w:noProof/>
        </w:rPr>
        <w:t>40.</w:t>
      </w:r>
    </w:p>
    <w:p w14:paraId="391794E8" w14:textId="69C9FEC3"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Habibullah, Eka Sakti. “Pandangan Imam Abu Hanifah </w:t>
      </w:r>
      <w:r w:rsidR="00FC3E06">
        <w:rPr>
          <w:noProof/>
        </w:rPr>
        <w:t>d</w:t>
      </w:r>
      <w:r w:rsidRPr="00332AF4">
        <w:rPr>
          <w:noProof/>
        </w:rPr>
        <w:t xml:space="preserve">an Imam Syafi’i Tentang Al-Istihsan.” </w:t>
      </w:r>
      <w:r w:rsidRPr="00332AF4">
        <w:rPr>
          <w:i/>
          <w:iCs/>
          <w:noProof/>
        </w:rPr>
        <w:t>Al Mashlahah Jurnal Hukum Dan Pranata Sosial Islam</w:t>
      </w:r>
      <w:r w:rsidR="00A93D8E">
        <w:rPr>
          <w:noProof/>
        </w:rPr>
        <w:t xml:space="preserve">, Volume </w:t>
      </w:r>
      <w:r w:rsidRPr="00332AF4">
        <w:rPr>
          <w:noProof/>
        </w:rPr>
        <w:t xml:space="preserve">4, </w:t>
      </w:r>
      <w:r w:rsidR="00A93D8E">
        <w:rPr>
          <w:noProof/>
        </w:rPr>
        <w:t xml:space="preserve">Nomor </w:t>
      </w:r>
      <w:r w:rsidRPr="00332AF4">
        <w:rPr>
          <w:noProof/>
        </w:rPr>
        <w:t>7 (2016)</w:t>
      </w:r>
      <w:r w:rsidR="00A93D8E">
        <w:rPr>
          <w:noProof/>
        </w:rPr>
        <w:t xml:space="preserve">, </w:t>
      </w:r>
      <w:r w:rsidRPr="00332AF4">
        <w:rPr>
          <w:noProof/>
        </w:rPr>
        <w:t>451–</w:t>
      </w:r>
      <w:r w:rsidR="00A93D8E">
        <w:rPr>
          <w:noProof/>
        </w:rPr>
        <w:t>4</w:t>
      </w:r>
      <w:r w:rsidRPr="00332AF4">
        <w:rPr>
          <w:noProof/>
        </w:rPr>
        <w:t>66.</w:t>
      </w:r>
    </w:p>
    <w:p w14:paraId="58B85EE6" w14:textId="163E271C"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Haryanto, Rudy. “Pengentasan Kemiskinan Melalui Pendekatan Wakaf Tunai.” </w:t>
      </w:r>
      <w:r w:rsidRPr="00332AF4">
        <w:rPr>
          <w:i/>
          <w:iCs/>
          <w:noProof/>
        </w:rPr>
        <w:t>AL-IHKAM: Jurnal Hukum &amp; Pranata Sosial</w:t>
      </w:r>
      <w:r w:rsidR="00A93D8E">
        <w:rPr>
          <w:noProof/>
        </w:rPr>
        <w:t>, Volume</w:t>
      </w:r>
      <w:r w:rsidRPr="00332AF4">
        <w:rPr>
          <w:noProof/>
        </w:rPr>
        <w:t xml:space="preserve"> 7, </w:t>
      </w:r>
      <w:r w:rsidR="00A93D8E">
        <w:rPr>
          <w:noProof/>
        </w:rPr>
        <w:t xml:space="preserve">Nomor </w:t>
      </w:r>
      <w:r w:rsidRPr="00332AF4">
        <w:rPr>
          <w:noProof/>
        </w:rPr>
        <w:t>1 (2013)</w:t>
      </w:r>
      <w:r w:rsidR="00A93D8E">
        <w:rPr>
          <w:noProof/>
        </w:rPr>
        <w:t xml:space="preserve">, </w:t>
      </w:r>
      <w:r w:rsidRPr="00332AF4">
        <w:rPr>
          <w:noProof/>
        </w:rPr>
        <w:t>178–200.</w:t>
      </w:r>
    </w:p>
    <w:p w14:paraId="341D81F6" w14:textId="753C0E34"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Hasan, Bakhtiar. “Penolakan Imam Syafi’i Terhadap Istihsan Sebagai Salah Satu Metode Istinbath Hukum Islam.” </w:t>
      </w:r>
      <w:r w:rsidRPr="00332AF4">
        <w:rPr>
          <w:i/>
          <w:iCs/>
          <w:noProof/>
        </w:rPr>
        <w:t>Al-Risalah: Forum Kajian Hukum Dan Sosial Kemasyarakatan</w:t>
      </w:r>
      <w:r w:rsidR="00A93D8E">
        <w:rPr>
          <w:noProof/>
        </w:rPr>
        <w:t xml:space="preserve">, Volume </w:t>
      </w:r>
      <w:r w:rsidRPr="00332AF4">
        <w:rPr>
          <w:noProof/>
        </w:rPr>
        <w:t xml:space="preserve">15, </w:t>
      </w:r>
      <w:r w:rsidR="00A93D8E">
        <w:rPr>
          <w:noProof/>
        </w:rPr>
        <w:t xml:space="preserve">Nomor </w:t>
      </w:r>
      <w:r w:rsidRPr="00332AF4">
        <w:rPr>
          <w:noProof/>
        </w:rPr>
        <w:t>01 (2018)</w:t>
      </w:r>
      <w:r w:rsidR="00A93D8E">
        <w:rPr>
          <w:noProof/>
        </w:rPr>
        <w:t xml:space="preserve">, </w:t>
      </w:r>
      <w:r w:rsidRPr="00332AF4">
        <w:rPr>
          <w:noProof/>
        </w:rPr>
        <w:t>58–73.</w:t>
      </w:r>
    </w:p>
    <w:p w14:paraId="6B0F7D20" w14:textId="6FA35E8C"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Hermawan, Wawan. “Pandangan Ulama Garut Tentang Wakaf Uang </w:t>
      </w:r>
      <w:r w:rsidR="00FC3E06">
        <w:rPr>
          <w:noProof/>
        </w:rPr>
        <w:t>d</w:t>
      </w:r>
      <w:r w:rsidRPr="00332AF4">
        <w:rPr>
          <w:noProof/>
        </w:rPr>
        <w:t xml:space="preserve">an Wakaf Mu‘Aqqat.” </w:t>
      </w:r>
      <w:r w:rsidRPr="00332AF4">
        <w:rPr>
          <w:i/>
          <w:iCs/>
          <w:noProof/>
        </w:rPr>
        <w:t>Ijtihad : Jurnal Wacana Hukum Islam Dan Kemanusiaan</w:t>
      </w:r>
      <w:r w:rsidR="00F131CB">
        <w:rPr>
          <w:noProof/>
        </w:rPr>
        <w:t>, Volume</w:t>
      </w:r>
      <w:r w:rsidRPr="00332AF4">
        <w:rPr>
          <w:noProof/>
        </w:rPr>
        <w:t xml:space="preserve"> 13, </w:t>
      </w:r>
      <w:r w:rsidR="00F131CB">
        <w:rPr>
          <w:noProof/>
        </w:rPr>
        <w:t xml:space="preserve">Nomor </w:t>
      </w:r>
      <w:r w:rsidRPr="00332AF4">
        <w:rPr>
          <w:noProof/>
        </w:rPr>
        <w:t>1 (2013)</w:t>
      </w:r>
      <w:r w:rsidR="00F131CB">
        <w:rPr>
          <w:noProof/>
        </w:rPr>
        <w:t xml:space="preserve">, </w:t>
      </w:r>
      <w:r w:rsidRPr="00332AF4">
        <w:rPr>
          <w:noProof/>
        </w:rPr>
        <w:t>49-64.</w:t>
      </w:r>
    </w:p>
    <w:p w14:paraId="4C402EC2" w14:textId="2D975E52"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Hosen, Muhamad Nadratuzzaman, Agung Maulana, Muhammad Zaid Farhand, and Muhammad Fudhail Rahman. “Evaluating the Fundraising Process of the World’s First Cash Waqf-Linked Sukuk in Indonesia.” </w:t>
      </w:r>
      <w:r w:rsidRPr="00332AF4">
        <w:rPr>
          <w:i/>
          <w:iCs/>
          <w:noProof/>
        </w:rPr>
        <w:t>QIJIS (Qudus International Journal of Islamic Studies)</w:t>
      </w:r>
      <w:r w:rsidR="00F131CB">
        <w:rPr>
          <w:noProof/>
        </w:rPr>
        <w:t>, Volume</w:t>
      </w:r>
      <w:r w:rsidRPr="00332AF4">
        <w:rPr>
          <w:noProof/>
        </w:rPr>
        <w:t xml:space="preserve"> 10, </w:t>
      </w:r>
      <w:r w:rsidR="00F131CB">
        <w:rPr>
          <w:noProof/>
        </w:rPr>
        <w:t xml:space="preserve">Number </w:t>
      </w:r>
      <w:r w:rsidRPr="00332AF4">
        <w:rPr>
          <w:noProof/>
        </w:rPr>
        <w:t>1 (2022)</w:t>
      </w:r>
      <w:r w:rsidR="00F131CB">
        <w:rPr>
          <w:noProof/>
        </w:rPr>
        <w:t xml:space="preserve">, </w:t>
      </w:r>
      <w:r w:rsidRPr="00332AF4">
        <w:rPr>
          <w:noProof/>
        </w:rPr>
        <w:t>175.</w:t>
      </w:r>
    </w:p>
    <w:p w14:paraId="554EA550" w14:textId="62CAE8CE"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Huda, Choirul. “</w:t>
      </w:r>
      <w:r w:rsidR="00FC3E06" w:rsidRPr="00332AF4">
        <w:rPr>
          <w:noProof/>
        </w:rPr>
        <w:t>Model Pengelolaan Bisnis Syari’ah</w:t>
      </w:r>
      <w:r w:rsidRPr="00332AF4">
        <w:rPr>
          <w:noProof/>
        </w:rPr>
        <w:t xml:space="preserve">: Studi Kasus Lembaga Pengembangan Usaha Yayasan Badan Wakaf Sultan Agung Semarang.” </w:t>
      </w:r>
      <w:r w:rsidRPr="00332AF4">
        <w:rPr>
          <w:i/>
          <w:iCs/>
          <w:noProof/>
        </w:rPr>
        <w:t>Walisongo: Jurnal Penelitian Sosial Keagamaan</w:t>
      </w:r>
      <w:r w:rsidR="00F131CB">
        <w:rPr>
          <w:noProof/>
        </w:rPr>
        <w:t xml:space="preserve">, Volume </w:t>
      </w:r>
      <w:r w:rsidRPr="00332AF4">
        <w:rPr>
          <w:noProof/>
        </w:rPr>
        <w:t xml:space="preserve">24, </w:t>
      </w:r>
      <w:r w:rsidR="00F131CB">
        <w:rPr>
          <w:noProof/>
        </w:rPr>
        <w:t xml:space="preserve">Nomor </w:t>
      </w:r>
      <w:r w:rsidRPr="00332AF4">
        <w:rPr>
          <w:noProof/>
        </w:rPr>
        <w:t>1 (2016)</w:t>
      </w:r>
      <w:r w:rsidR="00F131CB">
        <w:rPr>
          <w:noProof/>
        </w:rPr>
        <w:t xml:space="preserve">, </w:t>
      </w:r>
      <w:r w:rsidRPr="00332AF4">
        <w:rPr>
          <w:noProof/>
        </w:rPr>
        <w:t>165</w:t>
      </w:r>
      <w:r w:rsidR="00F131CB">
        <w:rPr>
          <w:noProof/>
        </w:rPr>
        <w:t>-</w:t>
      </w:r>
      <w:r w:rsidR="004C42CD">
        <w:rPr>
          <w:noProof/>
        </w:rPr>
        <w:t>190</w:t>
      </w:r>
      <w:r w:rsidRPr="00332AF4">
        <w:rPr>
          <w:noProof/>
        </w:rPr>
        <w:t>.</w:t>
      </w:r>
    </w:p>
    <w:p w14:paraId="4528C9ED" w14:textId="5495F099"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Ismail, Abdul Ghafar, and Wahyu Ario Pratomo. “Constitutional Rules on Waqf and Fiscal Policy Outcomes.” </w:t>
      </w:r>
      <w:r w:rsidRPr="00332AF4">
        <w:rPr>
          <w:i/>
          <w:iCs/>
          <w:noProof/>
        </w:rPr>
        <w:t>Sriwijaya Law Review</w:t>
      </w:r>
      <w:r w:rsidR="007A7443">
        <w:rPr>
          <w:noProof/>
        </w:rPr>
        <w:t>, Volume</w:t>
      </w:r>
      <w:r w:rsidRPr="00332AF4">
        <w:rPr>
          <w:noProof/>
        </w:rPr>
        <w:t xml:space="preserve"> 5, </w:t>
      </w:r>
      <w:r w:rsidR="007A7443">
        <w:rPr>
          <w:noProof/>
        </w:rPr>
        <w:t>Number</w:t>
      </w:r>
      <w:r w:rsidRPr="00332AF4">
        <w:rPr>
          <w:noProof/>
        </w:rPr>
        <w:t xml:space="preserve"> 2 (2021)</w:t>
      </w:r>
      <w:r w:rsidR="007A7443">
        <w:rPr>
          <w:noProof/>
        </w:rPr>
        <w:t xml:space="preserve">, </w:t>
      </w:r>
      <w:r w:rsidRPr="00332AF4">
        <w:rPr>
          <w:noProof/>
        </w:rPr>
        <w:t>262–</w:t>
      </w:r>
      <w:r w:rsidR="007A7443">
        <w:rPr>
          <w:noProof/>
        </w:rPr>
        <w:t>2</w:t>
      </w:r>
      <w:r w:rsidRPr="00332AF4">
        <w:rPr>
          <w:noProof/>
        </w:rPr>
        <w:t>72.</w:t>
      </w:r>
    </w:p>
    <w:p w14:paraId="48D75719" w14:textId="5C6BD65D"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Kamal, Mustafa. “Wakaf Tunai Menurut Pandangan Fiqh Syāfi‘</w:t>
      </w:r>
      <w:r w:rsidR="00571F8E">
        <w:rPr>
          <w:noProof/>
        </w:rPr>
        <w:t>i</w:t>
      </w:r>
      <w:r w:rsidRPr="00332AF4">
        <w:rPr>
          <w:noProof/>
        </w:rPr>
        <w:t xml:space="preserve">yah </w:t>
      </w:r>
      <w:r w:rsidR="00571F8E">
        <w:rPr>
          <w:noProof/>
        </w:rPr>
        <w:t>d</w:t>
      </w:r>
      <w:r w:rsidRPr="00332AF4">
        <w:rPr>
          <w:noProof/>
        </w:rPr>
        <w:t xml:space="preserve">an Fatwa Majelis Ulama Indonesia No.2 Tahun 2002 Tentang Wakaf Uang.” </w:t>
      </w:r>
      <w:r w:rsidRPr="00332AF4">
        <w:rPr>
          <w:i/>
          <w:iCs/>
          <w:noProof/>
        </w:rPr>
        <w:t>Jurnal Ilmiah Islam Futura</w:t>
      </w:r>
      <w:r w:rsidR="007A7443">
        <w:rPr>
          <w:noProof/>
        </w:rPr>
        <w:t xml:space="preserve">, Volume </w:t>
      </w:r>
      <w:r w:rsidRPr="00332AF4">
        <w:rPr>
          <w:noProof/>
        </w:rPr>
        <w:t xml:space="preserve">15, </w:t>
      </w:r>
      <w:r w:rsidR="007A7443">
        <w:rPr>
          <w:noProof/>
        </w:rPr>
        <w:t xml:space="preserve">Nomor </w:t>
      </w:r>
      <w:r w:rsidRPr="00332AF4">
        <w:rPr>
          <w:noProof/>
        </w:rPr>
        <w:t>1 (2015)</w:t>
      </w:r>
      <w:r w:rsidR="007A7443">
        <w:rPr>
          <w:noProof/>
        </w:rPr>
        <w:t xml:space="preserve">, </w:t>
      </w:r>
      <w:r w:rsidRPr="00332AF4">
        <w:rPr>
          <w:noProof/>
        </w:rPr>
        <w:t>93</w:t>
      </w:r>
      <w:r w:rsidR="00AA5B50">
        <w:rPr>
          <w:noProof/>
        </w:rPr>
        <w:t>-110</w:t>
      </w:r>
      <w:r w:rsidRPr="00332AF4">
        <w:rPr>
          <w:noProof/>
        </w:rPr>
        <w:t>.</w:t>
      </w:r>
    </w:p>
    <w:p w14:paraId="0835374C" w14:textId="449E3F76"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Kasdi, Abdurrahman. “Peran Nadzir </w:t>
      </w:r>
      <w:r w:rsidR="00571F8E">
        <w:rPr>
          <w:noProof/>
        </w:rPr>
        <w:t>d</w:t>
      </w:r>
      <w:r w:rsidRPr="00332AF4">
        <w:rPr>
          <w:noProof/>
        </w:rPr>
        <w:t xml:space="preserve">alam Pengembangan Wakaf.” </w:t>
      </w:r>
      <w:r w:rsidRPr="00332AF4">
        <w:rPr>
          <w:i/>
          <w:iCs/>
          <w:noProof/>
        </w:rPr>
        <w:t>Jurnal Zakat Dan Wakaf</w:t>
      </w:r>
      <w:r w:rsidR="00AA5B50">
        <w:rPr>
          <w:noProof/>
        </w:rPr>
        <w:t>, Volume</w:t>
      </w:r>
      <w:r w:rsidRPr="00332AF4">
        <w:rPr>
          <w:noProof/>
        </w:rPr>
        <w:t xml:space="preserve"> 1, </w:t>
      </w:r>
      <w:r w:rsidR="00AA5B50">
        <w:rPr>
          <w:noProof/>
        </w:rPr>
        <w:t xml:space="preserve">Nomor </w:t>
      </w:r>
      <w:r w:rsidRPr="00332AF4">
        <w:rPr>
          <w:noProof/>
        </w:rPr>
        <w:t>2 (2014)</w:t>
      </w:r>
      <w:r w:rsidR="00AA5B50">
        <w:rPr>
          <w:noProof/>
        </w:rPr>
        <w:t xml:space="preserve">, </w:t>
      </w:r>
      <w:r w:rsidRPr="00332AF4">
        <w:rPr>
          <w:noProof/>
        </w:rPr>
        <w:t>213–</w:t>
      </w:r>
      <w:r w:rsidR="00AA5B50">
        <w:rPr>
          <w:noProof/>
        </w:rPr>
        <w:t>2</w:t>
      </w:r>
      <w:r w:rsidRPr="00332AF4">
        <w:rPr>
          <w:noProof/>
        </w:rPr>
        <w:t>26.</w:t>
      </w:r>
    </w:p>
    <w:p w14:paraId="7C971095" w14:textId="3442E424"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lastRenderedPageBreak/>
        <w:t xml:space="preserve">Masdar, Masdar. “Penerapan Hukum Wakaf Uang </w:t>
      </w:r>
      <w:r w:rsidR="00571F8E">
        <w:rPr>
          <w:noProof/>
        </w:rPr>
        <w:t>d</w:t>
      </w:r>
      <w:r w:rsidRPr="00332AF4">
        <w:rPr>
          <w:noProof/>
        </w:rPr>
        <w:t xml:space="preserve">i Indonesia Perspektif Legal System Theory.” </w:t>
      </w:r>
      <w:r w:rsidRPr="00332AF4">
        <w:rPr>
          <w:i/>
          <w:iCs/>
          <w:noProof/>
        </w:rPr>
        <w:t>Al-Manahij: Jurnal Kajian Hukum Islam</w:t>
      </w:r>
      <w:r w:rsidR="00AA5B50">
        <w:rPr>
          <w:noProof/>
        </w:rPr>
        <w:t xml:space="preserve">, Volume </w:t>
      </w:r>
      <w:r w:rsidRPr="00332AF4">
        <w:rPr>
          <w:noProof/>
        </w:rPr>
        <w:t xml:space="preserve">11, </w:t>
      </w:r>
      <w:r w:rsidR="00AA5B50">
        <w:rPr>
          <w:noProof/>
        </w:rPr>
        <w:t xml:space="preserve">Nomor </w:t>
      </w:r>
      <w:r w:rsidRPr="00332AF4">
        <w:rPr>
          <w:noProof/>
        </w:rPr>
        <w:t>1 (2018)</w:t>
      </w:r>
      <w:r w:rsidR="00AA5B50">
        <w:rPr>
          <w:noProof/>
        </w:rPr>
        <w:t xml:space="preserve">, </w:t>
      </w:r>
      <w:r w:rsidRPr="00332AF4">
        <w:rPr>
          <w:noProof/>
        </w:rPr>
        <w:t>79–92.</w:t>
      </w:r>
    </w:p>
    <w:p w14:paraId="4A642A40" w14:textId="284E5F4D"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Mohd Thas Thaker, Mohamed Asmy, Md Fouad Amin, Hassanudin Mohd Thas Thaker, Ahmad Khaliq, and Anwar Allah Pitchay. “Cash Waqf Model for Micro Enterprises’ Human Capital Development.” </w:t>
      </w:r>
      <w:r w:rsidRPr="00332AF4">
        <w:rPr>
          <w:i/>
          <w:iCs/>
          <w:noProof/>
        </w:rPr>
        <w:t>ISRA International Journal of Islamic Finance</w:t>
      </w:r>
      <w:r w:rsidR="00AA5B50">
        <w:rPr>
          <w:noProof/>
        </w:rPr>
        <w:t>, Volume</w:t>
      </w:r>
      <w:r w:rsidRPr="00332AF4">
        <w:rPr>
          <w:noProof/>
        </w:rPr>
        <w:t xml:space="preserve"> 13, </w:t>
      </w:r>
      <w:r w:rsidR="00AA5B50">
        <w:rPr>
          <w:noProof/>
        </w:rPr>
        <w:t xml:space="preserve">Number </w:t>
      </w:r>
      <w:r w:rsidRPr="00332AF4">
        <w:rPr>
          <w:noProof/>
        </w:rPr>
        <w:t>1 (2021)</w:t>
      </w:r>
      <w:r w:rsidR="00AA5B50">
        <w:rPr>
          <w:noProof/>
        </w:rPr>
        <w:t xml:space="preserve">, </w:t>
      </w:r>
      <w:r w:rsidRPr="00332AF4">
        <w:rPr>
          <w:noProof/>
        </w:rPr>
        <w:t>66–83.</w:t>
      </w:r>
    </w:p>
    <w:p w14:paraId="7FB5B87B" w14:textId="033B9180"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Muhamad Firdaus Ab Rahman, Hussein ‘Azeemi Abdullah Thaidi, and Mohammad Naqib Hamdan and Siti Farahiyah Ab Rahim. “Bay‘ Mumtalak</w:t>
      </w:r>
      <w:r w:rsidR="00011FCA">
        <w:rPr>
          <w:noProof/>
        </w:rPr>
        <w:t>a</w:t>
      </w:r>
      <w:r w:rsidRPr="00332AF4">
        <w:rPr>
          <w:noProof/>
        </w:rPr>
        <w:t>t Al-Waqf: Dir</w:t>
      </w:r>
      <w:r w:rsidR="00011FCA">
        <w:rPr>
          <w:noProof/>
        </w:rPr>
        <w:t>a</w:t>
      </w:r>
      <w:r w:rsidRPr="00332AF4">
        <w:rPr>
          <w:noProof/>
        </w:rPr>
        <w:t>sah Taḥliliyyah F</w:t>
      </w:r>
      <w:r w:rsidR="00011FCA">
        <w:rPr>
          <w:noProof/>
        </w:rPr>
        <w:t>i</w:t>
      </w:r>
      <w:r w:rsidRPr="00332AF4">
        <w:rPr>
          <w:noProof/>
        </w:rPr>
        <w:t xml:space="preserve"> Ḍau’ Tashr</w:t>
      </w:r>
      <w:r w:rsidR="00011FCA">
        <w:rPr>
          <w:noProof/>
        </w:rPr>
        <w:t>i</w:t>
      </w:r>
      <w:r w:rsidRPr="00332AF4">
        <w:rPr>
          <w:noProof/>
        </w:rPr>
        <w:t>‘</w:t>
      </w:r>
      <w:r w:rsidR="00011FCA">
        <w:rPr>
          <w:noProof/>
        </w:rPr>
        <w:t>a</w:t>
      </w:r>
      <w:r w:rsidRPr="00332AF4">
        <w:rPr>
          <w:noProof/>
        </w:rPr>
        <w:t>t Al-Waqf F</w:t>
      </w:r>
      <w:r w:rsidR="00011FCA">
        <w:rPr>
          <w:noProof/>
        </w:rPr>
        <w:t>i</w:t>
      </w:r>
      <w:r w:rsidRPr="00332AF4">
        <w:rPr>
          <w:noProof/>
        </w:rPr>
        <w:t xml:space="preserve"> </w:t>
      </w:r>
      <w:r w:rsidR="00011FCA">
        <w:rPr>
          <w:noProof/>
        </w:rPr>
        <w:t>H</w:t>
      </w:r>
      <w:r w:rsidRPr="00332AF4">
        <w:rPr>
          <w:noProof/>
        </w:rPr>
        <w:t>ukumah M</w:t>
      </w:r>
      <w:r w:rsidR="00011FCA">
        <w:rPr>
          <w:noProof/>
        </w:rPr>
        <w:t>a</w:t>
      </w:r>
      <w:r w:rsidRPr="00332AF4">
        <w:rPr>
          <w:noProof/>
        </w:rPr>
        <w:t>liziy</w:t>
      </w:r>
      <w:r w:rsidR="00011FCA">
        <w:rPr>
          <w:noProof/>
        </w:rPr>
        <w:t>a</w:t>
      </w:r>
      <w:r w:rsidRPr="00332AF4">
        <w:rPr>
          <w:noProof/>
        </w:rPr>
        <w:t xml:space="preserve">.” </w:t>
      </w:r>
      <w:r w:rsidRPr="00332AF4">
        <w:rPr>
          <w:i/>
          <w:iCs/>
          <w:noProof/>
        </w:rPr>
        <w:t>AHKAM</w:t>
      </w:r>
      <w:r w:rsidR="006D756F">
        <w:rPr>
          <w:noProof/>
        </w:rPr>
        <w:t>, Volume</w:t>
      </w:r>
      <w:r w:rsidRPr="00332AF4">
        <w:rPr>
          <w:noProof/>
        </w:rPr>
        <w:t xml:space="preserve"> 22, </w:t>
      </w:r>
      <w:r w:rsidR="006D756F">
        <w:rPr>
          <w:noProof/>
        </w:rPr>
        <w:t xml:space="preserve">Number </w:t>
      </w:r>
      <w:r w:rsidRPr="00332AF4">
        <w:rPr>
          <w:noProof/>
        </w:rPr>
        <w:t>1 (2022)</w:t>
      </w:r>
      <w:r w:rsidR="006D756F">
        <w:rPr>
          <w:noProof/>
        </w:rPr>
        <w:t xml:space="preserve">, </w:t>
      </w:r>
      <w:r w:rsidRPr="00332AF4">
        <w:rPr>
          <w:noProof/>
        </w:rPr>
        <w:t>473–</w:t>
      </w:r>
      <w:r w:rsidR="006D756F">
        <w:rPr>
          <w:noProof/>
        </w:rPr>
        <w:t>4</w:t>
      </w:r>
      <w:r w:rsidRPr="00332AF4">
        <w:rPr>
          <w:noProof/>
        </w:rPr>
        <w:t>98.</w:t>
      </w:r>
    </w:p>
    <w:p w14:paraId="797341B6" w14:textId="45A2E9D2"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Nashirudin, Muhammad. “Istihsan </w:t>
      </w:r>
      <w:r w:rsidR="00571F8E">
        <w:rPr>
          <w:noProof/>
        </w:rPr>
        <w:t>d</w:t>
      </w:r>
      <w:r w:rsidRPr="00332AF4">
        <w:rPr>
          <w:noProof/>
        </w:rPr>
        <w:t xml:space="preserve">an Formulasinya (Pro Kontra Istihsan </w:t>
      </w:r>
      <w:r w:rsidR="00571F8E">
        <w:rPr>
          <w:noProof/>
        </w:rPr>
        <w:t>d</w:t>
      </w:r>
      <w:r w:rsidRPr="00332AF4">
        <w:rPr>
          <w:noProof/>
        </w:rPr>
        <w:t xml:space="preserve">alam Pandangan Mazhab Hanafi </w:t>
      </w:r>
      <w:r w:rsidR="00571F8E">
        <w:rPr>
          <w:noProof/>
        </w:rPr>
        <w:t>d</w:t>
      </w:r>
      <w:r w:rsidRPr="00332AF4">
        <w:rPr>
          <w:noProof/>
        </w:rPr>
        <w:t xml:space="preserve">an Syafi’i).” </w:t>
      </w:r>
      <w:r w:rsidRPr="00332AF4">
        <w:rPr>
          <w:i/>
          <w:iCs/>
          <w:noProof/>
        </w:rPr>
        <w:t>Asy-Syir’ah</w:t>
      </w:r>
      <w:r w:rsidR="006D756F">
        <w:rPr>
          <w:noProof/>
        </w:rPr>
        <w:t>, Volume</w:t>
      </w:r>
      <w:r w:rsidRPr="00332AF4">
        <w:rPr>
          <w:noProof/>
        </w:rPr>
        <w:t xml:space="preserve"> 43, </w:t>
      </w:r>
      <w:r w:rsidR="006D756F">
        <w:rPr>
          <w:noProof/>
        </w:rPr>
        <w:t>Nomor 1</w:t>
      </w:r>
      <w:r w:rsidRPr="00332AF4">
        <w:rPr>
          <w:noProof/>
        </w:rPr>
        <w:t xml:space="preserve"> (2009)</w:t>
      </w:r>
      <w:r w:rsidR="006D756F">
        <w:rPr>
          <w:noProof/>
        </w:rPr>
        <w:t xml:space="preserve">, </w:t>
      </w:r>
      <w:r w:rsidRPr="00332AF4">
        <w:rPr>
          <w:noProof/>
        </w:rPr>
        <w:t>170.</w:t>
      </w:r>
    </w:p>
    <w:p w14:paraId="55ACED36" w14:textId="2D1BBA24"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Noorwahidah, Noorwahidah. “Istihsan: Dalil Syara` Yang Diperselisihkan.” </w:t>
      </w:r>
      <w:r w:rsidRPr="00332AF4">
        <w:rPr>
          <w:i/>
          <w:iCs/>
          <w:noProof/>
        </w:rPr>
        <w:t>Syariah Jurnal Hukum Dan Pemikiran</w:t>
      </w:r>
      <w:r w:rsidR="006D756F">
        <w:rPr>
          <w:noProof/>
        </w:rPr>
        <w:t>, Volume</w:t>
      </w:r>
      <w:r w:rsidRPr="00332AF4">
        <w:rPr>
          <w:noProof/>
        </w:rPr>
        <w:t xml:space="preserve"> 16, </w:t>
      </w:r>
      <w:r w:rsidR="006D756F">
        <w:rPr>
          <w:noProof/>
        </w:rPr>
        <w:t xml:space="preserve">Nomor </w:t>
      </w:r>
      <w:r w:rsidRPr="00332AF4">
        <w:rPr>
          <w:noProof/>
        </w:rPr>
        <w:t>1 (2017)</w:t>
      </w:r>
      <w:r w:rsidR="006D756F">
        <w:rPr>
          <w:noProof/>
        </w:rPr>
        <w:t xml:space="preserve">, </w:t>
      </w:r>
      <w:r w:rsidRPr="00332AF4">
        <w:rPr>
          <w:noProof/>
        </w:rPr>
        <w:t>13.</w:t>
      </w:r>
    </w:p>
    <w:p w14:paraId="66150176" w14:textId="0CDF3467"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Nour Aldeen, Khaled, Inayah Swasti Ratih, and Risa Sari Pertiwi. “Cash Waqf from the Millennials’ Perspective: A Case of Indonesia.” </w:t>
      </w:r>
      <w:r w:rsidRPr="00332AF4">
        <w:rPr>
          <w:i/>
          <w:iCs/>
          <w:noProof/>
        </w:rPr>
        <w:t>ISRA International Journal of Islamic Finance</w:t>
      </w:r>
      <w:r w:rsidR="006D756F">
        <w:rPr>
          <w:noProof/>
        </w:rPr>
        <w:t xml:space="preserve">, Volume </w:t>
      </w:r>
      <w:r w:rsidRPr="00332AF4">
        <w:rPr>
          <w:noProof/>
        </w:rPr>
        <w:t xml:space="preserve">14, </w:t>
      </w:r>
      <w:r w:rsidR="006D756F">
        <w:rPr>
          <w:noProof/>
        </w:rPr>
        <w:t xml:space="preserve">Number </w:t>
      </w:r>
      <w:r w:rsidRPr="00332AF4">
        <w:rPr>
          <w:noProof/>
        </w:rPr>
        <w:t>1 (2022)</w:t>
      </w:r>
      <w:r w:rsidR="006D756F">
        <w:rPr>
          <w:noProof/>
        </w:rPr>
        <w:t xml:space="preserve">, </w:t>
      </w:r>
      <w:r w:rsidRPr="00332AF4">
        <w:rPr>
          <w:noProof/>
        </w:rPr>
        <w:t>20–37.</w:t>
      </w:r>
    </w:p>
    <w:p w14:paraId="4EE60BB2" w14:textId="7F0B1C1B"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Oktarina, Amimah. “Developing Models of Productive Waqf.” </w:t>
      </w:r>
      <w:r w:rsidRPr="00332AF4">
        <w:rPr>
          <w:i/>
          <w:iCs/>
          <w:noProof/>
        </w:rPr>
        <w:t>QIJIS: Qudus International Journal of Islamic Studies</w:t>
      </w:r>
      <w:r w:rsidR="00E7487D">
        <w:rPr>
          <w:noProof/>
        </w:rPr>
        <w:t>, Volume</w:t>
      </w:r>
      <w:r w:rsidRPr="00332AF4">
        <w:rPr>
          <w:noProof/>
        </w:rPr>
        <w:t xml:space="preserve"> 6, </w:t>
      </w:r>
      <w:r w:rsidR="00E7487D">
        <w:rPr>
          <w:noProof/>
        </w:rPr>
        <w:t xml:space="preserve">Number </w:t>
      </w:r>
      <w:r w:rsidRPr="00332AF4">
        <w:rPr>
          <w:noProof/>
        </w:rPr>
        <w:t>1 (2018)</w:t>
      </w:r>
      <w:r w:rsidR="00E7487D">
        <w:rPr>
          <w:noProof/>
        </w:rPr>
        <w:t xml:space="preserve">, </w:t>
      </w:r>
      <w:r w:rsidRPr="00332AF4">
        <w:rPr>
          <w:noProof/>
        </w:rPr>
        <w:t>103–</w:t>
      </w:r>
      <w:r w:rsidR="00E7487D">
        <w:rPr>
          <w:noProof/>
        </w:rPr>
        <w:t>1</w:t>
      </w:r>
      <w:r w:rsidRPr="00332AF4">
        <w:rPr>
          <w:noProof/>
        </w:rPr>
        <w:t>26.</w:t>
      </w:r>
    </w:p>
    <w:p w14:paraId="6A5B80DB" w14:textId="0BFF7DEB"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Qolbi, Risyda Nurul. “Gerakan Wakaf Kampus: Optimalisasi Gerakan Nasional Wakaf Uang (GNWU) </w:t>
      </w:r>
      <w:r w:rsidR="00E7487D">
        <w:rPr>
          <w:noProof/>
        </w:rPr>
        <w:t>d</w:t>
      </w:r>
      <w:r w:rsidRPr="00332AF4">
        <w:rPr>
          <w:noProof/>
        </w:rPr>
        <w:t xml:space="preserve">i Lingkungan Kampus Menuju SDGs.” </w:t>
      </w:r>
      <w:r w:rsidRPr="00332AF4">
        <w:rPr>
          <w:i/>
          <w:iCs/>
          <w:noProof/>
        </w:rPr>
        <w:t>AL-AWQAF Jurnal Wakaf Dan Ekonomi Islam</w:t>
      </w:r>
      <w:r w:rsidR="00E7487D">
        <w:rPr>
          <w:noProof/>
        </w:rPr>
        <w:t>, Volume</w:t>
      </w:r>
      <w:r w:rsidRPr="00332AF4">
        <w:rPr>
          <w:noProof/>
        </w:rPr>
        <w:t xml:space="preserve"> 14, </w:t>
      </w:r>
      <w:r w:rsidR="00E7487D">
        <w:rPr>
          <w:noProof/>
        </w:rPr>
        <w:t xml:space="preserve">Nomor </w:t>
      </w:r>
      <w:r w:rsidRPr="00332AF4">
        <w:rPr>
          <w:noProof/>
        </w:rPr>
        <w:t>1 (2021): 65–86.</w:t>
      </w:r>
    </w:p>
    <w:p w14:paraId="536B3F8D" w14:textId="3C713475"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Qurrata, Vika Annisa, Bagus Shandy Narmaditya, Linda Seprillina, and Nor Ermawati Binti Hussain. “The Implementation and Development of Productive Waqf in Indonesia: Case at Malang Islamic Hospital.” </w:t>
      </w:r>
      <w:r w:rsidRPr="00332AF4">
        <w:rPr>
          <w:i/>
          <w:iCs/>
          <w:noProof/>
        </w:rPr>
        <w:t>Humanities and Social Sciences Reviews</w:t>
      </w:r>
      <w:r w:rsidR="00E7487D">
        <w:rPr>
          <w:noProof/>
        </w:rPr>
        <w:t>, Volume</w:t>
      </w:r>
      <w:r w:rsidRPr="00332AF4">
        <w:rPr>
          <w:noProof/>
        </w:rPr>
        <w:t xml:space="preserve"> 7, </w:t>
      </w:r>
      <w:r w:rsidR="00E7487D">
        <w:rPr>
          <w:noProof/>
        </w:rPr>
        <w:t xml:space="preserve">Number </w:t>
      </w:r>
      <w:r w:rsidRPr="00332AF4">
        <w:rPr>
          <w:noProof/>
        </w:rPr>
        <w:t>4 (2019)</w:t>
      </w:r>
      <w:r w:rsidR="00E7487D">
        <w:rPr>
          <w:noProof/>
        </w:rPr>
        <w:t xml:space="preserve">, </w:t>
      </w:r>
      <w:r w:rsidRPr="00332AF4">
        <w:rPr>
          <w:noProof/>
        </w:rPr>
        <w:t>533–</w:t>
      </w:r>
      <w:r w:rsidR="00E7487D">
        <w:rPr>
          <w:noProof/>
        </w:rPr>
        <w:t>5</w:t>
      </w:r>
      <w:r w:rsidRPr="00332AF4">
        <w:rPr>
          <w:noProof/>
        </w:rPr>
        <w:t>37.</w:t>
      </w:r>
    </w:p>
    <w:p w14:paraId="5471F6F0" w14:textId="7FDD5931"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Repelita. “</w:t>
      </w:r>
      <w:r w:rsidR="00125DDD" w:rsidRPr="00332AF4">
        <w:rPr>
          <w:noProof/>
        </w:rPr>
        <w:t>Istihs</w:t>
      </w:r>
      <w:r w:rsidR="00125DDD">
        <w:rPr>
          <w:noProof/>
        </w:rPr>
        <w:t>a</w:t>
      </w:r>
      <w:r w:rsidR="00125DDD" w:rsidRPr="00332AF4">
        <w:rPr>
          <w:noProof/>
        </w:rPr>
        <w:t>n Menurut Pandangan Al-Sy</w:t>
      </w:r>
      <w:r w:rsidR="00125DDD">
        <w:rPr>
          <w:noProof/>
        </w:rPr>
        <w:t>a</w:t>
      </w:r>
      <w:r w:rsidR="00125DDD" w:rsidRPr="00332AF4">
        <w:rPr>
          <w:noProof/>
        </w:rPr>
        <w:t>fi’</w:t>
      </w:r>
      <w:r w:rsidR="00125DDD">
        <w:rPr>
          <w:noProof/>
        </w:rPr>
        <w:t>i</w:t>
      </w:r>
      <w:r w:rsidR="00125DDD" w:rsidRPr="00332AF4">
        <w:rPr>
          <w:noProof/>
        </w:rPr>
        <w:t xml:space="preserve"> </w:t>
      </w:r>
      <w:r w:rsidR="00125DDD">
        <w:rPr>
          <w:noProof/>
        </w:rPr>
        <w:t>d</w:t>
      </w:r>
      <w:r w:rsidR="00125DDD" w:rsidRPr="00332AF4">
        <w:rPr>
          <w:noProof/>
        </w:rPr>
        <w:t>an Ibnu Hazm Al-</w:t>
      </w:r>
      <w:r w:rsidR="00125DDD">
        <w:rPr>
          <w:noProof/>
        </w:rPr>
        <w:t>Za</w:t>
      </w:r>
      <w:r w:rsidR="00125DDD" w:rsidRPr="00332AF4">
        <w:rPr>
          <w:noProof/>
        </w:rPr>
        <w:t>hir</w:t>
      </w:r>
      <w:r w:rsidR="00125DDD">
        <w:rPr>
          <w:noProof/>
        </w:rPr>
        <w:t>i</w:t>
      </w:r>
      <w:r w:rsidRPr="00332AF4">
        <w:rPr>
          <w:noProof/>
        </w:rPr>
        <w:t>”</w:t>
      </w:r>
      <w:r w:rsidR="00012D6D">
        <w:rPr>
          <w:noProof/>
        </w:rPr>
        <w:t xml:space="preserve">. Journal al-Ahkam, Volume 22, Nomor 1 </w:t>
      </w:r>
      <w:r w:rsidRPr="00332AF4">
        <w:rPr>
          <w:noProof/>
        </w:rPr>
        <w:t>(2021)</w:t>
      </w:r>
      <w:r w:rsidR="00012D6D">
        <w:rPr>
          <w:noProof/>
        </w:rPr>
        <w:t xml:space="preserve">, </w:t>
      </w:r>
      <w:r w:rsidRPr="00332AF4">
        <w:rPr>
          <w:noProof/>
        </w:rPr>
        <w:t>71–88.</w:t>
      </w:r>
    </w:p>
    <w:p w14:paraId="331B328D" w14:textId="5B335CB4"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Rifqi Qowiyul Iman. “The Competence of Religious Court in Indonesia and Syahadah I</w:t>
      </w:r>
      <w:r w:rsidR="00D35523">
        <w:rPr>
          <w:noProof/>
        </w:rPr>
        <w:t>s</w:t>
      </w:r>
      <w:r w:rsidRPr="00332AF4">
        <w:rPr>
          <w:noProof/>
        </w:rPr>
        <w:t>t</w:t>
      </w:r>
      <w:r w:rsidR="00D35523">
        <w:rPr>
          <w:noProof/>
        </w:rPr>
        <w:t>i</w:t>
      </w:r>
      <w:r w:rsidRPr="00332AF4">
        <w:rPr>
          <w:noProof/>
        </w:rPr>
        <w:t xml:space="preserve">fadhah (Testimonium De Auditu) in Case of Itsbat Waqf.” </w:t>
      </w:r>
      <w:r w:rsidRPr="00332AF4">
        <w:rPr>
          <w:i/>
          <w:iCs/>
          <w:noProof/>
        </w:rPr>
        <w:t>Ahkam Jurnal Ilmu Syariah</w:t>
      </w:r>
      <w:r w:rsidR="0013494B">
        <w:rPr>
          <w:noProof/>
        </w:rPr>
        <w:t>, Volume</w:t>
      </w:r>
      <w:r w:rsidRPr="00332AF4">
        <w:rPr>
          <w:noProof/>
        </w:rPr>
        <w:t xml:space="preserve"> 18, </w:t>
      </w:r>
      <w:r w:rsidR="0013494B">
        <w:rPr>
          <w:noProof/>
        </w:rPr>
        <w:t xml:space="preserve">Nomor </w:t>
      </w:r>
      <w:r w:rsidRPr="00332AF4">
        <w:rPr>
          <w:noProof/>
        </w:rPr>
        <w:t>2 (2018)</w:t>
      </w:r>
      <w:r w:rsidR="0013494B">
        <w:rPr>
          <w:noProof/>
        </w:rPr>
        <w:t xml:space="preserve">, </w:t>
      </w:r>
      <w:r w:rsidRPr="00332AF4">
        <w:rPr>
          <w:noProof/>
        </w:rPr>
        <w:t>395–416.</w:t>
      </w:r>
    </w:p>
    <w:p w14:paraId="356F0B23" w14:textId="67FCD09B"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Rosadi, Aden, Deden Effendi, and Busro. “The Development of Waqf Management Trought Waqf Act in Indonesia (Note on Republic of Indonesia Act Number 41 of 2004 on Waqf).” </w:t>
      </w:r>
      <w:r w:rsidRPr="00332AF4">
        <w:rPr>
          <w:i/>
          <w:iCs/>
          <w:noProof/>
        </w:rPr>
        <w:t>Journal of Institutional Economics</w:t>
      </w:r>
      <w:r w:rsidR="004120C4">
        <w:rPr>
          <w:noProof/>
        </w:rPr>
        <w:t>, Volume</w:t>
      </w:r>
      <w:r w:rsidRPr="00332AF4">
        <w:rPr>
          <w:noProof/>
        </w:rPr>
        <w:t xml:space="preserve"> 9, </w:t>
      </w:r>
      <w:r w:rsidR="004120C4">
        <w:rPr>
          <w:noProof/>
        </w:rPr>
        <w:t xml:space="preserve">Nomor </w:t>
      </w:r>
      <w:r w:rsidRPr="00332AF4">
        <w:rPr>
          <w:noProof/>
        </w:rPr>
        <w:t>4 (2013)</w:t>
      </w:r>
      <w:r w:rsidR="004120C4">
        <w:rPr>
          <w:noProof/>
        </w:rPr>
        <w:t xml:space="preserve">, </w:t>
      </w:r>
      <w:r w:rsidRPr="00332AF4">
        <w:rPr>
          <w:noProof/>
        </w:rPr>
        <w:t>469–</w:t>
      </w:r>
      <w:r w:rsidR="004120C4">
        <w:rPr>
          <w:noProof/>
        </w:rPr>
        <w:t>4</w:t>
      </w:r>
      <w:r w:rsidRPr="00332AF4">
        <w:rPr>
          <w:noProof/>
        </w:rPr>
        <w:t>90.</w:t>
      </w:r>
    </w:p>
    <w:p w14:paraId="000B153C" w14:textId="5777DF9D"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Saad, Abdo Yousef Qaid, Mustafa Omar Mohammed, and Ibrahim Al-Jubari. “An Overview of Waqf Assets in Yemen: Importance and Challenges.” </w:t>
      </w:r>
      <w:r w:rsidRPr="00332AF4">
        <w:rPr>
          <w:i/>
          <w:iCs/>
          <w:noProof/>
        </w:rPr>
        <w:lastRenderedPageBreak/>
        <w:t>Humanities and Social Sciences Reviews</w:t>
      </w:r>
      <w:r w:rsidR="00161C70">
        <w:rPr>
          <w:noProof/>
        </w:rPr>
        <w:t>, Volume</w:t>
      </w:r>
      <w:r w:rsidRPr="00332AF4">
        <w:rPr>
          <w:noProof/>
        </w:rPr>
        <w:t xml:space="preserve"> 7, </w:t>
      </w:r>
      <w:r w:rsidR="00161C70">
        <w:rPr>
          <w:noProof/>
        </w:rPr>
        <w:t xml:space="preserve">Number </w:t>
      </w:r>
      <w:r w:rsidRPr="00332AF4">
        <w:rPr>
          <w:noProof/>
        </w:rPr>
        <w:t>5 (2019)</w:t>
      </w:r>
      <w:r w:rsidR="00161C70">
        <w:rPr>
          <w:noProof/>
        </w:rPr>
        <w:t xml:space="preserve">, </w:t>
      </w:r>
      <w:r w:rsidRPr="00332AF4">
        <w:rPr>
          <w:noProof/>
        </w:rPr>
        <w:t>1065–</w:t>
      </w:r>
      <w:r w:rsidR="00161C70">
        <w:rPr>
          <w:noProof/>
        </w:rPr>
        <w:t>10</w:t>
      </w:r>
      <w:r w:rsidRPr="00332AF4">
        <w:rPr>
          <w:noProof/>
        </w:rPr>
        <w:t>72.</w:t>
      </w:r>
    </w:p>
    <w:p w14:paraId="443A5844" w14:textId="414BF395"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Salenda, Kasjim. “Kehujjahan Istihsan </w:t>
      </w:r>
      <w:r w:rsidR="002C7A0F">
        <w:rPr>
          <w:noProof/>
        </w:rPr>
        <w:t>d</w:t>
      </w:r>
      <w:r w:rsidRPr="00332AF4">
        <w:rPr>
          <w:noProof/>
        </w:rPr>
        <w:t xml:space="preserve">an Implikasinya </w:t>
      </w:r>
      <w:r w:rsidR="002C7A0F">
        <w:rPr>
          <w:noProof/>
        </w:rPr>
        <w:t>d</w:t>
      </w:r>
      <w:r w:rsidRPr="00332AF4">
        <w:rPr>
          <w:noProof/>
        </w:rPr>
        <w:t xml:space="preserve">alam Istinbat Hukum.” </w:t>
      </w:r>
      <w:r w:rsidRPr="00332AF4">
        <w:rPr>
          <w:i/>
          <w:iCs/>
          <w:noProof/>
        </w:rPr>
        <w:t>Al-Daulah</w:t>
      </w:r>
      <w:r w:rsidR="002C7A0F">
        <w:rPr>
          <w:noProof/>
        </w:rPr>
        <w:t>, Volume</w:t>
      </w:r>
      <w:r w:rsidRPr="00332AF4">
        <w:rPr>
          <w:noProof/>
        </w:rPr>
        <w:t xml:space="preserve"> 1, </w:t>
      </w:r>
      <w:r w:rsidR="002C7A0F">
        <w:rPr>
          <w:noProof/>
        </w:rPr>
        <w:t xml:space="preserve">Nomor </w:t>
      </w:r>
      <w:r w:rsidRPr="00332AF4">
        <w:rPr>
          <w:noProof/>
        </w:rPr>
        <w:t>2 (2013)</w:t>
      </w:r>
      <w:r w:rsidR="002C7A0F">
        <w:rPr>
          <w:noProof/>
        </w:rPr>
        <w:t xml:space="preserve">, </w:t>
      </w:r>
      <w:r w:rsidRPr="00332AF4">
        <w:rPr>
          <w:noProof/>
        </w:rPr>
        <w:t>8–19.</w:t>
      </w:r>
    </w:p>
    <w:p w14:paraId="0D590EC3" w14:textId="5C783E2E"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Shulthoni, Muhammad, and Norma Md Saad. “Waqf Fundraising Management: A Conceptual Comparison between Traditional and Modern Methods In</w:t>
      </w:r>
      <w:r w:rsidR="00D35523">
        <w:rPr>
          <w:noProof/>
        </w:rPr>
        <w:t xml:space="preserve"> </w:t>
      </w:r>
      <w:r w:rsidRPr="00332AF4">
        <w:rPr>
          <w:noProof/>
        </w:rPr>
        <w:t xml:space="preserve">the Waqf Institutions.” </w:t>
      </w:r>
      <w:r w:rsidRPr="00332AF4">
        <w:rPr>
          <w:i/>
          <w:iCs/>
          <w:noProof/>
        </w:rPr>
        <w:t>Indonesian Journal of Islam and Muslim Societies</w:t>
      </w:r>
      <w:r w:rsidRPr="00332AF4">
        <w:rPr>
          <w:noProof/>
        </w:rPr>
        <w:t xml:space="preserve">, </w:t>
      </w:r>
      <w:r w:rsidR="002F60C1">
        <w:rPr>
          <w:noProof/>
        </w:rPr>
        <w:t>Volume 8, Number 1 (</w:t>
      </w:r>
      <w:r w:rsidRPr="00332AF4">
        <w:rPr>
          <w:noProof/>
        </w:rPr>
        <w:t>2018</w:t>
      </w:r>
      <w:r w:rsidR="002F60C1">
        <w:rPr>
          <w:noProof/>
        </w:rPr>
        <w:t xml:space="preserve">), </w:t>
      </w:r>
      <w:r w:rsidRPr="00332AF4">
        <w:rPr>
          <w:noProof/>
        </w:rPr>
        <w:t>57-86.</w:t>
      </w:r>
    </w:p>
    <w:p w14:paraId="2C97F8BA" w14:textId="0317F6BC"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Sulistiani, Siska Lis. “Analisis Implementasi Wakaf Wasiat Polis Asuransi Syariah </w:t>
      </w:r>
      <w:r w:rsidR="00D0619F">
        <w:rPr>
          <w:noProof/>
        </w:rPr>
        <w:t>d</w:t>
      </w:r>
      <w:r w:rsidRPr="00332AF4">
        <w:rPr>
          <w:noProof/>
        </w:rPr>
        <w:t xml:space="preserve">i Lembaga Wakaf </w:t>
      </w:r>
      <w:r w:rsidR="00D35523">
        <w:rPr>
          <w:noProof/>
        </w:rPr>
        <w:t>a</w:t>
      </w:r>
      <w:r w:rsidRPr="00332AF4">
        <w:rPr>
          <w:noProof/>
        </w:rPr>
        <w:t xml:space="preserve">l-Azhar Jakarta.” </w:t>
      </w:r>
      <w:r w:rsidRPr="00332AF4">
        <w:rPr>
          <w:i/>
          <w:iCs/>
          <w:noProof/>
        </w:rPr>
        <w:t>Ijtihad : Jurnal Wacana Hukum Islam Dan Kemanusiaan</w:t>
      </w:r>
      <w:r w:rsidR="00D0619F">
        <w:rPr>
          <w:noProof/>
        </w:rPr>
        <w:t>, Volume</w:t>
      </w:r>
      <w:r w:rsidRPr="00332AF4">
        <w:rPr>
          <w:noProof/>
        </w:rPr>
        <w:t xml:space="preserve"> 17, </w:t>
      </w:r>
      <w:r w:rsidR="00D0619F">
        <w:rPr>
          <w:noProof/>
        </w:rPr>
        <w:t xml:space="preserve">Nomor </w:t>
      </w:r>
      <w:r w:rsidRPr="00332AF4">
        <w:rPr>
          <w:noProof/>
        </w:rPr>
        <w:t>2 (2018)</w:t>
      </w:r>
      <w:r w:rsidR="00D0619F">
        <w:rPr>
          <w:noProof/>
        </w:rPr>
        <w:t xml:space="preserve">, </w:t>
      </w:r>
      <w:r w:rsidRPr="00332AF4">
        <w:rPr>
          <w:noProof/>
        </w:rPr>
        <w:t>285-299.</w:t>
      </w:r>
    </w:p>
    <w:p w14:paraId="5D2DBFA6" w14:textId="29A6EFFC"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 “The Legal Position of Waqf for Non-Muslims in Efforts to Increase Waqf Assets in Indonesia.” </w:t>
      </w:r>
      <w:r w:rsidRPr="00332AF4">
        <w:rPr>
          <w:i/>
          <w:iCs/>
          <w:noProof/>
        </w:rPr>
        <w:t>Samarah</w:t>
      </w:r>
      <w:r w:rsidR="00D0619F">
        <w:rPr>
          <w:noProof/>
        </w:rPr>
        <w:t>, Volume</w:t>
      </w:r>
      <w:r w:rsidRPr="00332AF4">
        <w:rPr>
          <w:noProof/>
        </w:rPr>
        <w:t xml:space="preserve"> 5, </w:t>
      </w:r>
      <w:r w:rsidR="00D0619F">
        <w:rPr>
          <w:noProof/>
        </w:rPr>
        <w:t xml:space="preserve">Nomor </w:t>
      </w:r>
      <w:r w:rsidRPr="00332AF4">
        <w:rPr>
          <w:noProof/>
        </w:rPr>
        <w:t>1 (2021)</w:t>
      </w:r>
      <w:r w:rsidR="00D0619F">
        <w:rPr>
          <w:noProof/>
        </w:rPr>
        <w:t xml:space="preserve">, </w:t>
      </w:r>
      <w:r w:rsidRPr="00332AF4">
        <w:rPr>
          <w:noProof/>
        </w:rPr>
        <w:t>357–</w:t>
      </w:r>
      <w:r w:rsidR="00D0619F">
        <w:rPr>
          <w:noProof/>
        </w:rPr>
        <w:t>3</w:t>
      </w:r>
      <w:r w:rsidRPr="00332AF4">
        <w:rPr>
          <w:noProof/>
        </w:rPr>
        <w:t>71.</w:t>
      </w:r>
    </w:p>
    <w:p w14:paraId="3F1E3978" w14:textId="0B39780C"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Suryani, Suryani, and Yunal Isra. “Wakaf Produktif (Cash Waqf) </w:t>
      </w:r>
      <w:r w:rsidR="00D0619F">
        <w:rPr>
          <w:noProof/>
        </w:rPr>
        <w:t>d</w:t>
      </w:r>
      <w:r w:rsidRPr="00332AF4">
        <w:rPr>
          <w:noProof/>
        </w:rPr>
        <w:t xml:space="preserve">alam Perspektif Hukum Islam </w:t>
      </w:r>
      <w:r w:rsidR="00D0619F">
        <w:rPr>
          <w:noProof/>
        </w:rPr>
        <w:t>d</w:t>
      </w:r>
      <w:r w:rsidRPr="00332AF4">
        <w:rPr>
          <w:noProof/>
        </w:rPr>
        <w:t>an Maq</w:t>
      </w:r>
      <w:r w:rsidR="00D0619F">
        <w:rPr>
          <w:noProof/>
        </w:rPr>
        <w:t>as</w:t>
      </w:r>
      <w:r w:rsidRPr="00332AF4">
        <w:rPr>
          <w:noProof/>
        </w:rPr>
        <w:t>id Al-Shar</w:t>
      </w:r>
      <w:r w:rsidR="00D0619F">
        <w:rPr>
          <w:noProof/>
        </w:rPr>
        <w:t>i</w:t>
      </w:r>
      <w:r w:rsidRPr="00332AF4">
        <w:rPr>
          <w:noProof/>
        </w:rPr>
        <w:t>‘</w:t>
      </w:r>
      <w:r w:rsidR="00D0619F">
        <w:rPr>
          <w:noProof/>
        </w:rPr>
        <w:t>a</w:t>
      </w:r>
      <w:r w:rsidRPr="00332AF4">
        <w:rPr>
          <w:noProof/>
        </w:rPr>
        <w:t xml:space="preserve">h.” </w:t>
      </w:r>
      <w:r w:rsidRPr="00332AF4">
        <w:rPr>
          <w:i/>
          <w:iCs/>
          <w:noProof/>
        </w:rPr>
        <w:t>Walisongo: Jurnal Penelitian Sosial Keagamaan</w:t>
      </w:r>
      <w:r w:rsidR="00D0619F">
        <w:rPr>
          <w:noProof/>
        </w:rPr>
        <w:t xml:space="preserve">, Volume </w:t>
      </w:r>
      <w:r w:rsidRPr="00332AF4">
        <w:rPr>
          <w:noProof/>
        </w:rPr>
        <w:t xml:space="preserve">24, </w:t>
      </w:r>
      <w:r w:rsidR="00D0619F">
        <w:rPr>
          <w:noProof/>
        </w:rPr>
        <w:t xml:space="preserve">Nomor </w:t>
      </w:r>
      <w:r w:rsidRPr="00332AF4">
        <w:rPr>
          <w:noProof/>
        </w:rPr>
        <w:t>1 (2016): 17.</w:t>
      </w:r>
    </w:p>
    <w:p w14:paraId="058F753B" w14:textId="757E260B" w:rsidR="00332AF4" w:rsidRDefault="00332AF4" w:rsidP="003D33E4">
      <w:pPr>
        <w:widowControl w:val="0"/>
        <w:autoSpaceDE w:val="0"/>
        <w:autoSpaceDN w:val="0"/>
        <w:adjustRightInd w:val="0"/>
        <w:spacing w:before="120" w:after="120"/>
        <w:ind w:left="475" w:hanging="475"/>
        <w:jc w:val="both"/>
        <w:rPr>
          <w:noProof/>
        </w:rPr>
      </w:pPr>
      <w:r w:rsidRPr="00332AF4">
        <w:rPr>
          <w:noProof/>
        </w:rPr>
        <w:t>Victoria, O. Argo. “</w:t>
      </w:r>
      <w:r w:rsidR="002E0F97" w:rsidRPr="00332AF4">
        <w:rPr>
          <w:noProof/>
        </w:rPr>
        <w:t>Waqf Al-Nuq</w:t>
      </w:r>
      <w:r w:rsidR="002E0F97">
        <w:rPr>
          <w:noProof/>
        </w:rPr>
        <w:t>u</w:t>
      </w:r>
      <w:r w:rsidR="002E0F97" w:rsidRPr="00332AF4">
        <w:rPr>
          <w:noProof/>
        </w:rPr>
        <w:t>d In Indonesia</w:t>
      </w:r>
      <w:r w:rsidRPr="00332AF4">
        <w:rPr>
          <w:noProof/>
        </w:rPr>
        <w:t xml:space="preserve"> (In Law Perspective).” </w:t>
      </w:r>
      <w:r w:rsidRPr="00332AF4">
        <w:rPr>
          <w:i/>
          <w:iCs/>
          <w:noProof/>
        </w:rPr>
        <w:t>Jurnal Pembaharuan Hukum</w:t>
      </w:r>
      <w:r w:rsidR="00D0619F">
        <w:rPr>
          <w:noProof/>
        </w:rPr>
        <w:t xml:space="preserve">, Volume </w:t>
      </w:r>
      <w:r w:rsidRPr="00332AF4">
        <w:rPr>
          <w:noProof/>
        </w:rPr>
        <w:t xml:space="preserve">1, </w:t>
      </w:r>
      <w:r w:rsidR="00D0619F">
        <w:rPr>
          <w:noProof/>
        </w:rPr>
        <w:t xml:space="preserve">Nomor </w:t>
      </w:r>
      <w:r w:rsidRPr="00332AF4">
        <w:rPr>
          <w:noProof/>
        </w:rPr>
        <w:t>1 (2018)</w:t>
      </w:r>
      <w:r w:rsidR="00D0619F">
        <w:rPr>
          <w:noProof/>
        </w:rPr>
        <w:t xml:space="preserve">, </w:t>
      </w:r>
      <w:r w:rsidRPr="00332AF4">
        <w:rPr>
          <w:noProof/>
        </w:rPr>
        <w:t>1–8.</w:t>
      </w:r>
    </w:p>
    <w:p w14:paraId="56F2D24A" w14:textId="3004E3B4" w:rsidR="00E20E43" w:rsidRPr="00332AF4" w:rsidRDefault="00E20E43" w:rsidP="003D33E4">
      <w:pPr>
        <w:widowControl w:val="0"/>
        <w:autoSpaceDE w:val="0"/>
        <w:autoSpaceDN w:val="0"/>
        <w:adjustRightInd w:val="0"/>
        <w:spacing w:before="120" w:after="120"/>
        <w:ind w:left="475" w:hanging="475"/>
        <w:jc w:val="both"/>
        <w:rPr>
          <w:noProof/>
        </w:rPr>
      </w:pPr>
      <w:r w:rsidRPr="00332AF4">
        <w:rPr>
          <w:noProof/>
        </w:rPr>
        <w:t>Wardatun Nabilah, Arifki Budia Warman</w:t>
      </w:r>
      <w:r>
        <w:rPr>
          <w:noProof/>
        </w:rPr>
        <w:t>, and</w:t>
      </w:r>
      <w:r w:rsidRPr="00332AF4">
        <w:rPr>
          <w:noProof/>
        </w:rPr>
        <w:t xml:space="preserve"> Nurul Aini Octavia. “I</w:t>
      </w:r>
      <w:r w:rsidR="002E0F97" w:rsidRPr="00332AF4">
        <w:rPr>
          <w:noProof/>
        </w:rPr>
        <w:t xml:space="preserve">stihsan </w:t>
      </w:r>
      <w:r w:rsidR="00D35523">
        <w:rPr>
          <w:noProof/>
        </w:rPr>
        <w:t>d</w:t>
      </w:r>
      <w:r w:rsidR="002E0F97" w:rsidRPr="00332AF4">
        <w:rPr>
          <w:noProof/>
        </w:rPr>
        <w:t xml:space="preserve">alam Literatur Syafi’iyah (Telaah Istihsan </w:t>
      </w:r>
      <w:r w:rsidR="002E0F97">
        <w:rPr>
          <w:noProof/>
        </w:rPr>
        <w:t>d</w:t>
      </w:r>
      <w:r w:rsidR="002E0F97" w:rsidRPr="00332AF4">
        <w:rPr>
          <w:noProof/>
        </w:rPr>
        <w:t xml:space="preserve">alam Kitab </w:t>
      </w:r>
      <w:r w:rsidR="002E0F97">
        <w:rPr>
          <w:noProof/>
        </w:rPr>
        <w:t>a</w:t>
      </w:r>
      <w:r w:rsidR="002E0F97" w:rsidRPr="00332AF4">
        <w:rPr>
          <w:noProof/>
        </w:rPr>
        <w:t>l-Musta</w:t>
      </w:r>
      <w:r w:rsidR="002E0F97">
        <w:rPr>
          <w:noProof/>
        </w:rPr>
        <w:t>s</w:t>
      </w:r>
      <w:r w:rsidR="002E0F97" w:rsidRPr="00332AF4">
        <w:rPr>
          <w:noProof/>
        </w:rPr>
        <w:t xml:space="preserve">fa </w:t>
      </w:r>
      <w:r w:rsidR="002E0F97">
        <w:rPr>
          <w:noProof/>
        </w:rPr>
        <w:t>a</w:t>
      </w:r>
      <w:r w:rsidR="002E0F97" w:rsidRPr="00332AF4">
        <w:rPr>
          <w:noProof/>
        </w:rPr>
        <w:t>l-Ghazali</w:t>
      </w:r>
      <w:r w:rsidRPr="00332AF4">
        <w:rPr>
          <w:noProof/>
        </w:rPr>
        <w:t xml:space="preserve">).” </w:t>
      </w:r>
      <w:r w:rsidRPr="00332AF4">
        <w:rPr>
          <w:i/>
          <w:iCs/>
          <w:noProof/>
        </w:rPr>
        <w:t>Jurnal Ilmiah Syariah</w:t>
      </w:r>
      <w:r>
        <w:rPr>
          <w:noProof/>
        </w:rPr>
        <w:t>, Volume</w:t>
      </w:r>
      <w:r w:rsidRPr="00332AF4">
        <w:rPr>
          <w:noProof/>
        </w:rPr>
        <w:t xml:space="preserve"> 29, </w:t>
      </w:r>
      <w:r>
        <w:rPr>
          <w:noProof/>
        </w:rPr>
        <w:t xml:space="preserve">Nomor </w:t>
      </w:r>
      <w:r w:rsidRPr="00332AF4">
        <w:rPr>
          <w:noProof/>
        </w:rPr>
        <w:t>1 (2021)</w:t>
      </w:r>
      <w:r>
        <w:rPr>
          <w:noProof/>
        </w:rPr>
        <w:t xml:space="preserve">, </w:t>
      </w:r>
      <w:r w:rsidRPr="00332AF4">
        <w:rPr>
          <w:noProof/>
        </w:rPr>
        <w:t>78–89.</w:t>
      </w:r>
    </w:p>
    <w:p w14:paraId="6B911A98" w14:textId="7689E039"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Yasin, Yuli. “Wakaf Uang Berjangka </w:t>
      </w:r>
      <w:r w:rsidR="00082DA4">
        <w:rPr>
          <w:noProof/>
        </w:rPr>
        <w:t>d</w:t>
      </w:r>
      <w:r w:rsidRPr="00332AF4">
        <w:rPr>
          <w:noProof/>
        </w:rPr>
        <w:t xml:space="preserve">an Urgensinya </w:t>
      </w:r>
      <w:r w:rsidR="00082DA4">
        <w:rPr>
          <w:noProof/>
        </w:rPr>
        <w:t>d</w:t>
      </w:r>
      <w:r w:rsidRPr="00332AF4">
        <w:rPr>
          <w:noProof/>
        </w:rPr>
        <w:t xml:space="preserve">alam Pengelolaan Aset Wakaf </w:t>
      </w:r>
      <w:r w:rsidR="00082DA4">
        <w:rPr>
          <w:noProof/>
        </w:rPr>
        <w:t>d</w:t>
      </w:r>
      <w:r w:rsidRPr="00332AF4">
        <w:rPr>
          <w:noProof/>
        </w:rPr>
        <w:t xml:space="preserve">i Indonesia.” </w:t>
      </w:r>
      <w:r w:rsidRPr="00332AF4">
        <w:rPr>
          <w:i/>
          <w:iCs/>
          <w:noProof/>
        </w:rPr>
        <w:t>Jurnal Bimas Islam</w:t>
      </w:r>
      <w:r w:rsidR="00082DA4">
        <w:rPr>
          <w:noProof/>
        </w:rPr>
        <w:t>, Volume</w:t>
      </w:r>
      <w:r w:rsidRPr="00332AF4">
        <w:rPr>
          <w:noProof/>
        </w:rPr>
        <w:t xml:space="preserve"> 10, </w:t>
      </w:r>
      <w:r w:rsidR="00082DA4">
        <w:rPr>
          <w:noProof/>
        </w:rPr>
        <w:t>Nomor</w:t>
      </w:r>
      <w:r w:rsidRPr="00332AF4">
        <w:rPr>
          <w:noProof/>
        </w:rPr>
        <w:t xml:space="preserve"> 4 (2017)</w:t>
      </w:r>
      <w:r w:rsidR="00082DA4">
        <w:rPr>
          <w:noProof/>
        </w:rPr>
        <w:t xml:space="preserve">, </w:t>
      </w:r>
      <w:r w:rsidRPr="00332AF4">
        <w:rPr>
          <w:noProof/>
        </w:rPr>
        <w:t xml:space="preserve"> 701–</w:t>
      </w:r>
      <w:r w:rsidR="00082DA4">
        <w:rPr>
          <w:noProof/>
        </w:rPr>
        <w:t>7</w:t>
      </w:r>
      <w:r w:rsidRPr="00332AF4">
        <w:rPr>
          <w:noProof/>
        </w:rPr>
        <w:t>26.</w:t>
      </w:r>
    </w:p>
    <w:p w14:paraId="38B621F8" w14:textId="2C6B58D9"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Yumarni, Ani, Gemala Dewi, Jaih Mubarok, Wirdyaningsih, and Anna Sardiana. “The Implementation of Waqf as ‘Urf in Indonesia.” </w:t>
      </w:r>
      <w:r w:rsidRPr="00332AF4">
        <w:rPr>
          <w:i/>
          <w:iCs/>
          <w:noProof/>
        </w:rPr>
        <w:t>Sriwijaya Law Review</w:t>
      </w:r>
      <w:r w:rsidR="00082DA4">
        <w:rPr>
          <w:noProof/>
        </w:rPr>
        <w:t xml:space="preserve">, Volume </w:t>
      </w:r>
      <w:r w:rsidRPr="00332AF4">
        <w:rPr>
          <w:noProof/>
        </w:rPr>
        <w:t xml:space="preserve">5, </w:t>
      </w:r>
      <w:r w:rsidR="00082DA4">
        <w:rPr>
          <w:noProof/>
        </w:rPr>
        <w:t xml:space="preserve">Nomor </w:t>
      </w:r>
      <w:r w:rsidRPr="00332AF4">
        <w:rPr>
          <w:noProof/>
        </w:rPr>
        <w:t>2 (2021)</w:t>
      </w:r>
      <w:r w:rsidR="00082DA4">
        <w:rPr>
          <w:noProof/>
        </w:rPr>
        <w:t xml:space="preserve">, </w:t>
      </w:r>
      <w:r w:rsidRPr="00332AF4">
        <w:rPr>
          <w:noProof/>
        </w:rPr>
        <w:t>287–</w:t>
      </w:r>
      <w:r w:rsidR="00082DA4">
        <w:rPr>
          <w:noProof/>
        </w:rPr>
        <w:t>2</w:t>
      </w:r>
      <w:r w:rsidRPr="00332AF4">
        <w:rPr>
          <w:noProof/>
        </w:rPr>
        <w:t>99.</w:t>
      </w:r>
    </w:p>
    <w:p w14:paraId="3E41FE89" w14:textId="3C9A37E1" w:rsidR="00332AF4" w:rsidRPr="00332AF4" w:rsidRDefault="00332AF4" w:rsidP="003D33E4">
      <w:pPr>
        <w:widowControl w:val="0"/>
        <w:autoSpaceDE w:val="0"/>
        <w:autoSpaceDN w:val="0"/>
        <w:adjustRightInd w:val="0"/>
        <w:spacing w:before="120" w:after="120"/>
        <w:ind w:left="475" w:hanging="475"/>
        <w:jc w:val="both"/>
        <w:rPr>
          <w:noProof/>
        </w:rPr>
      </w:pPr>
      <w:r w:rsidRPr="00332AF4">
        <w:rPr>
          <w:noProof/>
        </w:rPr>
        <w:t xml:space="preserve">Zaman, Misbahul. “Analisis Istihsan Atas Pertimbangan Hakim Terhadap Saksi Non Muslim Pada Perkara Perceraian.” </w:t>
      </w:r>
      <w:r w:rsidRPr="00332AF4">
        <w:rPr>
          <w:i/>
          <w:iCs/>
          <w:noProof/>
        </w:rPr>
        <w:t>Al-Hukama’</w:t>
      </w:r>
      <w:r w:rsidR="0055270F">
        <w:rPr>
          <w:noProof/>
        </w:rPr>
        <w:t xml:space="preserve">, Volume </w:t>
      </w:r>
      <w:r w:rsidRPr="00332AF4">
        <w:rPr>
          <w:noProof/>
        </w:rPr>
        <w:t xml:space="preserve">8, </w:t>
      </w:r>
      <w:r w:rsidR="0055270F">
        <w:rPr>
          <w:noProof/>
        </w:rPr>
        <w:t xml:space="preserve">Nomor </w:t>
      </w:r>
      <w:r w:rsidRPr="00332AF4">
        <w:rPr>
          <w:noProof/>
        </w:rPr>
        <w:t>2 (2018)</w:t>
      </w:r>
      <w:r w:rsidR="0055270F">
        <w:rPr>
          <w:noProof/>
        </w:rPr>
        <w:t xml:space="preserve">, </w:t>
      </w:r>
      <w:r w:rsidRPr="00332AF4">
        <w:rPr>
          <w:noProof/>
        </w:rPr>
        <w:t>507-531.</w:t>
      </w:r>
    </w:p>
    <w:p w14:paraId="1BD99907" w14:textId="06DB7F07" w:rsidR="00332AF4" w:rsidRDefault="00332AF4" w:rsidP="003D33E4">
      <w:pPr>
        <w:widowControl w:val="0"/>
        <w:autoSpaceDE w:val="0"/>
        <w:autoSpaceDN w:val="0"/>
        <w:adjustRightInd w:val="0"/>
        <w:spacing w:before="120" w:after="120"/>
        <w:ind w:left="475" w:hanging="475"/>
        <w:jc w:val="both"/>
        <w:rPr>
          <w:b/>
          <w:bCs/>
        </w:rPr>
      </w:pPr>
      <w:r>
        <w:rPr>
          <w:b/>
          <w:bCs/>
        </w:rPr>
        <w:fldChar w:fldCharType="end"/>
      </w:r>
    </w:p>
    <w:sectPr w:rsidR="00332AF4" w:rsidSect="00060BE0">
      <w:headerReference w:type="default" r:id="rId9"/>
      <w:footerReference w:type="even" r:id="rId10"/>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2BA2" w14:textId="77777777" w:rsidR="00A25AA0" w:rsidRDefault="00A25AA0">
      <w:r>
        <w:separator/>
      </w:r>
    </w:p>
  </w:endnote>
  <w:endnote w:type="continuationSeparator" w:id="0">
    <w:p w14:paraId="58387685" w14:textId="77777777" w:rsidR="00A25AA0" w:rsidRDefault="00A2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0523" w14:textId="77777777" w:rsidR="0060333C" w:rsidRDefault="0060333C" w:rsidP="00FA2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DCDA31" w14:textId="77777777" w:rsidR="0060333C" w:rsidRDefault="0060333C" w:rsidP="00FA29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BA4E" w14:textId="77777777" w:rsidR="00A25AA0" w:rsidRDefault="00A25AA0">
      <w:r>
        <w:separator/>
      </w:r>
    </w:p>
  </w:footnote>
  <w:footnote w:type="continuationSeparator" w:id="0">
    <w:p w14:paraId="2FF6D4E8" w14:textId="77777777" w:rsidR="00A25AA0" w:rsidRDefault="00A25AA0">
      <w:r>
        <w:continuationSeparator/>
      </w:r>
    </w:p>
  </w:footnote>
  <w:footnote w:id="1">
    <w:p w14:paraId="4AE281CE" w14:textId="0D3B8C8E" w:rsidR="0060333C" w:rsidRDefault="0060333C" w:rsidP="008B6FD4">
      <w:pPr>
        <w:pStyle w:val="FootnoteText"/>
        <w:ind w:firstLine="360"/>
        <w:jc w:val="both"/>
      </w:pPr>
      <w:r>
        <w:rPr>
          <w:rStyle w:val="FootnoteReference"/>
        </w:rPr>
        <w:footnoteRef/>
      </w:r>
      <w:r>
        <w:fldChar w:fldCharType="begin" w:fldLock="1"/>
      </w:r>
      <w:r>
        <w:instrText>ADDIN CSL_CITATION {"citationItems":[{"id":"ITEM-1","itemData":{"DOI":"10.28946/slrev.Vol5.Iss2.1126.pp287-299","ISSN":"25416464","abstract":"As a tradition that has been practised for a long time, waqf or endowment is clear evidence that Muslims in Indonesia are developing through this worship. However, what if the waqf is in the form of a mosque, Islamic school, and grave (3M’s waqf). It is an unusual thing in the contemporary Islamic tradition, but its existence persists. Meanwhile, 'Urf as one of the legal propositions in establishing Islamic law has known the concept and has been practised for generations in suburban areas where most of the population is Muslim. This tradition is then accommodated in Law Number 41 of 2004 concerning endowment, which contains land endowment and endowment organiser (nazhir). This paper examines the tradition of endowment in Indonesian society to benefit mosques, Islamic schools, and graves. By using the historical and analytical-conceptual approaches, this paper will analyse waqf in these three forms. The results of this study can be taken into consideration by stakeholders in developing strategies for strengthening and empowering 3M's donated land to create benefits for the Indonesian since 3M’s endowment is commonly found in Indonesian society.","author":[{"dropping-particle":"","family":"Yumarni","given":"Ani","non-dropping-particle":"","parse-names":false,"suffix":""},{"dropping-particle":"","family":"Dewi","given":"Gemala","non-dropping-particle":"","parse-names":false,"suffix":""},{"dropping-particle":"","family":"Mubarok","given":"Jaih","non-dropping-particle":"","parse-names":false,"suffix":""},{"dropping-particle":"","family":"Wirdyaningsih","given":"","non-dropping-particle":"","parse-names":false,"suffix":""},{"dropping-particle":"","family":"Sardiana","given":"Anna","non-dropping-particle":"","parse-names":false,"suffix":""}],"container-title":"Sriwijaya Law Review","id":"ITEM-1","issue":"2","issued":{"date-parts":[["2021"]]},"page":"287-299","title":"The implementation of Waqf as ‘Urf in Indonesia","type":"article-journal","volume":"5"},"uris":["http://www.mendeley.com/documents/?uuid=7f7cbd76-c80f-45ad-a232-73ffbc0986f6"]}],"mendeley":{"formattedCitation":"Ani Yumarni et al., “The Implementation of Waqf as ‘Urf in Indonesia,” &lt;i&gt;Sriwijaya Law Review&lt;/i&gt; 5, no. 2 (2021): 287–99, https://doi.org/10.28946/slrev.Vol5.Iss2.1126.pp287-299.","manualFormatting":"Ani Yumarni et al., “The Implementation of Waqf as ‘Urf in Indonesia,” Sriwijaya Law Review, Volume 5, Nomor 2 (2021), 287–299.","plainTextFormattedCitation":"Ani Yumarni et al., “The Implementation of Waqf as ‘Urf in Indonesia,” Sriwijaya Law Review 5, no. 2 (2021): 287–99, https://doi.org/10.28946/slrev.Vol5.Iss2.1126.pp287-299.","previouslyFormattedCitation":"Ani Yumarni et al., “The Implementation of Waqf as ‘Urf in Indonesia,” &lt;i&gt;Sriwijaya Law Review&lt;/i&gt; 5, no. 2 (2021): 287–99, https://doi.org/10.28946/slrev.Vol5.Iss2.1126.pp287-299."},"properties":{"noteIndex":1},"schema":"https://github.com/citation-style-language/schema/raw/master/csl-citation.json"}</w:instrText>
      </w:r>
      <w:r>
        <w:fldChar w:fldCharType="separate"/>
      </w:r>
      <w:r w:rsidRPr="00621449">
        <w:rPr>
          <w:noProof/>
        </w:rPr>
        <w:t xml:space="preserve">Ani Yumarni et al., “The Implementation of Waqf as ‘Urf in Indonesia,” </w:t>
      </w:r>
      <w:r w:rsidRPr="008C2D0D">
        <w:rPr>
          <w:i/>
          <w:noProof/>
        </w:rPr>
        <w:t>Sriwijaya</w:t>
      </w:r>
      <w:r w:rsidRPr="008B6FD4">
        <w:rPr>
          <w:iCs/>
          <w:noProof/>
        </w:rPr>
        <w:t xml:space="preserve"> </w:t>
      </w:r>
      <w:r w:rsidRPr="008C2D0D">
        <w:rPr>
          <w:i/>
          <w:noProof/>
        </w:rPr>
        <w:t>Law</w:t>
      </w:r>
      <w:r w:rsidRPr="008B6FD4">
        <w:rPr>
          <w:iCs/>
          <w:noProof/>
        </w:rPr>
        <w:t xml:space="preserve"> </w:t>
      </w:r>
      <w:r w:rsidRPr="008C2D0D">
        <w:rPr>
          <w:i/>
          <w:noProof/>
        </w:rPr>
        <w:t>Review</w:t>
      </w:r>
      <w:r>
        <w:rPr>
          <w:noProof/>
        </w:rPr>
        <w:t>, Volume</w:t>
      </w:r>
      <w:r w:rsidRPr="00621449">
        <w:rPr>
          <w:noProof/>
        </w:rPr>
        <w:t xml:space="preserve"> 5, </w:t>
      </w:r>
      <w:r>
        <w:rPr>
          <w:noProof/>
        </w:rPr>
        <w:t>N</w:t>
      </w:r>
      <w:r w:rsidRPr="00621449">
        <w:rPr>
          <w:noProof/>
        </w:rPr>
        <w:t>o</w:t>
      </w:r>
      <w:r>
        <w:rPr>
          <w:noProof/>
        </w:rPr>
        <w:t>mor</w:t>
      </w:r>
      <w:r w:rsidRPr="00621449">
        <w:rPr>
          <w:noProof/>
        </w:rPr>
        <w:t xml:space="preserve"> 2 (2021)</w:t>
      </w:r>
      <w:r>
        <w:rPr>
          <w:noProof/>
        </w:rPr>
        <w:t xml:space="preserve">, </w:t>
      </w:r>
      <w:r w:rsidRPr="00621449">
        <w:rPr>
          <w:noProof/>
        </w:rPr>
        <w:t>287–</w:t>
      </w:r>
      <w:r>
        <w:rPr>
          <w:noProof/>
        </w:rPr>
        <w:t>2</w:t>
      </w:r>
      <w:r w:rsidRPr="00621449">
        <w:rPr>
          <w:noProof/>
        </w:rPr>
        <w:t>99.</w:t>
      </w:r>
      <w:r>
        <w:fldChar w:fldCharType="end"/>
      </w:r>
    </w:p>
  </w:footnote>
  <w:footnote w:id="2">
    <w:p w14:paraId="7FE25FD7" w14:textId="02FEF61D"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{"citationItems":[{"id":"ITEM-1","itemData":{"abstract":"Banyaknya aset wakaf properti di tanah air yang tidak terkelola akibat ketiadaan dana, membutuhkan sebuah konsep solutif. Paper ini mencoba menawarkan sumber dana alternatif bagi pengelolaan tanah wakaf dengan aktualisasi wakaf uang berjangka. Wakaf uang berjangka tidak saja sah menurut hukum fikih namun juga legal menurut perundangan Indonesia. Sifatnya yang hanya sementara menjadikan wakaf uang berjangka bisa lebih diterima oleh para wakif dibandingkan dengan wakaf abadi, sehingga wakaf uang berjangka bisa menjadi wasilah pengembangan wakaf produktif di tanah air.","author":[{"dropping-particle":"","family":"Yasin","given":"Yuli","non-dropping-particle":"","parse-names":false,"suffix":""}],"container-title":"Jurnal Bimas Islam","id":"ITEM-1","issue":"4","issued":{"date-parts":[["2017"]]},"page":"701-726","title":"Wakaf Uang Berjangka dan Urgensinya dalam Pengelolaan Aset Wakaf di Indonesia","type":"article-journal","volume":"10"},"uris":["http://www.mendeley.com/documents/?uuid=547f58b0-84ec-48b8-8cb8-2cc0e52c329a"]}],"mendeley":{"formattedCitation":"Yuli Yasin, “Wakaf Uang Berjangka Dan Urgensinya Dalam Pengelolaan Aset Wakaf Di Indonesia,” &lt;i&gt;Jurnal Bimas Islam&lt;/i&gt; 10, no. 4 (2017): 701–26.","manualFormatting":"Yuli Yasin, “Wakaf Uang Berjangka Dan Urgensinya Dalam Pengelolaan Aset Wakaf di Indonesia,” Jurnal Bimas Islam, Volume 10, Nomor  4 (2017), 701-726.","plainTextFormattedCitation":"Yuli Yasin, “Wakaf Uang Berjangka Dan Urgensinya Dalam Pengelolaan Aset Wakaf Di Indonesia,” Jurnal Bimas Islam 10, no. 4 (2017): 701–26.","previouslyFormattedCitation":"Yuli Yasin, “Wakaf Uang Berjangka Dan Urgensinya Dalam Pengelolaan Aset Wakaf Di Indonesia,” &lt;i&gt;Jurnal Bimas Islam&lt;/i&gt; 10, no. 4 (2017): 701–26."},"properties":{"noteIndex":2},"schema":"https://github.com/citation-style-language/schema/raw/master/csl-citation.json"}</w:instrText>
      </w:r>
      <w:r>
        <w:fldChar w:fldCharType="separate"/>
      </w:r>
      <w:r w:rsidRPr="001A3C4B">
        <w:rPr>
          <w:noProof/>
        </w:rPr>
        <w:t xml:space="preserve">Yuli Yasin, “Wakaf Uang Berjangka Dan Urgensinya Dalam Pengelolaan Aset Wakaf </w:t>
      </w:r>
      <w:r>
        <w:rPr>
          <w:noProof/>
        </w:rPr>
        <w:t>d</w:t>
      </w:r>
      <w:r w:rsidRPr="001A3C4B">
        <w:rPr>
          <w:noProof/>
        </w:rPr>
        <w:t xml:space="preserve">i Indonesia,” </w:t>
      </w:r>
      <w:r w:rsidRPr="001A3C4B">
        <w:rPr>
          <w:i/>
          <w:noProof/>
        </w:rPr>
        <w:t>Jurnal Bimas Islam</w:t>
      </w:r>
      <w:r>
        <w:rPr>
          <w:iCs/>
          <w:noProof/>
        </w:rPr>
        <w:t xml:space="preserve">, Volume </w:t>
      </w:r>
      <w:r w:rsidRPr="001A3C4B">
        <w:rPr>
          <w:noProof/>
        </w:rPr>
        <w:t xml:space="preserve">10, </w:t>
      </w:r>
      <w:r>
        <w:rPr>
          <w:noProof/>
        </w:rPr>
        <w:t xml:space="preserve">Nomor </w:t>
      </w:r>
      <w:r w:rsidRPr="001A3C4B">
        <w:rPr>
          <w:noProof/>
        </w:rPr>
        <w:t xml:space="preserve"> 4 (2017)</w:t>
      </w:r>
      <w:r>
        <w:rPr>
          <w:noProof/>
        </w:rPr>
        <w:t xml:space="preserve">, </w:t>
      </w:r>
      <w:r w:rsidRPr="001A3C4B">
        <w:rPr>
          <w:noProof/>
        </w:rPr>
        <w:t>701</w:t>
      </w:r>
      <w:r>
        <w:rPr>
          <w:noProof/>
        </w:rPr>
        <w:t>-7</w:t>
      </w:r>
      <w:r w:rsidRPr="001A3C4B">
        <w:rPr>
          <w:noProof/>
        </w:rPr>
        <w:t>26.</w:t>
      </w:r>
      <w:r>
        <w:fldChar w:fldCharType="end"/>
      </w:r>
    </w:p>
    <w:p w14:paraId="480D7E69" w14:textId="08ABA094" w:rsidR="0060333C" w:rsidRDefault="0060333C" w:rsidP="00485C93">
      <w:pPr>
        <w:pStyle w:val="FootnoteText"/>
        <w:ind w:firstLine="360"/>
        <w:jc w:val="both"/>
      </w:pPr>
      <w:r>
        <w:fldChar w:fldCharType="begin" w:fldLock="1"/>
      </w:r>
      <w:r>
        <w:instrText>ADDIN CSL_CITATION {"citationItems":[{"id":"ITEM-1","itemData":{"DOI":"10.1108/IJIF-10-2020-0223","ISSN":"22894365","abstract":"Purpose: The purpose of this study is to explore the awareness and willingness level of millennials in Indonesia towards cash waqf (cash endowment). Cash waqf has gained huge attention in Indonesia because of its flexibility, especially after the Majlis Ulama Indonesia (MUI) officially announcing in 2002 that cash waqf practices in the country are Sharīʿah-compliant. Millennials comprise 33.75% of the total Indonesian population. Therefore, it is vital to analyze cash waqf from an Indonesian perspective. This study provides vital information for all institutions that are concerned with the enhancement of cash waqf contributions in Indonesia. Design/methodology/approach: Self-structured questionnaires were distributed in Java Island to collect the data. The data were examined by employing suitable statistical tools. Besides, post-interview fact-finding was conducted with cash waqf experts from different related institutions in Indonesia to reach a more in-depth understanding about cash waqf issues. Findings: The results depict a high level of awareness about cash waqf among millennials in Indonesia. The results further reveal a lower willingness level to contribute to cash waqf of the sample population as compared to their level of awareness about cash waqf. Moreover, cash waqf promotions must focus on delivering a deeper understanding about the concept and how it differs from other types of Islamic philanthropy. The results suggest that waqf trustees in the country must be more transparent. Moreover, the Indonesian Waqf Board should implement stricter rules to monitor waqf trustees. Research limitations/implications: This research restricts the sample population to Indonesian Muslims who were born between 1980 and 2000. Practical implications: As a Muslim-majority country, one would expect Indonesia to make much progress in cash waqf. By providing an explanatory understanding of willingness and awareness of cash waqf among Indonesians, this research can be helpful in designing proper educative marketing campaigns for future endowers to cash waqf activities to ensure cash waqf institutions provide efficient services. It is advisable to emphasize the transparency of waqf organizations. This will add to the nāz˙irs’ (waqf trustee) reputation, thereby boosting waqf's national shares by ensuring a proper allocation of cash waqf. The regulator should be more strict in monitoring nāz˙ir practices. For instance, it could include a periodic assessment of waqf en…","author":[{"dropping-particle":"","family":"Nour Aldeen","given":"Khaled","non-dropping-particle":"","parse-names":false,"suffix":""},{"dropping-particle":"","family":"Ratih","given":"Inayah Swasti","non-dropping-particle":"","parse-names":false,"suffix":""},{"dropping-particle":"","family":"Sari Pertiwi","given":"Risa","non-dropping-particle":"","parse-names":false,"suffix":""}],"container-title":"ISRA International Journal of Islamic Finance","id":"ITEM-1","issue":"1","issued":{"date-parts":[["2022"]]},"page":"20-37","title":"Cash waqf from the millennials' perspective: a case of Indonesia","type":"article-journal","volume":"14"},"uris":["http://www.mendeley.com/documents/?uuid=441dc017-02ce-40d2-bbea-6c1a5834bce7"]}],"mendeley":{"formattedCitation":"Khaled Nour Aldeen, Inayah Swasti Ratih, and Risa Sari Pertiwi, “Cash Waqf from the Millennials’ Perspective: A Case of Indonesia,” &lt;i&gt;ISRA International Journal of Islamic Finance&lt;/i&gt; 14, no. 1 (2022): 20–37, https://doi.org/10.1108/IJIF-10-2020-0223.","manualFormatting":"Khaled Nour Aldeen, Inayah Swasti Ratih, and Risa Sari Pertiwi, “Cash Waqf from the Millennials’ Perspective: A Case of Indonesia,” ISRA International Journal of Islamic Finance, Volume 14, Number 1 (2022), 20-37.","plainTextFormattedCitation":"Khaled Nour Aldeen, Inayah Swasti Ratih, and Risa Sari Pertiwi, “Cash Waqf from the Millennials’ Perspective: A Case of Indonesia,” ISRA International Journal of Islamic Finance 14, no. 1 (2022): 20–37, https://doi.org/10.1108/IJIF-10-2020-0223.","previouslyFormattedCitation":"Khaled Nour Aldeen, Inayah Swasti Ratih, and Risa Sari Pertiwi, “Cash Waqf from the Millennials’ Perspective: A Case of Indonesia,” &lt;i&gt;ISRA International Journal of Islamic Finance&lt;/i&gt; 14, no. 1 (2022): 20–37, https://doi.org/10.1108/IJIF-10-2020-0223."},"properties":{"noteIndex":2},"schema":"https://github.com/citation-style-language/schema/raw/master/csl-citation.json"}</w:instrText>
      </w:r>
      <w:r>
        <w:fldChar w:fldCharType="separate"/>
      </w:r>
      <w:r w:rsidRPr="005F29F5">
        <w:rPr>
          <w:noProof/>
        </w:rPr>
        <w:t xml:space="preserve">Khaled Nour Aldeen, Inayah Swasti Ratih, and Risa Sari Pertiwi, “Cash Waqf from the Millennials’ Perspective: A Case of Indonesia,” </w:t>
      </w:r>
      <w:r w:rsidRPr="005F29F5">
        <w:rPr>
          <w:i/>
          <w:noProof/>
        </w:rPr>
        <w:t>ISRA International Journal of Islamic Finance</w:t>
      </w:r>
      <w:r>
        <w:rPr>
          <w:iCs/>
          <w:noProof/>
        </w:rPr>
        <w:t>, Volume</w:t>
      </w:r>
      <w:r w:rsidRPr="005F29F5">
        <w:rPr>
          <w:noProof/>
        </w:rPr>
        <w:t xml:space="preserve"> 14, </w:t>
      </w:r>
      <w:r>
        <w:rPr>
          <w:noProof/>
        </w:rPr>
        <w:t xml:space="preserve">Number </w:t>
      </w:r>
      <w:r w:rsidRPr="005F29F5">
        <w:rPr>
          <w:noProof/>
        </w:rPr>
        <w:t>1 (2022)</w:t>
      </w:r>
      <w:r>
        <w:rPr>
          <w:noProof/>
        </w:rPr>
        <w:t xml:space="preserve">, </w:t>
      </w:r>
      <w:r w:rsidRPr="005F29F5">
        <w:rPr>
          <w:noProof/>
        </w:rPr>
        <w:t>20</w:t>
      </w:r>
      <w:r>
        <w:rPr>
          <w:noProof/>
        </w:rPr>
        <w:t>-</w:t>
      </w:r>
      <w:r w:rsidRPr="005F29F5">
        <w:rPr>
          <w:noProof/>
        </w:rPr>
        <w:t>37.</w:t>
      </w:r>
      <w:r>
        <w:fldChar w:fldCharType="end"/>
      </w:r>
    </w:p>
    <w:p w14:paraId="7BBF5286" w14:textId="1D013001" w:rsidR="0060333C" w:rsidRDefault="0060333C" w:rsidP="00485C93">
      <w:pPr>
        <w:pStyle w:val="FootnoteText"/>
        <w:ind w:firstLine="360"/>
        <w:jc w:val="both"/>
      </w:pPr>
      <w:r>
        <w:fldChar w:fldCharType="begin" w:fldLock="1"/>
      </w:r>
      <w:r>
        <w:instrText>ADDIN CSL_CITATION {"citationItems":[{"id":"ITEM-1","itemData":{"DOI":"10.21043/qijis.v10i1.8161","ISSN":"2355-1895","abstract":"&lt;p&gt;Cash Waqf-Linked Sukuk (CWLS) is Indonesia’s new social and financial engineering product integrating cash waqf with Sukuk investment. Considering the low performance of the CWLS fundraising, this study aims to identify and evaluate the most critical factors contributing to the slowdown fundraising process. The study provides an expert-based alternative strategy to stakeholders to make this instrument could be better in the future. Mixed method analysis was used and based on SWOT analysis compounding an expert-based interview and questionnaire survey as data collecting method in this research. The authors elaborate on the fundraising evaluation and alternative strategies for the Internal Factor Analysis Strategy (IFAS) and External Factors Analysis Strategy factors (EFAS). The results show that the IFAS and EFAS values suggested a progressive Strength and Opportunity (S-O) strategy as the priority strategy that needs to be implemented. The (S-O) plans offered the digitization of the CWLS’s fundraising process to attract intention and facilitate access for investors/waqif from the internet user sector. Thus, the stakeholders should utilize retail collection to reach more investors.&lt;/p&gt;","author":[{"dropping-particle":"","family":"Hosen","given":"Muhamad Nadratuzzaman","non-dropping-particle":"","parse-names":false,"suffix":""},{"dropping-particle":"","family":"Maulana","given":"Agung","non-dropping-particle":"","parse-names":false,"suffix":""},{"dropping-particle":"","family":"Farhand","given":"Muhammad Zaid","non-dropping-particle":"","parse-names":false,"suffix":""},{"dropping-particle":"","family":"Rahman","given":"Muhammad Fudhail","non-dropping-particle":"","parse-names":false,"suffix":""}],"container-title":"QIJIS (Qudus International Journal of Islamic Studies)","id":"ITEM-1","issue":"1","issued":{"date-parts":[["2022"]]},"page":"175","title":"Evaluating the Fundraising Process of the World’s First Cash Waqf-Linked Sukuk in Indonesia","type":"article-journal","volume":"10"},"uris":["http://www.mendeley.com/documents/?uuid=83ebff75-b90c-49c1-a2b5-1653e2350d16"]}],"mendeley":{"formattedCitation":"Muhamad Nadratuzzaman Hosen et al., “Evaluating the Fundraising Process of the World’s First Cash Waqf-Linked Sukuk in Indonesia,” &lt;i&gt;QIJIS (Qudus International Journal of Islamic Studies)&lt;/i&gt; 10, no. 1 (2022): 175, https://doi.org/10.21043/qijis.v10i1.8161.","manualFormatting":"Muhamad Nadratuzzaman Hosen et al., “Evaluating the Fundraising Process of the World’s First Cash Waqf-Linked Sukuk in Indonesia,” QIJIS (Qudus International Journal of Islamic Studies), Volume 10, Number 1 (2022), 175-214.","plainTextFormattedCitation":"Muhamad Nadratuzzaman Hosen et al., “Evaluating the Fundraising Process of the World’s First Cash Waqf-Linked Sukuk in Indonesia,” QIJIS (Qudus International Journal of Islamic Studies) 10, no. 1 (2022): 175, https://doi.org/10.21043/qijis.v10i1.8161.","previouslyFormattedCitation":"Muhamad Nadratuzzaman Hosen et al., “Evaluating the Fundraising Process of the World’s First Cash Waqf-Linked Sukuk in Indonesia,” &lt;i&gt;QIJIS (Qudus International Journal of Islamic Studies)&lt;/i&gt; 10, no. 1 (2022): 175, https://doi.org/10.21043/qijis.v10i1.8161."},"properties":{"noteIndex":2},"schema":"https://github.com/citation-style-language/schema/raw/master/csl-citation.json"}</w:instrText>
      </w:r>
      <w:r>
        <w:fldChar w:fldCharType="separate"/>
      </w:r>
      <w:r w:rsidRPr="00583DCF">
        <w:rPr>
          <w:noProof/>
        </w:rPr>
        <w:t xml:space="preserve">Muhamad Nadratuzzaman Hosen et al., “Evaluating the Fundraising Process of the World’s First Cash Waqf-Linked Sukuk in Indonesia,” </w:t>
      </w:r>
      <w:r w:rsidRPr="00583DCF">
        <w:rPr>
          <w:i/>
          <w:noProof/>
        </w:rPr>
        <w:t>QIJIS (Qudus International Journal of Islamic Studies)</w:t>
      </w:r>
      <w:r>
        <w:rPr>
          <w:iCs/>
          <w:noProof/>
        </w:rPr>
        <w:t>, Volume</w:t>
      </w:r>
      <w:r w:rsidRPr="00583DCF">
        <w:rPr>
          <w:noProof/>
        </w:rPr>
        <w:t xml:space="preserve"> 10, </w:t>
      </w:r>
      <w:r>
        <w:rPr>
          <w:noProof/>
        </w:rPr>
        <w:t xml:space="preserve">Number </w:t>
      </w:r>
      <w:r w:rsidRPr="00583DCF">
        <w:rPr>
          <w:noProof/>
        </w:rPr>
        <w:t>1 (2022)</w:t>
      </w:r>
      <w:r>
        <w:rPr>
          <w:noProof/>
        </w:rPr>
        <w:t xml:space="preserve">, </w:t>
      </w:r>
      <w:r w:rsidRPr="00583DCF">
        <w:rPr>
          <w:noProof/>
        </w:rPr>
        <w:t>175</w:t>
      </w:r>
      <w:r>
        <w:rPr>
          <w:noProof/>
        </w:rPr>
        <w:t>-214</w:t>
      </w:r>
      <w:r w:rsidRPr="00583DCF">
        <w:rPr>
          <w:noProof/>
        </w:rPr>
        <w:t>.</w:t>
      </w:r>
      <w:r>
        <w:fldChar w:fldCharType="end"/>
      </w:r>
    </w:p>
    <w:p w14:paraId="34CE0245" w14:textId="1A7C5E07" w:rsidR="0060333C" w:rsidRDefault="0060333C" w:rsidP="00485C93">
      <w:pPr>
        <w:pStyle w:val="FootnoteText"/>
        <w:ind w:firstLine="360"/>
        <w:jc w:val="both"/>
      </w:pPr>
      <w:r>
        <w:fldChar w:fldCharType="begin" w:fldLock="1"/>
      </w:r>
      <w:r>
        <w:instrText>ADDIN CSL_CITATION {"citationItems":[{"id":"ITEM-1","itemData":{"ISSN":"2527-5143","abstract":"The advertisement made by the Bank Muamalat Malaysia Berhad (BMMB) was the major cause for a CashWaqf gained popularity in Malaysia partly, the first Islamic banking establishment to manage CashWaqf together with Perbadanan Wakaf Selangor (PWS). The aim of this study is to investigate the determinants of CashWaqf participation from the Malaysian perspective. This study is based on three variables used to determine factors that affect CashWaqf participation in Malaysia. The three variables that are measured in this current study are religiosity, subjective norm, and attitude.used an attitude theory as a baseline theory. The data were collected through the distribution of questionnaires to 100 participants from Students at Kolej Insaniah Universiti. Based on multiple regression analysis and other statistical techniques, the findings of the study showed a significant relationship between religiosity, subjective norm, and attitude with CashWaqf participation. Given the results from the study, it highlights some limitations and suggestions for future studies that may be conducted in this scope.","author":[{"dropping-particle":"","family":"Al-Harethi","given":"Abobakr Ramadhan Salem","non-dropping-particle":"","parse-names":false,"suffix":""}],"container-title":"IKONOMIKA: Jurnal Ekonomi dan Bisnis Islam","id":"ITEM-1","issue":"1","issued":{"date-parts":[["2019"]]},"page":"53-59","title":"Perception from Students in Kolej University Insaniah","type":"article-journal","volume":"4"},"uris":["http://www.mendeley.com/documents/?uuid=971d8618-6b40-4cf6-8a34-53ebbae492d5"]}],"mendeley":{"formattedCitation":"Abobakr Ramadhan Salem Al-Harethi, “Perception from Students in Kolej University Insaniah,” &lt;i&gt;IKONOMIKA: Jurnal Ekonomi Dan Bisnis Islam&lt;/i&gt; 4, no. 1 (2019): 53–59, https://ejournal.radenintan.ac.id/index.php/ikonomika.","manualFormatting":"Abobakr Ramadhan Salem Al-Harethi, “Perception from Students in Kolej University Insaniah,” IKONOMIKA: Jurnal Ekonomi Dan Bisnis Islam, Volume 4, Nomor 1 (2019), 53-59.","plainTextFormattedCitation":"Abobakr Ramadhan Salem Al-Harethi, “Perception from Students in Kolej University Insaniah,” IKONOMIKA: Jurnal Ekonomi Dan Bisnis Islam 4, no. 1 (2019): 53–59, https://ejournal.radenintan.ac.id/index.php/ikonomika.","previouslyFormattedCitation":"Abobakr Ramadhan Salem Al-Harethi, “Perception from Students in Kolej University Insaniah,” &lt;i&gt;IKONOMIKA: Jurnal Ekonomi Dan Bisnis Islam&lt;/i&gt; 4, no. 1 (2019): 53–59, https://ejournal.radenintan.ac.id/index.php/ikonomika."},"properties":{"noteIndex":2},"schema":"https://github.com/citation-style-language/schema/raw/master/csl-citation.json"}</w:instrText>
      </w:r>
      <w:r>
        <w:fldChar w:fldCharType="separate"/>
      </w:r>
      <w:r w:rsidRPr="003E32FA">
        <w:rPr>
          <w:noProof/>
        </w:rPr>
        <w:t xml:space="preserve">Abobakr Ramadhan Salem Al-Harethi, “Perception from Students in Kolej University Insaniah,” </w:t>
      </w:r>
      <w:r w:rsidRPr="003E32FA">
        <w:rPr>
          <w:i/>
          <w:noProof/>
        </w:rPr>
        <w:t>IKONOMIKA: Jurnal Ekonomi Dan Bisnis Islam</w:t>
      </w:r>
      <w:r>
        <w:rPr>
          <w:iCs/>
          <w:noProof/>
        </w:rPr>
        <w:t>, Volume</w:t>
      </w:r>
      <w:r w:rsidRPr="003E32FA">
        <w:rPr>
          <w:noProof/>
        </w:rPr>
        <w:t xml:space="preserve"> 4, </w:t>
      </w:r>
      <w:r>
        <w:rPr>
          <w:noProof/>
        </w:rPr>
        <w:t xml:space="preserve">Nomor </w:t>
      </w:r>
      <w:r w:rsidRPr="003E32FA">
        <w:rPr>
          <w:noProof/>
        </w:rPr>
        <w:t>1 (2019)</w:t>
      </w:r>
      <w:r>
        <w:rPr>
          <w:noProof/>
        </w:rPr>
        <w:t xml:space="preserve">, </w:t>
      </w:r>
      <w:r w:rsidRPr="003E32FA">
        <w:rPr>
          <w:noProof/>
        </w:rPr>
        <w:t>53</w:t>
      </w:r>
      <w:r>
        <w:rPr>
          <w:noProof/>
        </w:rPr>
        <w:t>-</w:t>
      </w:r>
      <w:r w:rsidRPr="003E32FA">
        <w:rPr>
          <w:noProof/>
        </w:rPr>
        <w:t>59.</w:t>
      </w:r>
      <w:r>
        <w:fldChar w:fldCharType="end"/>
      </w:r>
    </w:p>
  </w:footnote>
  <w:footnote w:id="3">
    <w:p w14:paraId="7B278216" w14:textId="26F9DDCB"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{"citationItems":[{"id":"ITEM-1","itemData":{"author":[{"dropping-particle":"","family":"Qolbi","given":"Risyda Nurul","non-dropping-particle":"","parse-names":false,"suffix":""}],"container-title":"AL-AWQAF Jurnal Wakaf dan Ekonomi Islam","id":"ITEM-1","issue":"1","issued":{"date-parts":[["2021"]]},"page":"65-86","title":"Gerakan Wakaf Kampus: Optimalisasi Gerakan Nasional Wakaf Uang (GNWU) Di Lingkungan Kampus Menuju SDGs","type":"article-journal","volume":"14"},"uris":["http://www.mendeley.com/documents/?uuid=faa98ef5-7b0a-47f8-b7ff-0ad90039f497"]}],"mendeley":{"formattedCitation":"Risyda Nurul Qolbi, “Gerakan Wakaf Kampus: Optimalisasi Gerakan Nasional Wakaf Uang (GNWU) Di Lingkungan Kampus Menuju SDGs,” &lt;i&gt;AL-AWQAF Jurnal Wakaf Dan Ekonomi Islam&lt;/i&gt; 14, no. 1 (2021): 65–86.","manualFormatting":"Risyda Nurul Qolbi, “Gerakan Wakaf Kampus: Optimalisasi Gerakan Nasional Wakaf Uang (GNWU) di Lingkungan Kampus Menuju SDGs,” AL-AWQAF Jurnal Wakaf Dan Ekonomi Islam Volume 14, Nomor 1 (2021), 65-86.","plainTextFormattedCitation":"Risyda Nurul Qolbi, “Gerakan Wakaf Kampus: Optimalisasi Gerakan Nasional Wakaf Uang (GNWU) Di Lingkungan Kampus Menuju SDGs,” AL-AWQAF Jurnal Wakaf Dan Ekonomi Islam 14, no. 1 (2021): 65–86.","previouslyFormattedCitation":"Risyda Nurul Qolbi, “Gerakan Wakaf Kampus: Optimalisasi Gerakan Nasional Wakaf Uang (GNWU) Di Lingkungan Kampus Menuju SDGs,” &lt;i&gt;AL-AWQAF Jurnal Wakaf Dan Ekonomi Islam&lt;/i&gt; 14, no. 1 (2021): 65–86."},"properties":{"noteIndex":3},"schema":"https://github.com/citation-style-language/schema/raw/master/csl-citation.json"}</w:instrText>
      </w:r>
      <w:r>
        <w:fldChar w:fldCharType="separate"/>
      </w:r>
      <w:r w:rsidRPr="00785F44">
        <w:rPr>
          <w:noProof/>
        </w:rPr>
        <w:t xml:space="preserve">Risyda Nurul Qolbi, “Gerakan Wakaf Kampus: Optimalisasi Gerakan Nasional Wakaf Uang (GNWU) </w:t>
      </w:r>
      <w:r>
        <w:rPr>
          <w:noProof/>
        </w:rPr>
        <w:t>d</w:t>
      </w:r>
      <w:r w:rsidRPr="00785F44">
        <w:rPr>
          <w:noProof/>
        </w:rPr>
        <w:t xml:space="preserve">i Lingkungan Kampus Menuju SDGs,” </w:t>
      </w:r>
      <w:r w:rsidRPr="00785F44">
        <w:rPr>
          <w:i/>
          <w:noProof/>
        </w:rPr>
        <w:t>AL-AWQAF Jurnal Wakaf Dan Ekonomi Islam</w:t>
      </w:r>
      <w:r w:rsidRPr="00785F44">
        <w:rPr>
          <w:noProof/>
        </w:rPr>
        <w:t xml:space="preserve"> </w:t>
      </w:r>
      <w:r>
        <w:rPr>
          <w:noProof/>
        </w:rPr>
        <w:t xml:space="preserve">Volume </w:t>
      </w:r>
      <w:r w:rsidRPr="00785F44">
        <w:rPr>
          <w:noProof/>
        </w:rPr>
        <w:t xml:space="preserve">14, </w:t>
      </w:r>
      <w:r>
        <w:rPr>
          <w:noProof/>
        </w:rPr>
        <w:t xml:space="preserve">Nomor </w:t>
      </w:r>
      <w:r w:rsidRPr="00785F44">
        <w:rPr>
          <w:noProof/>
        </w:rPr>
        <w:t>1 (2021)</w:t>
      </w:r>
      <w:r>
        <w:rPr>
          <w:noProof/>
        </w:rPr>
        <w:t xml:space="preserve">, </w:t>
      </w:r>
      <w:r w:rsidRPr="00785F44">
        <w:rPr>
          <w:noProof/>
        </w:rPr>
        <w:t>65</w:t>
      </w:r>
      <w:r>
        <w:rPr>
          <w:noProof/>
        </w:rPr>
        <w:t>-</w:t>
      </w:r>
      <w:r w:rsidRPr="00785F44">
        <w:rPr>
          <w:noProof/>
        </w:rPr>
        <w:t>86.</w:t>
      </w:r>
      <w:r>
        <w:fldChar w:fldCharType="end"/>
      </w:r>
    </w:p>
  </w:footnote>
  <w:footnote w:id="4">
    <w:p w14:paraId="4C28C148" w14:textId="34654A46"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{"citationItems":[{"id":"ITEM-1","itemData":{"DOI":"10.19105/al-lhkam.v7i1.323","ISSN":"1907-591X","abstract":"Kemiskinan merupakan masalah kompleks yang dihadapibangsa ini, dan ternyata tidak mudah untuk diatasi.Penanggulangan kemiskinan memerlukan pemahamanmengenai dimensi dan pengukuran kemiskinan yangoperasional sehingga menghasilkan strategi yang tepat.Strategi tersebut harus menyentuh pendekatan ekonomi mikrodan makro, langsung dan tidak langsung, yang dilakukansecara simultan dan berkelanjutan, dan hal ini dapatdilakukan apabila kita bisa memberdayakan wakaf tunai.Wakaf tunai bertujuan menghimpun dana abadi yangbersumber dari umat, yang kemudian dapat dimanfaatkanbagi sebesar-besarnya kepentingan dakwah dan masyarakat.Dana wakaf yang terkumpul ini selanjutnya dapat digulirkandan diinvestasikan oleh nadzir ke dalam berbagai sektor usahayang halal dan produktif, sehingga keuntungannya dapatdimanfaatkan untuk pembangunan umat dan bangsa secarakeseluruhan.","author":[{"dropping-particle":"","family":"Haryanto","given":"Rudy","non-dropping-particle":"","parse-names":false,"suffix":""}],"container-title":"AL-IHKAM: Jurnal Hukum &amp; Pranata Sosial","id":"ITEM-1","issue":"1","issued":{"date-parts":[["2013"]]},"page":"178-200","title":"Pengentasan Kemiskinan Melalui Pendekatan Wakaf Tunai","type":"article-journal","volume":"7"},"uris":["http://www.mendeley.com/documents/?uuid=3d9cd2d7-6ae1-4f30-a906-18ad4a37e037"]}],"mendeley":{"formattedCitation":"Rudy Haryanto, “Pengentasan Kemiskinan Melalui Pendekatan Wakaf Tunai,” &lt;i&gt;AL-IHKAM: Jurnal Hukum &amp; Pranata Sosial&lt;/i&gt; 7, no. 1 (2013): 178–200, https://doi.org/10.19105/al-lhkam.v7i1.323.","manualFormatting":"Rudy Haryanto, “Pengentasan Kemiskinan Melalui Pendekatan Wakaf Tunai,” AL-IHKAM: Jurnal Hukum &amp; Pranata Sosial, Volume 7, Nomor 1 (2013), 178-200.","plainTextFormattedCitation":"Rudy Haryanto, “Pengentasan Kemiskinan Melalui Pendekatan Wakaf Tunai,” AL-IHKAM: Jurnal Hukum &amp; Pranata Sosial 7, no. 1 (2013): 178–200, https://doi.org/10.19105/al-lhkam.v7i1.323.","previouslyFormattedCitation":"Rudy Haryanto, “Pengentasan Kemiskinan Melalui Pendekatan Wakaf Tunai,” &lt;i&gt;AL-IHKAM: Jurnal Hukum &amp; Pranata Sosial&lt;/i&gt; 7, no. 1 (2013): 178–200, https://doi.org/10.19105/al-lhkam.v7i1.323."},"properties":{"noteIndex":4},"schema":"https://github.com/citation-style-language/schema/raw/master/csl-citation.json"}</w:instrText>
      </w:r>
      <w:r>
        <w:fldChar w:fldCharType="separate"/>
      </w:r>
      <w:r w:rsidRPr="00C90A64">
        <w:rPr>
          <w:noProof/>
        </w:rPr>
        <w:t xml:space="preserve">Rudy Haryanto, “Pengentasan Kemiskinan Melalui Pendekatan Wakaf Tunai,” </w:t>
      </w:r>
      <w:r w:rsidRPr="00C90A64">
        <w:rPr>
          <w:i/>
          <w:noProof/>
        </w:rPr>
        <w:t>AL-IHKAM: Jurnal Hukum &amp; Pranata Sosial</w:t>
      </w:r>
      <w:r>
        <w:rPr>
          <w:iCs/>
          <w:noProof/>
        </w:rPr>
        <w:t xml:space="preserve">, Volume </w:t>
      </w:r>
      <w:r w:rsidRPr="00C90A64">
        <w:rPr>
          <w:noProof/>
        </w:rPr>
        <w:t xml:space="preserve">7, </w:t>
      </w:r>
      <w:r>
        <w:rPr>
          <w:noProof/>
        </w:rPr>
        <w:t xml:space="preserve">Nomor </w:t>
      </w:r>
      <w:r w:rsidRPr="00C90A64">
        <w:rPr>
          <w:noProof/>
        </w:rPr>
        <w:t>1 (2013)</w:t>
      </w:r>
      <w:r>
        <w:rPr>
          <w:noProof/>
        </w:rPr>
        <w:t xml:space="preserve">, </w:t>
      </w:r>
      <w:r w:rsidRPr="00C90A64">
        <w:rPr>
          <w:noProof/>
        </w:rPr>
        <w:t>178</w:t>
      </w:r>
      <w:r>
        <w:rPr>
          <w:noProof/>
        </w:rPr>
        <w:t>-</w:t>
      </w:r>
      <w:r w:rsidRPr="00C90A64">
        <w:rPr>
          <w:noProof/>
        </w:rPr>
        <w:t>200.</w:t>
      </w:r>
      <w:r>
        <w:fldChar w:fldCharType="end"/>
      </w:r>
    </w:p>
  </w:footnote>
  <w:footnote w:id="5">
    <w:p w14:paraId="74541D69" w14:textId="2100B729"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{"citationItems":[{"id":"ITEM-1","itemData":{"DOI":"10.22373/jiif.v15i1.560","ISSN":"1412-1190","abstract":"This study discusses the cash waqf according to Syāfi‘iyah school and the Fatwa according to the Indonesian Ulema Council (MUI). The problem questions that want to be answered through this research are related to the notion of waqf in the view Syāfi‘iyah and MUI, cash waqf law in perspective and rationale Syāfi‘iyah against fatwa MUI and the cash endowments, as well as the understandingof cash waqf arguments. From this study, it is found that the MUI fatwa stipulates that charitable money is permissible or legal, while Syāfi‘iyah assumed that it is illegitimate. MUI underlying consideration in the opinion of Ḥanafī schools that allow endowments dirhams and dinars on the basis of istiḥsān bi al-'urf. Furthermore, according to the principle syafi'iyah waqf object is to be the principal eternal object or substance (baqā' 'aynih), which is not destroyed after use. Whereas money can be destroyed like food.","author":[{"dropping-particle":"","family":"Kamal","given":"Mustafa","non-dropping-particle":"","parse-names":false,"suffix":""}],"container-title":"Jurnal Ilmiah Islam Futura","id":"ITEM-1","issue":"1","issued":{"date-parts":[["2015"]]},"page":"93","title":"Wakaf Tunai Menurut Pandangan Fiqh Syāfi‘Iyah Dan Fatwa Majelis Ulama Indonesia No.2 Tahun 2002 Tentang Wakaf Uang","type":"article-journal","volume":"15"},"uris":["http://www.mendeley.com/documents/?uuid=7fdb6761-c28a-4f0c-9118-a2a1c636bc16"]}],"mendeley":{"formattedCitation":"Mustafa Kamal, “Wakaf Tunai Menurut Pandangan Fiqh Syāfi‘Iyah Dan Fatwa Majelis Ulama Indonesia No.2 Tahun 2002 Tentang Wakaf Uang,” &lt;i&gt;Jurnal Ilmiah Islam Futura&lt;/i&gt; 15, no. 1 (2015): 93, https://doi.org/10.22373/jiif.v15i1.560.","manualFormatting":"Mustafa Kamal, “Wakaf Tunai Menurut Pandangan Fiqh Syafi'iyah dan Fatwa Majelis Ulama Indonesia,” Jurnal Ilmiah Islam Futura, Volume 15, Nomor 1 (2015), 93-110.","plainTextFormattedCitation":"Mustafa Kamal, “Wakaf Tunai Menurut Pandangan Fiqh Syāfi‘Iyah Dan Fatwa Majelis Ulama Indonesia No.2 Tahun 2002 Tentang Wakaf Uang,” Jurnal Ilmiah Islam Futura 15, no. 1 (2015): 93, https://doi.org/10.22373/jiif.v15i1.560.","previouslyFormattedCitation":"Mustafa Kamal, “Wakaf Tunai Menurut Pandangan Fiqh Syāfi‘Iyah Dan Fatwa Majelis Ulama Indonesia No.2 Tahun 2002 Tentang Wakaf Uang,” &lt;i&gt;Jurnal Ilmiah Islam Futura&lt;/i&gt; 15, no. 1 (2015): 93, https://doi.org/10.22373/jiif.v15i1.560."},"properties":{"noteIndex":5},"schema":"https://github.com/citation-style-language/schema/raw/master/csl-citation.json"}</w:instrText>
      </w:r>
      <w:r>
        <w:fldChar w:fldCharType="separate"/>
      </w:r>
      <w:r w:rsidRPr="00454746">
        <w:rPr>
          <w:noProof/>
        </w:rPr>
        <w:t>Mustafa Kamal, “Wakaf Tunai Menurut Pandangan Fiqh Sy</w:t>
      </w:r>
      <w:r>
        <w:rPr>
          <w:noProof/>
        </w:rPr>
        <w:t>afi'iyah d</w:t>
      </w:r>
      <w:r w:rsidRPr="00454746">
        <w:rPr>
          <w:noProof/>
        </w:rPr>
        <w:t xml:space="preserve">an Fatwa Majelis Ulama Indonesia,” </w:t>
      </w:r>
      <w:r w:rsidRPr="00454746">
        <w:rPr>
          <w:i/>
          <w:noProof/>
        </w:rPr>
        <w:t>Jurnal Ilmiah Islam Futura</w:t>
      </w:r>
      <w:r>
        <w:rPr>
          <w:iCs/>
          <w:noProof/>
        </w:rPr>
        <w:t xml:space="preserve">, Volume </w:t>
      </w:r>
      <w:r w:rsidRPr="00454746">
        <w:rPr>
          <w:noProof/>
        </w:rPr>
        <w:t xml:space="preserve">15, </w:t>
      </w:r>
      <w:r>
        <w:rPr>
          <w:noProof/>
        </w:rPr>
        <w:t xml:space="preserve">Nomor </w:t>
      </w:r>
      <w:r w:rsidRPr="00454746">
        <w:rPr>
          <w:noProof/>
        </w:rPr>
        <w:t>1 (2015)</w:t>
      </w:r>
      <w:r>
        <w:rPr>
          <w:noProof/>
        </w:rPr>
        <w:t xml:space="preserve">, </w:t>
      </w:r>
      <w:r w:rsidRPr="00454746">
        <w:rPr>
          <w:noProof/>
        </w:rPr>
        <w:t>93</w:t>
      </w:r>
      <w:r>
        <w:rPr>
          <w:noProof/>
        </w:rPr>
        <w:t>-110</w:t>
      </w:r>
      <w:r w:rsidRPr="00454746">
        <w:rPr>
          <w:noProof/>
        </w:rPr>
        <w:t>.</w:t>
      </w:r>
      <w:r>
        <w:fldChar w:fldCharType="end"/>
      </w:r>
    </w:p>
  </w:footnote>
  <w:footnote w:id="6">
    <w:p w14:paraId="402359E6" w14:textId="0EA8922F" w:rsidR="0060333C" w:rsidRDefault="0060333C" w:rsidP="00D15247">
      <w:pPr>
        <w:pStyle w:val="FootnoteText"/>
        <w:ind w:firstLine="360"/>
        <w:jc w:val="both"/>
      </w:pPr>
      <w:r>
        <w:rPr>
          <w:rStyle w:val="FootnoteReference"/>
        </w:rPr>
        <w:footnoteRef/>
      </w:r>
      <w:r>
        <w:fldChar w:fldCharType="begin" w:fldLock="1"/>
      </w:r>
      <w:r>
        <w:instrText>ADDIN CSL_CITATION {"citationItems":[{"id":"ITEM-1","itemData":{"DOI":"10.21580/ws.24.1.680","ISSN":"0852-7172","abstract":"&lt;p&gt;Cash waqf is a breakthrough in appropriate with religious principles (maqāṣid al-sharī’ah) and social demands of humanity. This program can synergize with government programs in order to realize the welfare of the people of Indonesia as a manifestation of the ideals of the Republic of Indonesia, as stated in the preamble of the 1945 Constitution. Judging from the principle of religious, cash waqf has also been exemplified by several companions of Rasullullah and the scholars from time to time. Call it like what has been exemplified by the Caliph ‘Umar ibn al-Khaṭṭāb when making a land in Khaibar as productive land that used as much as possible for the benefit of Muslims. In addition, this program has also had supported by law. MUI Fatwa Commission also stipulates that the cash waqf is a movement in accordance with the principles of the religion that brought prosperity to the human in here and hereafter. This paper is literature research with reference to several primary and secondary sources such as books or books relevant to the study.&lt;/p&gt;&lt;p&gt;***&lt;/p&gt;&lt;p&gt;Wakaf uang merupakan gebrakan yang sesuai dengan prinsip agama (maqāṣid al-sharī’ah) dan tuntutan sosial kemanusian. Program ini bisa bersinergi dengan program-program pemerintah dalam mewujudkan kesejahteraan rakyat Indonesia sebagai manivestasi dari cita-cita besar Negara Indonesia yang tercantum dalam Pembukaan UUD 1945. Gerakan wakaf produktif dengan uang juga sudah dicontohkan oleh beberapa sahabat Rasul dan para ulama dari zaman ke zaman. Misalnya Khalifah ‘Umar ibn al-Khattāb ketika menjadikan tanah di Khaibar sebagai lahan produktif yang digunakan untuk kepentingan umat Islam. Program ini juga sudah didukung oleh hukum positif seperti Undang-Undang dan Peraturan Pemerintah tentang wakaf, Demikian pula Fatwa MUI juga menetapkan bahwa wakaf dengan menggunakan uang adalah gerakan yang sesuai dengan prinsip agama yaitu membawa kesejahteraan untuk manusia baik untuk dunia maupun akhirat mereka. Tulisan ini merupakan library research dengan merujuk beberapa sumber primer dan sekunder berupa buku atau kitab yang relevan dengan kajian.&lt;/p&gt;","author":[{"dropping-particle":"","family":"Suryani","given":"Suryani","non-dropping-particle":"","parse-names":false,"suffix":""},{"dropping-particle":"","family":"Isra","given":"Yunal","non-dropping-particle":"","parse-names":false,"suffix":""}],"container-title":"Walisongo: Jurnal Penelitian Sosial Keagamaan","id":"ITEM-1","issue":"1","issued":{"date-parts":[["2016"]]},"page":"17","title":"Wakaf Produktif (Cash Waqf) Dalam Perspektif Hukum Islam Dan Maqāṣid Al-Sharī‘Ah","type":"article-journal","volume":"24"},"uris":["http://www.mendeley.com/documents/?uuid=3d8bb332-49e0-43ad-8ff9-91c5c162bb50"]}],"mendeley":{"formattedCitation":"Suryani Suryani and Yunal Isra, “Wakaf Produktif (Cash Waqf) Dalam Perspektif Hukum Islam Dan Maqāṣid Al-Sharī‘Ah,” &lt;i&gt;Walisongo: Jurnal Penelitian Sosial Keagamaan&lt;/i&gt; 24, no. 1 (2016): 17, https://doi.org/10.21580/ws.24.1.680.","manualFormatting":"Suryani Suryani and Yunal Isra, “Wakaf Produktif (Cash Waqf) dalam Perspektif Hukum Islam dan Maqasid Al-Shariah,” Walisongo: Jurnal Penelitian Sosial Keagamaan, Volume 24, Nomor 1 (2016), 17-36.","plainTextFormattedCitation":"Suryani Suryani and Yunal Isra, “Wakaf Produktif (Cash Waqf) Dalam Perspektif Hukum Islam Dan Maqāṣid Al-Sharī‘Ah,” Walisongo: Jurnal Penelitian Sosial Keagamaan 24, no. 1 (2016): 17, https://doi.org/10.21580/ws.24.1.680.","previouslyFormattedCitation":"Suryani Suryani and Yunal Isra, “Wakaf Produktif (Cash Waqf) Dalam Perspektif Hukum Islam Dan Maqāṣid Al-Sharī‘Ah,” &lt;i&gt;Walisongo: Jurnal Penelitian Sosial Keagamaan&lt;/i&gt; 24, no. 1 (2016): 17, https://doi.org/10.21580/ws.24.1.680."},"properties":{"noteIndex":6},"schema":"https://github.com/citation-style-language/schema/raw/master/csl-citation.json"}</w:instrText>
      </w:r>
      <w:r>
        <w:fldChar w:fldCharType="separate"/>
      </w:r>
      <w:r w:rsidRPr="0014717E">
        <w:rPr>
          <w:noProof/>
        </w:rPr>
        <w:t xml:space="preserve">Suryani Suryani and Yunal Isra, “Wakaf Produktif (Cash Waqf) </w:t>
      </w:r>
      <w:r>
        <w:rPr>
          <w:noProof/>
        </w:rPr>
        <w:t>d</w:t>
      </w:r>
      <w:r w:rsidRPr="0014717E">
        <w:rPr>
          <w:noProof/>
        </w:rPr>
        <w:t xml:space="preserve">alam Perspektif Hukum Islam </w:t>
      </w:r>
      <w:r>
        <w:rPr>
          <w:noProof/>
        </w:rPr>
        <w:t>d</w:t>
      </w:r>
      <w:r w:rsidRPr="0014717E">
        <w:rPr>
          <w:noProof/>
        </w:rPr>
        <w:t>an Maq</w:t>
      </w:r>
      <w:r>
        <w:rPr>
          <w:noProof/>
        </w:rPr>
        <w:t>as</w:t>
      </w:r>
      <w:r w:rsidRPr="0014717E">
        <w:rPr>
          <w:noProof/>
        </w:rPr>
        <w:t>id Al-Shar</w:t>
      </w:r>
      <w:r>
        <w:rPr>
          <w:noProof/>
        </w:rPr>
        <w:t>iah</w:t>
      </w:r>
      <w:r w:rsidRPr="0014717E">
        <w:rPr>
          <w:noProof/>
        </w:rPr>
        <w:t xml:space="preserve">,” </w:t>
      </w:r>
      <w:r w:rsidRPr="0014717E">
        <w:rPr>
          <w:i/>
          <w:noProof/>
        </w:rPr>
        <w:t>Walisongo: Jurnal Penelitian Sosial Keagamaan</w:t>
      </w:r>
      <w:r>
        <w:rPr>
          <w:iCs/>
          <w:noProof/>
        </w:rPr>
        <w:t>, Volume</w:t>
      </w:r>
      <w:r w:rsidRPr="0014717E">
        <w:rPr>
          <w:noProof/>
        </w:rPr>
        <w:t xml:space="preserve"> 24, </w:t>
      </w:r>
      <w:r>
        <w:rPr>
          <w:noProof/>
        </w:rPr>
        <w:t>Nomor</w:t>
      </w:r>
      <w:r w:rsidRPr="0014717E">
        <w:rPr>
          <w:noProof/>
        </w:rPr>
        <w:t xml:space="preserve"> 1 (2016)</w:t>
      </w:r>
      <w:r>
        <w:rPr>
          <w:noProof/>
        </w:rPr>
        <w:t xml:space="preserve">, </w:t>
      </w:r>
      <w:r w:rsidRPr="0014717E">
        <w:rPr>
          <w:noProof/>
        </w:rPr>
        <w:t>17</w:t>
      </w:r>
      <w:r>
        <w:rPr>
          <w:noProof/>
        </w:rPr>
        <w:t>-36</w:t>
      </w:r>
      <w:r w:rsidRPr="0014717E">
        <w:rPr>
          <w:noProof/>
        </w:rPr>
        <w:t>.</w:t>
      </w:r>
      <w:r>
        <w:fldChar w:fldCharType="end"/>
      </w:r>
    </w:p>
  </w:footnote>
  <w:footnote w:id="7">
    <w:p w14:paraId="4D05FA64" w14:textId="16C29249" w:rsidR="0060333C" w:rsidRDefault="0060333C" w:rsidP="004765E0">
      <w:pPr>
        <w:pStyle w:val="FootnoteText"/>
        <w:ind w:firstLine="360"/>
        <w:jc w:val="both"/>
      </w:pPr>
      <w:r>
        <w:rPr>
          <w:rStyle w:val="FootnoteReference"/>
        </w:rPr>
        <w:footnoteRef/>
      </w:r>
      <w:r>
        <w:fldChar w:fldCharType="begin" w:fldLock="1"/>
      </w:r>
      <w:r>
        <w:instrText>ADDIN CSL_CITATION {"citationItems":[{"id":"ITEM-1","itemData":{"DOI":"10.18326/ijtihad.v13i1.49-64","ISSN":"1411-9544","abstract":"This paper raises the issue of the opinion of Garut Islamic scholars (ulama) about cash waqf and limited time (mu‘aqqat) of waqf, two issues of waqf are considered as the new problems of waqf for the Indonesian muslims as opposed to their view before. The findings of this study are as follows: 1) Garut Islamic scholars agree that the law of cash waqf is permitted becouse that cash waqf does not conlict with essence of waqf; 2) There are differences of opinion among Garut scholars relating the law of limited time of waqf. Some of them said that this waqf allowed becouse it does not conflict with the meaning and the esssence of waqf, even charitable opportunites for the community will be greater in the presence of limited waqf. Some other scholars consider that limited time of waqf have violated the essence of waqf to be timeless, forever. However, they still consider that there is virtue of this type of waqf, and still allowed conducted with a note its name is not waqf.","author":[{"dropping-particle":"","family":"Hermawan","given":"Wawan","non-dropping-particle":"","parse-names":false,"suffix":""}],"container-title":"Ijtihad : Jurnal Wacana Hukum Islam dan Kemanusiaan","id":"ITEM-1","issue":"1","issued":{"date-parts":[["2013"]]},"page":"49","title":"Pandangan ulama Garut tentang wakaf uang dan wakaf mu‘aqqat","type":"article-journal","volume":"13"},"uris":["http://www.mendeley.com/documents/?uuid=036cc335-5d90-4873-86cb-4bf5c908541e"]}],"mendeley":{"formattedCitation":"Wawan Hermawan, “Pandangan Ulama Garut Tentang Wakaf Uang Dan Wakaf Mu‘Aqqat,” &lt;i&gt;Ijtihad : Jurnal Wacana Hukum Islam Dan Kemanusiaan&lt;/i&gt; 13, no. 1 (2013): 49, https://doi.org/10.18326/ijtihad.v13i1.49-64.","manualFormatting":"Wawan Hermawan, “Pandangan Ulama Garut Tentang Wakaf Uang dan Wakaf Mu‘aqqat,” Ijtihad : Jurnal Wacana Hukum Islam Dan Kemanusiaan, Volume 13, Nomor 1 (2013), 49-64.","plainTextFormattedCitation":"Wawan Hermawan, “Pandangan Ulama Garut Tentang Wakaf Uang Dan Wakaf Mu‘Aqqat,” Ijtihad : Jurnal Wacana Hukum Islam Dan Kemanusiaan 13, no. 1 (2013): 49, https://doi.org/10.18326/ijtihad.v13i1.49-64.","previouslyFormattedCitation":"Wawan Hermawan, “Pandangan Ulama Garut Tentang Wakaf Uang Dan Wakaf Mu‘Aqqat,” &lt;i&gt;Ijtihad : Jurnal Wacana Hukum Islam Dan Kemanusiaan&lt;/i&gt; 13, no. 1 (2013): 49, https://doi.org/10.18326/ijtihad.v13i1.49-64."},"properties":{"noteIndex":7},"schema":"https://github.com/citation-style-language/schema/raw/master/csl-citation.json"}</w:instrText>
      </w:r>
      <w:r>
        <w:fldChar w:fldCharType="separate"/>
      </w:r>
      <w:r w:rsidRPr="0014717E">
        <w:rPr>
          <w:noProof/>
        </w:rPr>
        <w:t xml:space="preserve">Wawan Hermawan, “Pandangan Ulama Garut Tentang Wakaf Uang </w:t>
      </w:r>
      <w:r>
        <w:rPr>
          <w:noProof/>
        </w:rPr>
        <w:t>d</w:t>
      </w:r>
      <w:r w:rsidRPr="0014717E">
        <w:rPr>
          <w:noProof/>
        </w:rPr>
        <w:t>an Wakaf Mu‘</w:t>
      </w:r>
      <w:r>
        <w:rPr>
          <w:noProof/>
        </w:rPr>
        <w:t>a</w:t>
      </w:r>
      <w:r w:rsidRPr="0014717E">
        <w:rPr>
          <w:noProof/>
        </w:rPr>
        <w:t xml:space="preserve">qqat,” </w:t>
      </w:r>
      <w:r w:rsidRPr="0014717E">
        <w:rPr>
          <w:i/>
          <w:noProof/>
        </w:rPr>
        <w:t>Ijtihad : Jurnal Wacana Hukum Islam Dan Kemanusiaan</w:t>
      </w:r>
      <w:r>
        <w:rPr>
          <w:iCs/>
          <w:noProof/>
        </w:rPr>
        <w:t>, Volume</w:t>
      </w:r>
      <w:r w:rsidRPr="0014717E">
        <w:rPr>
          <w:noProof/>
        </w:rPr>
        <w:t xml:space="preserve"> 13, </w:t>
      </w:r>
      <w:r>
        <w:rPr>
          <w:noProof/>
        </w:rPr>
        <w:t xml:space="preserve">Nomor </w:t>
      </w:r>
      <w:r w:rsidRPr="0014717E">
        <w:rPr>
          <w:noProof/>
        </w:rPr>
        <w:t>1 (2013)</w:t>
      </w:r>
      <w:r>
        <w:rPr>
          <w:noProof/>
        </w:rPr>
        <w:t xml:space="preserve">, </w:t>
      </w:r>
      <w:r w:rsidRPr="0014717E">
        <w:rPr>
          <w:noProof/>
        </w:rPr>
        <w:t>49-64.</w:t>
      </w:r>
      <w:r>
        <w:fldChar w:fldCharType="end"/>
      </w:r>
    </w:p>
  </w:footnote>
  <w:footnote w:id="8">
    <w:p w14:paraId="2521B778" w14:textId="2BB7C32C"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{"citationItems":[{"id":"ITEM-1","itemData":{"ISBN":"9783642253874","ISSN":"09240136","PMID":"25246403","abstract":"Solid Freeform Fabrication and Shape Deposition are rapid manufacturing processes which build parts by incremental material deposition and fusion of cross-sectional layers. In this paper, several thermal deposition processes are described for directly fabricating prototype metal shapes using robotically manipulated material deposition systems. A robotic palletizing/part transfer system is also described which integrates multiple deposition and shaping processes into a single facility for rapidly manufacturing functional shapes.","author":[{"dropping-particle":"","family":"Victoria","given":"O. Argo","non-dropping-particle":"","parse-names":false,"suffix":""}],"container-title":"Jurnal Pembaharuan Hukum","id":"ITEM-1","issue":"1","issued":{"date-parts":[["2018"]]},"page":"1-8","title":"WAQF AL-NUQŪD IN INDONESIA (In Law Perspective)","type":"article-journal","volume":"1"},"uris":["http://www.mendeley.com/documents/?uuid=f6cc08b8-4117-4770-a971-94374a026a29"]}],"mendeley":{"formattedCitation":"O. Argo Victoria, “WAQF AL-NUQŪD IN INDONESIA (In Law Perspective),” &lt;i&gt;Jurnal Pembaharuan Hukum&lt;/i&gt; 1, no. 1 (2018): 1–8, http://dx.doi.org/10.1016/j.cirp.2016.06.001%0Ahttp://dx.doi.org/10.1016/j.powtec.2016.12.055%0Ahttps://doi.org/10.1016/j.ijfatigue.2019.02.006%0Ahttps://doi.org/10.1016/j.matlet.2019.04.024%0Ahttps://doi.org/10.1016/j.matlet.2019.127252%0Ahttp://dx.doi.o.","manualFormatting":"O. Argo Victoria, “WAQF AL-NUQUD IN INDONESIA (In Law Perspective),” Jurnal Pembaharuan Hukum, Volume 1, Number 1 (2018), 1-8.","plainTextFormattedCitation":"O. Argo Victoria, “WAQF AL-NUQŪD IN INDONESIA (In Law Perspective),” Jurnal Pembaharuan Hukum 1, no. 1 (2018): 1–8, http://dx.doi.org/10.1016/j.cirp.2016.06.001%0Ahttp://dx.doi.org/10.1016/j.powtec.2016.12.055%0Ahttps://doi.org/10.1016/j.ijfatigue.2019.02.006%0Ahttps://doi.org/10.1016/j.matlet.2019.04.024%0Ahttps://doi.org/10.1016/j.matlet.2019.127252%0Ahttp://dx.doi.o.","previouslyFormattedCitation":"O. Argo Victoria, “WAQF AL-NUQŪD IN INDONESIA (In Law Perspective),” &lt;i&gt;Jurnal Pembaharuan Hukum&lt;/i&gt; 1, no. 1 (2018): 1–8, http://dx.doi.org/10.1016/j.cirp.2016.06.001%0Ahttp://dx.doi.org/10.1016/j.powtec.2016.12.055%0Ahttps://doi.org/10.1016/j.ijfatigue.2019.02.006%0Ahttps://doi.org/10.1016/j.matlet.2019.04.024%0Ahttps://doi.org/10.1016/j.matlet.2019.127252%0Ahttp://dx.doi.o."},"properties":{"noteIndex":8},"schema":"https://github.com/citation-style-language/schema/raw/master/csl-citation.json"}</w:instrText>
      </w:r>
      <w:r>
        <w:fldChar w:fldCharType="separate"/>
      </w:r>
      <w:r w:rsidRPr="006F7897">
        <w:rPr>
          <w:noProof/>
        </w:rPr>
        <w:t>O. Argo Victoria, “WAQF AL-NUQ</w:t>
      </w:r>
      <w:r>
        <w:rPr>
          <w:noProof/>
        </w:rPr>
        <w:t>U</w:t>
      </w:r>
      <w:r w:rsidRPr="006F7897">
        <w:rPr>
          <w:noProof/>
        </w:rPr>
        <w:t xml:space="preserve">D IN INDONESIA (In Law Perspective),” </w:t>
      </w:r>
      <w:r w:rsidRPr="006F7897">
        <w:rPr>
          <w:i/>
          <w:noProof/>
        </w:rPr>
        <w:t>Jurnal Pembaharuan Hukum</w:t>
      </w:r>
      <w:r>
        <w:rPr>
          <w:iCs/>
          <w:noProof/>
        </w:rPr>
        <w:t>, Volume</w:t>
      </w:r>
      <w:r w:rsidRPr="006F7897">
        <w:rPr>
          <w:noProof/>
        </w:rPr>
        <w:t xml:space="preserve"> 1, </w:t>
      </w:r>
      <w:r>
        <w:rPr>
          <w:noProof/>
        </w:rPr>
        <w:t xml:space="preserve">Number </w:t>
      </w:r>
      <w:r w:rsidRPr="006F7897">
        <w:rPr>
          <w:noProof/>
        </w:rPr>
        <w:t>1 (2018)</w:t>
      </w:r>
      <w:r>
        <w:rPr>
          <w:noProof/>
        </w:rPr>
        <w:t xml:space="preserve">, </w:t>
      </w:r>
      <w:r w:rsidRPr="006F7897">
        <w:rPr>
          <w:noProof/>
        </w:rPr>
        <w:t>1</w:t>
      </w:r>
      <w:r>
        <w:rPr>
          <w:noProof/>
        </w:rPr>
        <w:t>-</w:t>
      </w:r>
      <w:r w:rsidRPr="006F7897">
        <w:rPr>
          <w:noProof/>
        </w:rPr>
        <w:t>8.</w:t>
      </w:r>
      <w:r>
        <w:fldChar w:fldCharType="end"/>
      </w:r>
    </w:p>
  </w:footnote>
  <w:footnote w:id="9">
    <w:p w14:paraId="7F5ABF90" w14:textId="5D357111" w:rsidR="0060333C" w:rsidRDefault="0060333C" w:rsidP="00D61597">
      <w:pPr>
        <w:pStyle w:val="FootnoteText"/>
        <w:ind w:firstLine="360"/>
        <w:jc w:val="both"/>
      </w:pPr>
      <w:r>
        <w:rPr>
          <w:rStyle w:val="FootnoteReference"/>
        </w:rPr>
        <w:footnoteRef/>
      </w:r>
      <w:r>
        <w:fldChar w:fldCharType="begin" w:fldLock="1"/>
      </w:r>
      <w:r>
        <w:instrText>ADDIN CSL_CITATION {"citationItems":[{"id":"ITEM-1","itemData":{"abstract":"The problems of poverty and social inequality in a country with a majority Muslim population is of concern, one of which is Indonesia. One of the religious institution in Islam which are of direct relevance functionally with efforts to solve social problems and humanity is waqf. The emergence of the paradigm of productive waqf, is a momentum as an attempt to transform from its traditional management of waqf professional management. Masjid Agung Syuhada Yogyakarta can be considered successful in the management of this productive waqf for their productive economic programs. In this paper will discuss how to model the development of productive waqf in Masjid Agung Syuhada Yogyakarta. By using methods of field research and qualitative approach to the data will be obtained and analyzed through qualitative descriptive analysis techniques. Data were obtained through in-depth observation, interviews and documentation. The results showed productive waqf that have been applied by Masjid Agung Syuhada Yogyakarta made many contributions both internally and externally through the productive economy that is sustainable. Waqf funds collected are managed properly and professionally so that the distribution can also be dialogue, it means that the waqf funds channeled productively with their development in several business areas in Masjid Agung Syuhada Yogyakarta.","author":[{"dropping-particle":"","family":"Oktarina","given":"Amimah","non-dropping-particle":"","parse-names":false,"suffix":""}],"container-title":"QIJIS: Qudus International Journal of Islamic Studies","id":"ITEM-1","issue":"1","issued":{"date-parts":[["2018"]]},"page":"103-126","title":"Developing Models of Productive Waqf","type":"article-journal","volume":"6"},"uris":["http://www.mendeley.com/documents/?uuid=96763201-1c28-43d6-afc9-a4dd29a2140e"]}],"mendeley":{"formattedCitation":"Amimah Oktarina, “Developing Models of Productive Waqf,” &lt;i&gt;QIJIS: Qudus International Journal of Islamic Studies&lt;/i&gt; 6, no. 1 (2018): 103–26.","manualFormatting":"Amimah Oktarina, “Developing Models of Productive Waqf,” QIJIS: Qudus International Journal of Islamic Studies, Volume 6, Nomor 1 (2018), 103-126.","plainTextFormattedCitation":"Amimah Oktarina, “Developing Models of Productive Waqf,” QIJIS: Qudus International Journal of Islamic Studies 6, no. 1 (2018): 103–26.","previouslyFormattedCitation":"Amimah Oktarina, “Developing Models of Productive Waqf,” &lt;i&gt;QIJIS: Qudus International Journal of Islamic Studies&lt;/i&gt; 6, no. 1 (2018): 103–26."},"properties":{"noteIndex":9},"schema":"https://github.com/citation-style-language/schema/raw/master/csl-citation.json"}</w:instrText>
      </w:r>
      <w:r>
        <w:fldChar w:fldCharType="separate"/>
      </w:r>
      <w:r w:rsidRPr="0069415A">
        <w:rPr>
          <w:noProof/>
        </w:rPr>
        <w:t xml:space="preserve">Amimah Oktarina, “Developing Models of Productive Waqf,” </w:t>
      </w:r>
      <w:r w:rsidRPr="0069415A">
        <w:rPr>
          <w:i/>
          <w:noProof/>
        </w:rPr>
        <w:t>QIJIS: Qudus International Journal of Islamic Studies</w:t>
      </w:r>
      <w:r>
        <w:rPr>
          <w:iCs/>
          <w:noProof/>
        </w:rPr>
        <w:t>, Volume</w:t>
      </w:r>
      <w:r w:rsidRPr="0069415A">
        <w:rPr>
          <w:noProof/>
        </w:rPr>
        <w:t xml:space="preserve"> 6, </w:t>
      </w:r>
      <w:r>
        <w:rPr>
          <w:noProof/>
        </w:rPr>
        <w:t xml:space="preserve">Nomor </w:t>
      </w:r>
      <w:r w:rsidRPr="0069415A">
        <w:rPr>
          <w:noProof/>
        </w:rPr>
        <w:t>1 (2018)</w:t>
      </w:r>
      <w:r>
        <w:rPr>
          <w:noProof/>
        </w:rPr>
        <w:t xml:space="preserve">, </w:t>
      </w:r>
      <w:r w:rsidRPr="0069415A">
        <w:rPr>
          <w:noProof/>
        </w:rPr>
        <w:t>103</w:t>
      </w:r>
      <w:r>
        <w:rPr>
          <w:noProof/>
        </w:rPr>
        <w:t>-1</w:t>
      </w:r>
      <w:r w:rsidRPr="0069415A">
        <w:rPr>
          <w:noProof/>
        </w:rPr>
        <w:t>26.</w:t>
      </w:r>
      <w:r>
        <w:fldChar w:fldCharType="end"/>
      </w:r>
    </w:p>
  </w:footnote>
  <w:footnote w:id="10">
    <w:p w14:paraId="10BD3D4F" w14:textId="2FEF246B" w:rsidR="0060333C" w:rsidRDefault="0060333C" w:rsidP="00D61597">
      <w:pPr>
        <w:pStyle w:val="FootnoteText"/>
        <w:ind w:firstLine="360"/>
        <w:jc w:val="both"/>
      </w:pPr>
      <w:r>
        <w:rPr>
          <w:rStyle w:val="FootnoteReference"/>
        </w:rPr>
        <w:footnoteRef/>
      </w:r>
      <w:r>
        <w:fldChar w:fldCharType="begin" w:fldLock="1"/>
      </w:r>
      <w:r>
        <w:instrText>ADDIN CSL_CITATION {"citationItems":[{"id":"ITEM-1","itemData":{"DOI":"10.21580/ws.24.1.1140","ISSN":"0852-7172","abstract":"&lt;p class=\"IIABSBARU\"&gt;Islamic business management becomes an interesting topic continues to increase. There are 3 (three) models of Islamic business management: 1) &lt;em&gt;Sole proprietor­ships&lt;/em&gt;, 2) &lt;em&gt;Partnership&lt;/em&gt;, and 3) &lt;em&gt;Mudharaba&lt;/em&gt; with cooperation between two or more parties in which the owners of capital (shahibul mal) entrust amount of capital to the manager (&lt;em&gt;muḍarib&lt;/em&gt;) with an agreement at the earliest. This paper analyze to the Islamic business management model developed by Lembaga Pengembangan Usaha (LPU) of Yayasan Badan Wakaf Sultan Agung (YBWSA) as a holding company that houses several business units. The types of business model is influence the applied business management model, and the type of business management model is influence the results of business operations. By using qualitative descriptive analysis, the study found that the LPU using multiple management models according to the type of business operation, which is a self-ownership (Takessa, Air Quasa, SA Radio), and partnerships (property, retail, Pumanisa), and combination model both self-ownership and partnerships (SApress, asset management and SAtour).&lt;/p&gt;&lt;p class=\"IIABSBARU\"&gt;***&lt;/p&gt;&lt;p class=\"ListParagraph\"&gt;Model pengelolaan bisnis syari’ah menjadi tema menarik seiring dengan per­kembang­annya terus meningkat. Terdapat 3 (tiga) model yang berkembang: 1) &lt;em&gt;Sole proprietorships&lt;/em&gt; (kepemilikan tunggal), 2) &lt;em&gt;Partnership&lt;/em&gt; (kemitraan), dan 3) &lt;em&gt;Muḍa­rabah&lt;/em&gt;, bentuk kerjasama dimana pemilik modal (shahibul mal) mem­percayakan sejumlah modal kepada pengelola (&lt;em&gt;muḍarib&lt;/em&gt;) dengan per­janjian di awal. Paper ini menganalisa model pengelolaan bisnis syari’ah yang di­kembang­kan oleh Lembaga Pengembangan Usaha (LPU) pada Yayasan Badan Wakaf Sultan Agung (YBWSA) sebagai lembaga induk yang menaungi banyak unit usaha dengan prinsip syari’ah. Banyaknya unit usaha ini dapat mempengaruhi model pengelolaan bisnis yang diterapkan, dan model pengelolaan tersebut dapat mem­pe­ngaruhi hasil usaha yang dijalankan. Dengan menggunakan metodfe analisis deskriptif kualitatif, penelitian ini menemukan bahwa LPU menggunakan be­berapa model bisnis sesuai dengan jenis usaha yang dijalankan, yaitu kepemilikan tunggal (Takessa, Air Quasa, dan SA Radio), dan kemitraan (properti, ritel, dan Pumanisa) serta model kombinasi ke­dua­nya (SApress, manajemen aset dan SAtour).&lt;/p&gt;","author":[{"dropping-particle":"","family":"Huda","given":"Choirul","non-dropping-particle":"","parse-names":false,"suffix":""}],"container-title":"Walisongo: Jurnal Penelitian Sosial Keagamaan","id":"ITEM-1","issue":"1","issued":{"date-parts":[["2016"]]},"page":"165","title":"MODEL PENGELOLAAN BISNIS SYARI’AH: Studi Kasus Lembaga Pengembangan Usaha Yayasan Badan Wakaf Sultan Agung Semarang","type":"article-journal","volume":"24"},"uris":["http://www.mendeley.com/documents/?uuid=450a29fa-0fa2-44f7-8b06-b608ea7042a6"]}],"mendeley":{"formattedCitation":"Choirul Huda, “MODEL PENGELOLAAN BISNIS SYARI’AH: Studi Kasus Lembaga Pengembangan Usaha Yayasan Badan Wakaf Sultan Agung Semarang,” &lt;i&gt;Walisongo: Jurnal Penelitian Sosial Keagamaan&lt;/i&gt; 24, no. 1 (2016): 165, https://doi.org/10.21580/ws.24.1.1140.","manualFormatting":"Choirul Huda, “MODEL PENGELOLAAN BISNIS SYARI’AH: Studi Kasus Lembaga Pengembangan Usaha Yayasan Badan Wakaf Sultan Agung Semarang,” Walisongo: Jurnal Penelitian Sosial Keagamaan, Volume 24, Nomor 1 (2016), 165-190.","plainTextFormattedCitation":"Choirul Huda, “MODEL PENGELOLAAN BISNIS SYARI’AH: Studi Kasus Lembaga Pengembangan Usaha Yayasan Badan Wakaf Sultan Agung Semarang,” Walisongo: Jurnal Penelitian Sosial Keagamaan 24, no. 1 (2016): 165, https://doi.org/10.21580/ws.24.1.1140.","previouslyFormattedCitation":"Choirul Huda, “MODEL PENGELOLAAN BISNIS SYARI’AH: Studi Kasus Lembaga Pengembangan Usaha Yayasan Badan Wakaf Sultan Agung Semarang,” &lt;i&gt;Walisongo: Jurnal Penelitian Sosial Keagamaan&lt;/i&gt; 24, no. 1 (2016): 165, https://doi.org/10.21580/ws.24.1.1140."},"properties":{"noteIndex":10},"schema":"https://github.com/citation-style-language/schema/raw/master/csl-citation.json"}</w:instrText>
      </w:r>
      <w:r>
        <w:fldChar w:fldCharType="separate"/>
      </w:r>
      <w:r w:rsidRPr="0094445B">
        <w:rPr>
          <w:noProof/>
        </w:rPr>
        <w:t xml:space="preserve">Choirul Huda, “MODEL PENGELOLAAN BISNIS SYARI’AH: Studi Kasus Lembaga Pengembangan Usaha Yayasan Badan Wakaf Sultan Agung Semarang,” </w:t>
      </w:r>
      <w:r w:rsidRPr="0094445B">
        <w:rPr>
          <w:i/>
          <w:noProof/>
        </w:rPr>
        <w:t>Walisongo: Jurnal Penelitian Sosial Keagamaan</w:t>
      </w:r>
      <w:r>
        <w:rPr>
          <w:iCs/>
          <w:noProof/>
        </w:rPr>
        <w:t>, Volume</w:t>
      </w:r>
      <w:r w:rsidRPr="0094445B">
        <w:rPr>
          <w:noProof/>
        </w:rPr>
        <w:t xml:space="preserve"> 24, </w:t>
      </w:r>
      <w:r>
        <w:rPr>
          <w:noProof/>
        </w:rPr>
        <w:t xml:space="preserve">Nomor </w:t>
      </w:r>
      <w:r w:rsidRPr="0094445B">
        <w:rPr>
          <w:noProof/>
        </w:rPr>
        <w:t>1 (2016)</w:t>
      </w:r>
      <w:r>
        <w:rPr>
          <w:noProof/>
        </w:rPr>
        <w:t xml:space="preserve">, </w:t>
      </w:r>
      <w:r w:rsidRPr="0094445B">
        <w:rPr>
          <w:noProof/>
        </w:rPr>
        <w:t>165</w:t>
      </w:r>
      <w:r>
        <w:rPr>
          <w:noProof/>
        </w:rPr>
        <w:t>-190</w:t>
      </w:r>
      <w:r w:rsidRPr="0094445B">
        <w:rPr>
          <w:noProof/>
        </w:rPr>
        <w:t>.</w:t>
      </w:r>
      <w:r>
        <w:fldChar w:fldCharType="end"/>
      </w:r>
    </w:p>
    <w:p w14:paraId="29CA03B6" w14:textId="26D0E246" w:rsidR="0060333C" w:rsidRDefault="0060333C" w:rsidP="00D61597">
      <w:pPr>
        <w:pStyle w:val="FootnoteText"/>
        <w:ind w:firstLine="360"/>
        <w:jc w:val="both"/>
      </w:pPr>
      <w:r>
        <w:fldChar w:fldCharType="begin" w:fldLock="1"/>
      </w:r>
      <w:r>
        <w:instrText>ADDIN CSL_CITATION {"citationItems":[{"id":"ITEM-1","itemData":{"DOI":"10.18510/hssr.2019.75142","ISSN":"23956518","abstract":"Purpose of Study: Waqf has played a significant role throughout Islamic history. This has been possible through proper management, investment and financing of various Waqf assets to enhance the socioeconomic development of Muslim societies. In particular, it has contributed significantly to the encouragement of religious practices, improvement of education, health and helping the poor and the needy, creating employment and supporting other socio-economic activities. Methodology: The current study attempted to uncover these challenges facing by Waqf institution in Yemen. Particularly, issues such as management, investment and finance will be emphasized. Results: However, nowadays most of Waqf assets have become idle and no longer serves the needs of the Ummah due to problems, such as poor governance structure and human resource. Few studies have tried to address challenges facing Waqf but unfortunately these studies have been conducted in countries where the governance structure is robust and the quality of human resource is very good. Such models may not be suitable in contexts such as Yemen where Waqf assets are mostly in the form of physical assets such as lands and buildings and the quality of human resource and governance structure are poor.","author":[{"dropping-particle":"","family":"Saad","given":"Abdo Yousef Qaid","non-dropping-particle":"","parse-names":false,"suffix":""},{"dropping-particle":"","family":"Mohammed","given":"Mustafa Omar","non-dropping-particle":"","parse-names":false,"suffix":""},{"dropping-particle":"","family":"Al-Jubari","given":"Ibrahim","non-dropping-particle":"","parse-names":false,"suffix":""}],"container-title":"Humanities and Social Sciences Reviews","id":"ITEM-1","issue":"5","issued":{"date-parts":[["2019"]]},"page":"1065-1072","title":"An overview of Waqf assets in yemen: Importance and challenges","type":"article-journal","volume":"7"},"uris":["http://www.mendeley.com/documents/?uuid=052909e7-bd92-4aba-b0f3-f59f2586c992"]}],"mendeley":{"formattedCitation":"Abdo Yousef Qaid Saad, Mustafa Omar Mohammed, and Ibrahim Al-Jubari, “An Overview of Waqf Assets in Yemen: Importance and Challenges,” &lt;i&gt;Humanities and Social Sciences Reviews&lt;/i&gt; 7, no. 5 (2019): 1065–72, https://doi.org/10.18510/hssr.2019.75142.","manualFormatting":"Abdo Yousef Qaid Saad, Mustafa Omar Mohammed, and Ibrahim Al-Jubari, “An Overview of Waqf Assets in Yemen: Importance and Challenges,” Humanities and Social Sciences Reviews, Volume 7, Number 5 (2019), 1065-1072.","plainTextFormattedCitation":"Abdo Yousef Qaid Saad, Mustafa Omar Mohammed, and Ibrahim Al-Jubari, “An Overview of Waqf Assets in Yemen: Importance and Challenges,” Humanities and Social Sciences Reviews 7, no. 5 (2019): 1065–72, https://doi.org/10.18510/hssr.2019.75142.","previouslyFormattedCitation":"Abdo Yousef Qaid Saad, Mustafa Omar Mohammed, and Ibrahim Al-Jubari, “An Overview of Waqf Assets in Yemen: Importance and Challenges,” &lt;i&gt;Humanities and Social Sciences Reviews&lt;/i&gt; 7, no. 5 (2019): 1065–72, https://doi.org/10.18510/hssr.2019.75142."},"properties":{"noteIndex":10},"schema":"https://github.com/citation-style-language/schema/raw/master/csl-citation.json"}</w:instrText>
      </w:r>
      <w:r>
        <w:fldChar w:fldCharType="separate"/>
      </w:r>
      <w:r w:rsidRPr="00E87969">
        <w:rPr>
          <w:noProof/>
        </w:rPr>
        <w:t xml:space="preserve">Abdo Yousef Qaid Saad, Mustafa Omar Mohammed, and Ibrahim Al-Jubari, “An Overview of Waqf Assets in Yemen: Importance and Challenges,” </w:t>
      </w:r>
      <w:r w:rsidRPr="00E87969">
        <w:rPr>
          <w:i/>
          <w:noProof/>
        </w:rPr>
        <w:t>Humanities and Social Sciences Reviews</w:t>
      </w:r>
      <w:r>
        <w:rPr>
          <w:iCs/>
          <w:noProof/>
        </w:rPr>
        <w:t>,</w:t>
      </w:r>
      <w:r w:rsidRPr="00E87969">
        <w:rPr>
          <w:noProof/>
        </w:rPr>
        <w:t xml:space="preserve"> </w:t>
      </w:r>
      <w:r>
        <w:rPr>
          <w:noProof/>
        </w:rPr>
        <w:t xml:space="preserve">Volume </w:t>
      </w:r>
      <w:r w:rsidRPr="00E87969">
        <w:rPr>
          <w:noProof/>
        </w:rPr>
        <w:t xml:space="preserve">7, </w:t>
      </w:r>
      <w:r>
        <w:rPr>
          <w:noProof/>
        </w:rPr>
        <w:t>Number</w:t>
      </w:r>
      <w:r w:rsidRPr="00E87969">
        <w:rPr>
          <w:noProof/>
        </w:rPr>
        <w:t xml:space="preserve"> 5 (2019)</w:t>
      </w:r>
      <w:r>
        <w:rPr>
          <w:noProof/>
        </w:rPr>
        <w:t xml:space="preserve">, </w:t>
      </w:r>
      <w:r w:rsidRPr="00E87969">
        <w:rPr>
          <w:noProof/>
        </w:rPr>
        <w:t>1065</w:t>
      </w:r>
      <w:r>
        <w:rPr>
          <w:noProof/>
        </w:rPr>
        <w:t>-10</w:t>
      </w:r>
      <w:r w:rsidRPr="00E87969">
        <w:rPr>
          <w:noProof/>
        </w:rPr>
        <w:t>72.</w:t>
      </w:r>
      <w:r>
        <w:fldChar w:fldCharType="end"/>
      </w:r>
    </w:p>
  </w:footnote>
  <w:footnote w:id="11">
    <w:p w14:paraId="34D7D9A2" w14:textId="1C633A47" w:rsidR="0060333C" w:rsidRDefault="0060333C" w:rsidP="00D61597">
      <w:pPr>
        <w:pStyle w:val="FootnoteText"/>
        <w:ind w:firstLine="360"/>
        <w:jc w:val="both"/>
      </w:pPr>
      <w:r>
        <w:rPr>
          <w:rStyle w:val="FootnoteReference"/>
        </w:rPr>
        <w:footnoteRef/>
      </w:r>
      <w:r>
        <w:fldChar w:fldCharType="begin" w:fldLock="1"/>
      </w:r>
      <w:r>
        <w:instrText>ADDIN CSL_CITATION {"citationItems":[{"id":"ITEM-1","itemData":{"abstract":"Existence nadzir very important in maintaining and managing the waqf. According to Law No. 41 of 2004 amid Endowments, Nadzir divided into three, namely: nadzir individuals, organizations and nadzir nadzir legal entity. Nadzir efforts in developing endowment assets ie the memproduktifkan waqf. In addition, no less important is the security of property assets donated to charitable status is not contested by the parties are not responsible. There are several things that must be done by the Inspectors, such as: first, immediately make available the certificate of land ownership (if the endowment assets, such as land). Second, advocates of endowment assets, which are still disputed. Third, strengthening the productive waqf property. Nadzir have a central role in the management of waqf in general. Therefore, the existence and quality of human resources should nadzir exactly observed. Nadzir (whether individuals, organizations and legal entities) must be made up of people who are honorable, honest, well-behaved, experienced, mastered the science of administration and finance necessary to carry out its duties in accordance with the type of ownership and purpose. In general, the management of waqf can be directed and built optimally, when nadzirnya trust (trustworthy) and professional","author":[{"dropping-particle":"","family":"Kasdi","given":"Abdurrahman","non-dropping-particle":"","parse-names":false,"suffix":""}],"container-title":"Jurnal Zakat dan Wakaf","id":"ITEM-1","issue":"2","issued":{"date-parts":[["2014"]]},"page":"213-226","title":"Peran Nadzir Dalam Pengembangan Wakaf","type":"article-journal","volume":"1"},"uris":["http://www.mendeley.com/documents/?uuid=c76854b7-9b13-4695-b09e-2b5915b79f9c"]}],"mendeley":{"formattedCitation":"Abdurrahman Kasdi, “Peran Nadzir Dalam Pengembangan Wakaf,” &lt;i&gt;Jurnal Zakat Dan Wakaf&lt;/i&gt; 1, no. 2 (2014): 213–26.","manualFormatting":"Abdurrahman Kasdi, “Peran Nadzir dalam Pengembangan Wakaf,” Jurnal Zakat Dan Wakaf, Volume 1, Nomor 2 (2014), 213-226.","plainTextFormattedCitation":"Abdurrahman Kasdi, “Peran Nadzir Dalam Pengembangan Wakaf,” Jurnal Zakat Dan Wakaf 1, no. 2 (2014): 213–26.","previouslyFormattedCitation":"Abdurrahman Kasdi, “Peran Nadzir Dalam Pengembangan Wakaf,” &lt;i&gt;Jurnal Zakat Dan Wakaf&lt;/i&gt; 1, no. 2 (2014): 213–26."},"properties":{"noteIndex":11},"schema":"https://github.com/citation-style-language/schema/raw/master/csl-citation.json"}</w:instrText>
      </w:r>
      <w:r>
        <w:fldChar w:fldCharType="separate"/>
      </w:r>
      <w:r w:rsidRPr="00F862F6">
        <w:rPr>
          <w:noProof/>
        </w:rPr>
        <w:t xml:space="preserve">Abdurrahman Kasdi, “Peran Nadzir </w:t>
      </w:r>
      <w:r>
        <w:rPr>
          <w:noProof/>
        </w:rPr>
        <w:t>d</w:t>
      </w:r>
      <w:r w:rsidRPr="00F862F6">
        <w:rPr>
          <w:noProof/>
        </w:rPr>
        <w:t xml:space="preserve">alam Pengembangan Wakaf,” </w:t>
      </w:r>
      <w:r w:rsidRPr="00F862F6">
        <w:rPr>
          <w:i/>
          <w:noProof/>
        </w:rPr>
        <w:t>Jurnal Zakat Dan Wakaf</w:t>
      </w:r>
      <w:r>
        <w:rPr>
          <w:iCs/>
          <w:noProof/>
        </w:rPr>
        <w:t>, Volume</w:t>
      </w:r>
      <w:r w:rsidRPr="00F862F6">
        <w:rPr>
          <w:noProof/>
        </w:rPr>
        <w:t xml:space="preserve"> 1, </w:t>
      </w:r>
      <w:r>
        <w:rPr>
          <w:noProof/>
        </w:rPr>
        <w:t xml:space="preserve">Nomor </w:t>
      </w:r>
      <w:r w:rsidRPr="00F862F6">
        <w:rPr>
          <w:noProof/>
        </w:rPr>
        <w:t>2 (2014)</w:t>
      </w:r>
      <w:r>
        <w:rPr>
          <w:noProof/>
        </w:rPr>
        <w:t xml:space="preserve">, </w:t>
      </w:r>
      <w:r w:rsidRPr="00F862F6">
        <w:rPr>
          <w:noProof/>
        </w:rPr>
        <w:t>213</w:t>
      </w:r>
      <w:r>
        <w:rPr>
          <w:noProof/>
        </w:rPr>
        <w:t>-2</w:t>
      </w:r>
      <w:r w:rsidRPr="00F862F6">
        <w:rPr>
          <w:noProof/>
        </w:rPr>
        <w:t>26.</w:t>
      </w:r>
      <w:r>
        <w:fldChar w:fldCharType="end"/>
      </w:r>
    </w:p>
  </w:footnote>
  <w:footnote w:id="12">
    <w:p w14:paraId="55E63C6A" w14:textId="6C2A321A" w:rsidR="0060333C" w:rsidRDefault="0060333C" w:rsidP="00D61597">
      <w:pPr>
        <w:pStyle w:val="FootnoteText"/>
        <w:ind w:firstLine="360"/>
        <w:jc w:val="both"/>
      </w:pPr>
      <w:r>
        <w:rPr>
          <w:rStyle w:val="FootnoteReference"/>
        </w:rPr>
        <w:footnoteRef/>
      </w:r>
      <w:r>
        <w:fldChar w:fldCharType="begin" w:fldLock="1"/>
      </w:r>
      <w:r>
        <w:instrText>ADDIN CSL_CITATION {"citationItems":[{"id":"ITEM-1","itemData":{"abstract":"Tulisan ini mengkaji korelasi antara Negara dalam bentuk UndangUndang dan peraturannya serta Agama melalui Al-Quran dan pendapatpendapat mazhab dalam merumuskan permasalahan wakaf, ruislag, dan azaz pemanfaatan demi kepentingan umum atau kemaslahatan umat. Sehubungan dengan kebutuhan tanah yang semakin meningkat dan luas tanah yang mulai berkurang serta perkembangan pembangunan yang semakin meningkat. Tulisan ini menggunakan pendekatan deskriptif referensial dengan nuansa kajian fiqh muamlat dan hukum Islam. Adapun hasil dari tulisan ini, bahwa alih fungsi tanah wakaf dalam pandangan Hukum Islam dan Undang-Undang Nomor 41 Tahun 2004 Tentang Wakaf dapat dibenarkan bila alasan-alasannya telah sesuai dengan ketentuan yang berlaku. Bahwa dalam Hukum Islam diadakannya pembenaran peruntukkan atau pengalihan tanah wakaf dengan syarat bahwa tanah yang telah dialihkan tersebut memang mempunyai manfaat yang jauh lebih baik demi kemaslahatan umat atau kepentingan umum.","author":[{"dropping-particle":"El","family":"Falahy","given":"Lutfi","non-dropping-particle":"","parse-names":false,"suffix":""}],"container-title":"Al Istinbath: Jurnal Hukum Islam","id":"ITEM-1","issue":"2","issued":{"date-parts":[["2016"]]},"page":"121-140","title":"Alih Fungsi Tanah Wakaf Ditinjau Dari Hukum Islam dan Undang-Undang Nomor 41 Tahun 2004 Tentang Wakaf","type":"article-journal","volume":"1"},"uris":["http://www.mendeley.com/documents/?uuid=a87a7391-5cb5-4e57-be24-6480947ebae1"]}],"mendeley":{"formattedCitation":"Lutfi El Falahy, “Alih Fungsi Tanah Wakaf Ditinjau Dari Hukum Islam Dan Undang-Undang Nomor 41 Tahun 2004 Tentang Wakaf,” &lt;i&gt;Al Istinbath: Jurnal Hukum Islam&lt;/i&gt; 1, no. 2 (2016): 121–40, http://journal.iaincurup.ac.id/index.php/alistinbath/article/view/117.","manualFormatting":"Lutfi El Falahy, “Alih Fungsi Tanah Wakaf Ditinjau dari Hukum Islam dan Undang-Undang Nomor 41 Tahun 2004 Tentang Wakaf,” Al Istinbath: Jurnal Hukum Islam, Volume 1, Nomor 2 (2016), 121-140.","plainTextFormattedCitation":"Lutfi El Falahy, “Alih Fungsi Tanah Wakaf Ditinjau Dari Hukum Islam Dan Undang-Undang Nomor 41 Tahun 2004 Tentang Wakaf,” Al Istinbath: Jurnal Hukum Islam 1, no. 2 (2016): 121–40, http://journal.iaincurup.ac.id/index.php/alistinbath/article/view/117.","previouslyFormattedCitation":"Lutfi El Falahy, “Alih Fungsi Tanah Wakaf Ditinjau Dari Hukum Islam Dan Undang-Undang Nomor 41 Tahun 2004 Tentang Wakaf,” &lt;i&gt;Al Istinbath: Jurnal Hukum Islam&lt;/i&gt; 1, no. 2 (2016): 121–40, http://journal.iaincurup.ac.id/index.php/alistinbath/article/view/117."},"properties":{"noteIndex":12},"schema":"https://github.com/citation-style-language/schema/raw/master/csl-citation.json"}</w:instrText>
      </w:r>
      <w:r>
        <w:fldChar w:fldCharType="separate"/>
      </w:r>
      <w:r w:rsidRPr="00A726A1">
        <w:rPr>
          <w:noProof/>
        </w:rPr>
        <w:t xml:space="preserve">Lutfi El Falahy, “Alih Fungsi Tanah Wakaf Ditinjau </w:t>
      </w:r>
      <w:r>
        <w:rPr>
          <w:noProof/>
        </w:rPr>
        <w:t>d</w:t>
      </w:r>
      <w:r w:rsidRPr="00A726A1">
        <w:rPr>
          <w:noProof/>
        </w:rPr>
        <w:t xml:space="preserve">ari Hukum Islam </w:t>
      </w:r>
      <w:r>
        <w:rPr>
          <w:noProof/>
        </w:rPr>
        <w:t>d</w:t>
      </w:r>
      <w:r w:rsidRPr="00A726A1">
        <w:rPr>
          <w:noProof/>
        </w:rPr>
        <w:t xml:space="preserve">an Undang-Undang Nomor 41 Tahun 2004 Tentang Wakaf,” </w:t>
      </w:r>
      <w:r w:rsidRPr="00A726A1">
        <w:rPr>
          <w:i/>
          <w:noProof/>
        </w:rPr>
        <w:t>Al Istinbath: Jurnal Hukum Islam</w:t>
      </w:r>
      <w:r>
        <w:rPr>
          <w:iCs/>
          <w:noProof/>
        </w:rPr>
        <w:t>, Volume</w:t>
      </w:r>
      <w:r w:rsidRPr="00A726A1">
        <w:rPr>
          <w:noProof/>
        </w:rPr>
        <w:t xml:space="preserve"> 1, </w:t>
      </w:r>
      <w:r>
        <w:rPr>
          <w:noProof/>
        </w:rPr>
        <w:t xml:space="preserve">Nomor </w:t>
      </w:r>
      <w:r w:rsidRPr="00A726A1">
        <w:rPr>
          <w:noProof/>
        </w:rPr>
        <w:t>2 (2016)</w:t>
      </w:r>
      <w:r>
        <w:rPr>
          <w:noProof/>
        </w:rPr>
        <w:t xml:space="preserve">, </w:t>
      </w:r>
      <w:r w:rsidRPr="00A726A1">
        <w:rPr>
          <w:noProof/>
        </w:rPr>
        <w:t>121</w:t>
      </w:r>
      <w:r>
        <w:rPr>
          <w:noProof/>
        </w:rPr>
        <w:t>-1</w:t>
      </w:r>
      <w:r w:rsidRPr="00A726A1">
        <w:rPr>
          <w:noProof/>
        </w:rPr>
        <w:t>40.</w:t>
      </w:r>
      <w:r>
        <w:fldChar w:fldCharType="end"/>
      </w:r>
    </w:p>
  </w:footnote>
  <w:footnote w:id="13">
    <w:p w14:paraId="5050A8C8" w14:textId="3F306D59" w:rsidR="0060333C" w:rsidRDefault="0060333C" w:rsidP="00D61597">
      <w:pPr>
        <w:pStyle w:val="FootnoteText"/>
        <w:ind w:firstLine="360"/>
        <w:jc w:val="both"/>
      </w:pPr>
      <w:r>
        <w:rPr>
          <w:rStyle w:val="FootnoteReference"/>
        </w:rPr>
        <w:footnoteRef/>
      </w:r>
      <w:r>
        <w:fldChar w:fldCharType="begin" w:fldLock="1"/>
      </w:r>
      <w:r>
        <w:instrText>ADDIN CSL_CITATION {"citationItems":[{"id":"ITEM-1","itemData":{"DOI":"10.18326/ijtihad.v17i2.285-299","ISSN":"1411-9544","abstract":"Waqf in Islam is one way to invest in property for the sake of the world and the hereafter. The development of waqaf must still be in the sharia corridor so that its ubudiyah and iqtishadiyah values remain. Islamic law will not be known even as DSN MUI has just released its fatwa in October 2016 which is the investment benefit and sharia life fatwa, but some sharia insurance institutions and wakaf institutions in Indonesia first applied this form of waqf. The legal status of a wakaf law on Islamic insurance policy under Islamic law includes productive wakaf. However, in terms of its ownership element as a waqf object has not been fully owned by wakif so ulama differed in opinion, although in principle has been owned by wakif, but still opens the dispute space because the waqf object is not yet fully owned. The wakaf law of syariah insurance policy itself is still potentially canceled by wakif or by sharia insurance if one of them wakif get difficulty paying the premium before maturity. Implementation of waqf syariah insurance policy at Al-Azhar Wakaf Institute Jakarta has not yet fully complied with the rules of Fatwa DSN MUI because the fatwa has just come out in the end of 2016 and socialized in early 2017, whereas the wakaf will be known as sharia insurance policy in the community.  ","author":[{"dropping-particle":"","family":"Sulistiani","given":"Siska Lis","non-dropping-particle":"","parse-names":false,"suffix":""}],"container-title":"Ijtihad : Jurnal Wacana Hukum Islam dan Kemanusiaan","id":"ITEM-1","issue":"2","issued":{"date-parts":[["2018"]]},"page":"285","title":"Analisis implementasi wakaf wasiat polis asuransi syariah di lembaga wakaf al-Azhar Jakarta","type":"article-journal","volume":"17"},"uris":["http://www.mendeley.com/documents/?uuid=6d09db11-e90c-411a-96f1-0c1084c74e86"]}],"mendeley":{"formattedCitation":"Siska Lis Sulistiani, “Analisis Implementasi Wakaf Wasiat Polis Asuransi Syariah Di Lembaga Wakaf Al-Azhar Jakarta,” &lt;i&gt;Ijtihad : Jurnal Wacana Hukum Islam Dan Kemanusiaan&lt;/i&gt; 17, no. 2 (2018): 285, https://doi.org/10.18326/ijtihad.v17i2.285-299.","manualFormatting":"Siska Lis Sulistiani, “Analisis Implementasi Wakaf Wasiat Polis Asuransi Syariah di Lembaga Wakaf Al-Azhar Jakarta,” Ijtihad : Jurnal Wacana Hukum Islam Dan Kemanusiaan, Volume 17, Nomor 2 (2018), 285-299.","plainTextFormattedCitation":"Siska Lis Sulistiani, “Analisis Implementasi Wakaf Wasiat Polis Asuransi Syariah Di Lembaga Wakaf Al-Azhar Jakarta,” Ijtihad : Jurnal Wacana Hukum Islam Dan Kemanusiaan 17, no. 2 (2018): 285, https://doi.org/10.18326/ijtihad.v17i2.285-299.","previouslyFormattedCitation":"Siska Lis Sulistiani, “Analisis Implementasi Wakaf Wasiat Polis Asuransi Syariah Di Lembaga Wakaf Al-Azhar Jakarta,” &lt;i&gt;Ijtihad : Jurnal Wacana Hukum Islam Dan Kemanusiaan&lt;/i&gt; 17, no. 2 (2018): 285, https://doi.org/10.18326/ijtihad.v17i2.285-299."},"properties":{"noteIndex":13},"schema":"https://github.com/citation-style-language/schema/raw/master/csl-citation.json"}</w:instrText>
      </w:r>
      <w:r>
        <w:fldChar w:fldCharType="separate"/>
      </w:r>
      <w:r w:rsidRPr="003B1117">
        <w:rPr>
          <w:noProof/>
        </w:rPr>
        <w:t xml:space="preserve">Siska Lis Sulistiani, “Analisis Implementasi Wakaf Wasiat Polis Asuransi Syariah </w:t>
      </w:r>
      <w:r>
        <w:rPr>
          <w:noProof/>
        </w:rPr>
        <w:t>d</w:t>
      </w:r>
      <w:r w:rsidRPr="003B1117">
        <w:rPr>
          <w:noProof/>
        </w:rPr>
        <w:t xml:space="preserve">i Lembaga Wakaf Al-Azhar Jakarta,” </w:t>
      </w:r>
      <w:r w:rsidRPr="003B1117">
        <w:rPr>
          <w:i/>
          <w:noProof/>
        </w:rPr>
        <w:t>Ijtihad : Jurnal Wacana Hukum Islam Dan Kemanusiaan</w:t>
      </w:r>
      <w:r>
        <w:rPr>
          <w:iCs/>
          <w:noProof/>
        </w:rPr>
        <w:t>, Volume</w:t>
      </w:r>
      <w:r w:rsidRPr="003B1117">
        <w:rPr>
          <w:noProof/>
        </w:rPr>
        <w:t xml:space="preserve"> 17, </w:t>
      </w:r>
      <w:r>
        <w:rPr>
          <w:noProof/>
        </w:rPr>
        <w:t xml:space="preserve">Nomor </w:t>
      </w:r>
      <w:r w:rsidRPr="003B1117">
        <w:rPr>
          <w:noProof/>
        </w:rPr>
        <w:t>2 (2018)</w:t>
      </w:r>
      <w:r>
        <w:rPr>
          <w:noProof/>
        </w:rPr>
        <w:t xml:space="preserve">, </w:t>
      </w:r>
      <w:r w:rsidRPr="003B1117">
        <w:rPr>
          <w:noProof/>
        </w:rPr>
        <w:t>285-299.</w:t>
      </w:r>
      <w:r>
        <w:fldChar w:fldCharType="end"/>
      </w:r>
    </w:p>
    <w:p w14:paraId="6DDA9080" w14:textId="1AEFCBEB" w:rsidR="0060333C" w:rsidRDefault="0060333C" w:rsidP="00485C93">
      <w:pPr>
        <w:pStyle w:val="FootnoteText"/>
        <w:ind w:firstLine="360"/>
        <w:jc w:val="both"/>
      </w:pPr>
      <w:r>
        <w:fldChar w:fldCharType="begin" w:fldLock="1"/>
      </w:r>
      <w:r>
        <w:instrText>ADDIN CSL_CITATION {"citationItems":[{"id":"ITEM-1","itemData":{"DOI":"10.18326/ijims.v8i1.57-86","ISSN":"2406825X","abstract":"This paper focuses on the theoretical structure of funding for Islamic philanthropy, especially waqf. Waqāf is projected to play further significant role to tackle present social problems, where financial sustainability has become one of the foremost challenges faced by awqāf institutions. There is a need to study various models of fundraising that could be applied to reform awqāf institutions. Employing content analysis approach, this paper analyses traditional and modern structures of fundraising that are applicable for development and management of waqāf fundraising: istibdāl, hukr, ijāratayn, venture philanthropy of waqf model (VPWM), value-based capital model of waqf (VBCMW), and social enterprise waqf fund model (SEWF).The discussions are expected to be able to contribute towards boosting a better fundraising management of awqāf institutions in Muslim communities as well as countries. Makalah.","author":[{"dropping-particle":"","family":"Shulthoni","given":"Muhammad","non-dropping-particle":"","parse-names":false,"suffix":""},{"dropping-particle":"","family":"Saad","given":"Norma Md","non-dropping-particle":"","parse-names":false,"suffix":""}],"container-title":"Indonesian Journal of Islam and Muslim Societies","id":"ITEM-1","issued":{"date-parts":[["2018"]]},"title":"Waqf fundraising management: A conceptual comparison between traditional and modern methods inthe waqf institutions","type":"article-journal"},"uris":["http://www.mendeley.com/documents/?uuid=41e9f036-2be7-4297-bad9-03a7f703f64d"]}],"mendeley":{"formattedCitation":"Muhammad Shulthoni and Norma Md Saad, “Waqf Fundraising Management: A Conceptual Comparison between Traditional and Modern Methods Inthe Waqf Institutions,” &lt;i&gt;Indonesian Journal of Islam and Muslim Societies&lt;/i&gt;, 2018, https://doi.org/10.18326/ijims.v8i1.57-86.","manualFormatting":"Muhammad Shulthoni and Norma Md Saad, “Waqf Fundraising Management: A Conceptual Comparison between Traditional and Modern Methods Inthe Waqf Institutions,” Indonesian Journal of Islam and Muslim Societies, Volume 8, Number 1 (2018), 57-86.","plainTextFormattedCitation":"Muhammad Shulthoni and Norma Md Saad, “Waqf Fundraising Management: A Conceptual Comparison between Traditional and Modern Methods Inthe Waqf Institutions,” Indonesian Journal of Islam and Muslim Societies, 2018, https://doi.org/10.18326/ijims.v8i1.57-86.","previouslyFormattedCitation":"Muhammad Shulthoni and Norma Md Saad, “Waqf Fundraising Management: A Conceptual Comparison between Traditional and Modern Methods Inthe Waqf Institutions,” &lt;i&gt;Indonesian Journal of Islam and Muslim Societies&lt;/i&gt;, 2018, https://doi.org/10.18326/ijims.v8i1.57-86."},"properties":{"noteIndex":13},"schema":"https://github.com/citation-style-language/schema/raw/master/csl-citation.json"}</w:instrText>
      </w:r>
      <w:r>
        <w:fldChar w:fldCharType="separate"/>
      </w:r>
      <w:r w:rsidRPr="007A4BD4">
        <w:rPr>
          <w:noProof/>
        </w:rPr>
        <w:t xml:space="preserve">Muhammad Shulthoni and Norma Md Saad, “Waqf Fundraising Management: A Conceptual Comparison between Traditional and Modern Methods Inthe Waqf Institutions,” </w:t>
      </w:r>
      <w:r w:rsidRPr="007A4BD4">
        <w:rPr>
          <w:i/>
          <w:noProof/>
        </w:rPr>
        <w:t>Indonesian Journal of Islam and Muslim Societies</w:t>
      </w:r>
      <w:r w:rsidRPr="007A4BD4">
        <w:rPr>
          <w:noProof/>
        </w:rPr>
        <w:t xml:space="preserve">, </w:t>
      </w:r>
      <w:r>
        <w:rPr>
          <w:noProof/>
        </w:rPr>
        <w:t>Volume 8, Number 1 (</w:t>
      </w:r>
      <w:r w:rsidRPr="007A4BD4">
        <w:rPr>
          <w:noProof/>
        </w:rPr>
        <w:t>2018</w:t>
      </w:r>
      <w:r>
        <w:rPr>
          <w:noProof/>
        </w:rPr>
        <w:t>)</w:t>
      </w:r>
      <w:r w:rsidRPr="007A4BD4">
        <w:rPr>
          <w:noProof/>
        </w:rPr>
        <w:t>, 57-86.</w:t>
      </w:r>
      <w:r>
        <w:fldChar w:fldCharType="end"/>
      </w:r>
    </w:p>
    <w:p w14:paraId="74E6819F" w14:textId="7025BE0A" w:rsidR="0060333C" w:rsidRDefault="0060333C" w:rsidP="00485C93">
      <w:pPr>
        <w:pStyle w:val="FootnoteText"/>
        <w:ind w:firstLine="360"/>
        <w:jc w:val="both"/>
      </w:pPr>
      <w:r>
        <w:fldChar w:fldCharType="begin" w:fldLock="1"/>
      </w:r>
      <w:r>
        <w:instrText>ADDIN CSL_CITATION {"citationItems":[{"id":"ITEM-1","itemData":{"ISBN":"9781425803780","abstract":"Tulisan ini mengkaji tentang bagaimana sejatinya kompetensi absolut Pengadilan Agama dan pengguanaan kesasian syahadah istifadhah (testimonium de auditu) dalam hal perkara itsbat Waqf yang diajukan ke Pengadilan Agama sebagai institusi peradilan yang berada di bawah naungan Mahkamah Agung Republik Indonesia. Pada pembahasan ini dijelaskan bagaimana sesungguhnya kompetensi Pengadilan Agama terutama dalam perkara itsbat Waqf sebagaimana di atur dalam Undang-Undang No 3 Tahun 2006 Tentang Peradilan Agama digandengkan dengan Undang- Undang Nomor 41 Tahun 2004 Tentang Waqf. Selain itu tulisan ini juga mengkomparasikan konsep syahadah istifadhah dengan konsep testimonium de auditu serta kekuatan hukumnya dalam hal pembuktian di Pengadilan khususnya dalam perkara itsbat Waqf. Tulisan ini menyimpulkan bahwasanya penetapan itsbat Waqf merupakan kewenangan absolut Pengadilan Agama. Selain itu, berdasarkan fiqh syahadah istifadhah dapat digunakan sebagai alat bukti dalam penetapan itsbat Waqf","author":[{"dropping-particle":"","family":"Rifqi Qowiyul Iman","given":"","non-dropping-particle":"","parse-names":false,"suffix":""}],"container-title":"Ahkam Jurnal Ilmu Syariah","id":"ITEM-1","issue":"2","issued":{"date-parts":[["2018"]]},"page":"395-416","title":"The competence of Religious Court in Indonesia and Syahadah IStIfadhah (Testimonium De Auditu) in Case of Itsbat Waqf","type":"article-journal","volume":"18"},"uris":["http://www.mendeley.com/documents/?uuid=4174e277-c411-4b63-92c2-6f39f111abd9"]}],"mendeley":{"formattedCitation":"Rifqi Qowiyul Iman, “The Competence of Religious Court in Indonesia and Syahadah IStIfadhah (Testimonium De Auditu) in Case of Itsbat Waqf,” &lt;i&gt;Ahkam Jurnal Ilmu Syariah&lt;/i&gt; 18, no. 2 (2018): 395–416.","manualFormatting":"Rifqi Qowiyul Iman, “The Competence of Religious Court in Indonesia and Syahadah Istifadhah (Testimonium De Auditu) in Case of Itsbat Waqf,” Ahkam Jurnal Ilmu Syariah, Volume 18, Number 2 (2018), 395-416.","plainTextFormattedCitation":"Rifqi Qowiyul Iman, “The Competence of Religious Court in Indonesia and Syahadah IStIfadhah (Testimonium De Auditu) in Case of Itsbat Waqf,” Ahkam Jurnal Ilmu Syariah 18, no. 2 (2018): 395–416.","previouslyFormattedCitation":"Rifqi Qowiyul Iman, “The Competence of Religious Court in Indonesia and Syahadah IStIfadhah (Testimonium De Auditu) in Case of Itsbat Waqf,” &lt;i&gt;Ahkam Jurnal Ilmu Syariah&lt;/i&gt; 18, no. 2 (2018): 395–416."},"properties":{"noteIndex":13},"schema":"https://github.com/citation-style-language/schema/raw/master/csl-citation.json"}</w:instrText>
      </w:r>
      <w:r>
        <w:fldChar w:fldCharType="separate"/>
      </w:r>
      <w:r w:rsidRPr="002B04B5">
        <w:rPr>
          <w:noProof/>
        </w:rPr>
        <w:t>Rifqi Qowiyul Iman, “The Competence of Religious Court in Indonesia and Syahadah I</w:t>
      </w:r>
      <w:r>
        <w:rPr>
          <w:noProof/>
        </w:rPr>
        <w:t>s</w:t>
      </w:r>
      <w:r w:rsidRPr="002B04B5">
        <w:rPr>
          <w:noProof/>
        </w:rPr>
        <w:t>t</w:t>
      </w:r>
      <w:r>
        <w:rPr>
          <w:noProof/>
        </w:rPr>
        <w:t>i</w:t>
      </w:r>
      <w:r w:rsidRPr="002B04B5">
        <w:rPr>
          <w:noProof/>
        </w:rPr>
        <w:t xml:space="preserve">fadhah (Testimonium De Auditu) in Case of Itsbat Waqf,” </w:t>
      </w:r>
      <w:r w:rsidRPr="002B04B5">
        <w:rPr>
          <w:i/>
          <w:noProof/>
        </w:rPr>
        <w:t>Ahkam Jurnal Ilmu Syariah</w:t>
      </w:r>
      <w:r>
        <w:rPr>
          <w:iCs/>
          <w:noProof/>
        </w:rPr>
        <w:t>, Volume</w:t>
      </w:r>
      <w:r w:rsidRPr="002B04B5">
        <w:rPr>
          <w:noProof/>
        </w:rPr>
        <w:t xml:space="preserve"> 18, </w:t>
      </w:r>
      <w:r>
        <w:rPr>
          <w:noProof/>
        </w:rPr>
        <w:t xml:space="preserve">Number </w:t>
      </w:r>
      <w:r w:rsidRPr="002B04B5">
        <w:rPr>
          <w:noProof/>
        </w:rPr>
        <w:t>2 (2018)</w:t>
      </w:r>
      <w:r>
        <w:rPr>
          <w:noProof/>
        </w:rPr>
        <w:t xml:space="preserve">, </w:t>
      </w:r>
      <w:r w:rsidRPr="002B04B5">
        <w:rPr>
          <w:noProof/>
        </w:rPr>
        <w:t>395</w:t>
      </w:r>
      <w:r>
        <w:rPr>
          <w:noProof/>
        </w:rPr>
        <w:t>-</w:t>
      </w:r>
      <w:r w:rsidRPr="002B04B5">
        <w:rPr>
          <w:noProof/>
        </w:rPr>
        <w:t>416.</w:t>
      </w:r>
      <w:r>
        <w:fldChar w:fldCharType="end"/>
      </w:r>
    </w:p>
    <w:p w14:paraId="5339DCDB" w14:textId="77777777" w:rsidR="0060333C" w:rsidRDefault="0060333C" w:rsidP="00485C93">
      <w:pPr>
        <w:pStyle w:val="FootnoteText"/>
        <w:jc w:val="both"/>
      </w:pPr>
    </w:p>
  </w:footnote>
  <w:footnote w:id="14">
    <w:p w14:paraId="390240FD" w14:textId="77777777" w:rsidR="00092A4F" w:rsidRDefault="00092A4F" w:rsidP="00092A4F">
      <w:pPr>
        <w:pStyle w:val="FootnoteText"/>
        <w:ind w:firstLine="360"/>
        <w:jc w:val="both"/>
      </w:pPr>
      <w:r>
        <w:rPr>
          <w:rStyle w:val="FootnoteReference"/>
        </w:rPr>
        <w:footnoteRef/>
      </w:r>
      <w:r>
        <w:fldChar w:fldCharType="begin" w:fldLock="1"/>
      </w:r>
      <w:r>
        <w:instrText>ADDIN CSL_CITATION {"citationItems":[{"id":"ITEM-1","itemData":{"DOI":"10.18510/hssr.2019.7471","ISSN":"23956518","abstract":"Purpose of the study: This study intended to analysis the implementation and development of productive waqf in Malang, Indonesia. In addition, it addressed to understand the operational management of productive waqf Islamic hospital in Malang. Methodology: The research applied a qualitative method in order to comprehensively understand the existing phenomenon. The qualitative data analysis model used in this research followed the process of data reduction, display data, and verification by Miles &amp; Huberman (1984). Purposively, the sample of the research was in an Islamic hospital in Malang considering various relevant reasons. The data were collected through focus group discussion between stakeholders including waqf recipient (Mauquf’Alaih), waqf management (Nazhir) and researches. Main Findings: The findings showed that the implementation of productive waqf has shown favorable outcomes in attaining local community’s needs that lead to the economic welfare of communities. The management model of productive a waqf is divided into a certain considered portion for business development, Mauquf’Alaih, and Nazhir. Applications of this study: In its development, productive waqf management should consider potential factors such as human resources and community awareness. Novelty/Originality of this study: The research provides insight into the nature of the productive waqf model as an attempt to enhance economic welfare.","author":[{"dropping-particle":"","family":"Qurrata","given":"Vika Annisa","non-dropping-particle":"","parse-names":false,"suffix":""},{"dropping-particle":"","family":"Narmaditya","given":"Bagus Shandy","non-dropping-particle":"","parse-names":false,"suffix":""},{"dropping-particle":"","family":"Seprillina","given":"Linda","non-dropping-particle":"","parse-names":false,"suffix":""},{"dropping-particle":"","family":"Hussain","given":"Nor Ermawati Binti","non-dropping-particle":"","parse-names":false,"suffix":""}],"container-title":"Humanities and Social Sciences Reviews","id":"ITEM-1","issue":"4","issued":{"date-parts":[["2019"]]},"page":"533-537","title":"The implementation and development of productive waqf in Indonesia: Case at malang islamic hospital","type":"article-journal","volume":"7"},"uris":["http://www.mendeley.com/documents/?uuid=a5bcebd1-a7da-4a48-977a-7c9fa3232ead"]}],"mendeley":{"formattedCitation":"Vika Annisa Qurrata et al., “The Implementation and Development of Productive Waqf in Indonesia: Case at Malang Islamic Hospital,” &lt;i&gt;Humanities and Social Sciences Reviews&lt;/i&gt; 7, no. 4 (2019): 533–37, https://doi.org/10.18510/hssr.2019.7471.","manualFormatting":"Vika Annisa Qurrata et al., “The Implementation and Development of Productive Waqf in Indonesia: Case at Malang Islamic Hospital,” Humanities and Social Sciences Reviews, Volume 7, Nomor 4 (2019), 533-537.","plainTextFormattedCitation":"Vika Annisa Qurrata et al., “The Implementation and Development of Productive Waqf in Indonesia: Case at Malang Islamic Hospital,” Humanities and Social Sciences Reviews 7, no. 4 (2019): 533–37, https://doi.org/10.18510/hssr.2019.7471.","previouslyFormattedCitation":"Vika Annisa Qurrata et al., “The Implementation and Development of Productive Waqf in Indonesia: Case at Malang Islamic Hospital,” &lt;i&gt;Humanities and Social Sciences Reviews&lt;/i&gt; 7, no. 4 (2019): 533–37, https://doi.org/10.18510/hssr.2019.7471."},"properties":{"noteIndex":14},"schema":"https://github.com/citation-style-language/schema/raw/master/csl-citation.json"}</w:instrText>
      </w:r>
      <w:r>
        <w:fldChar w:fldCharType="separate"/>
      </w:r>
      <w:r w:rsidRPr="004735AA">
        <w:rPr>
          <w:noProof/>
        </w:rPr>
        <w:t xml:space="preserve">Vika Annisa Qurrata et al., “The Implementation and Development of Productive Waqf in Indonesia: Case at Malang Islamic Hospital,” </w:t>
      </w:r>
      <w:r w:rsidRPr="004735AA">
        <w:rPr>
          <w:i/>
          <w:noProof/>
        </w:rPr>
        <w:t>Humanities and Social Sciences Reviews</w:t>
      </w:r>
      <w:r>
        <w:rPr>
          <w:iCs/>
          <w:noProof/>
        </w:rPr>
        <w:t>, Volume</w:t>
      </w:r>
      <w:r w:rsidRPr="004735AA">
        <w:rPr>
          <w:noProof/>
        </w:rPr>
        <w:t xml:space="preserve"> 7, </w:t>
      </w:r>
      <w:r>
        <w:rPr>
          <w:noProof/>
        </w:rPr>
        <w:t xml:space="preserve">Nomor </w:t>
      </w:r>
      <w:r w:rsidRPr="004735AA">
        <w:rPr>
          <w:noProof/>
        </w:rPr>
        <w:t>4 (2019)</w:t>
      </w:r>
      <w:r>
        <w:rPr>
          <w:noProof/>
        </w:rPr>
        <w:t xml:space="preserve">, </w:t>
      </w:r>
      <w:r w:rsidRPr="004735AA">
        <w:rPr>
          <w:noProof/>
        </w:rPr>
        <w:t>533</w:t>
      </w:r>
      <w:r>
        <w:rPr>
          <w:noProof/>
        </w:rPr>
        <w:t>-5</w:t>
      </w:r>
      <w:r w:rsidRPr="004735AA">
        <w:rPr>
          <w:noProof/>
        </w:rPr>
        <w:t>37</w:t>
      </w:r>
      <w:r>
        <w:rPr>
          <w:noProof/>
        </w:rPr>
        <w:t>.</w:t>
      </w:r>
      <w:r>
        <w:fldChar w:fldCharType="end"/>
      </w:r>
    </w:p>
  </w:footnote>
  <w:footnote w:id="15">
    <w:p w14:paraId="2683F211" w14:textId="77777777" w:rsidR="00092A4F" w:rsidRDefault="00092A4F" w:rsidP="00092A4F">
      <w:pPr>
        <w:pStyle w:val="FootnoteText"/>
        <w:ind w:firstLine="360"/>
        <w:jc w:val="both"/>
      </w:pPr>
      <w:r>
        <w:rPr>
          <w:rStyle w:val="FootnoteReference"/>
        </w:rPr>
        <w:footnoteRef/>
      </w:r>
      <w:r>
        <w:fldChar w:fldCharType="begin" w:fldLock="1"/>
      </w:r>
      <w:r>
        <w:instrText>ADDIN CSL_CITATION {"citationItems":[{"id":"ITEM-1","itemData":{"DOI":"10.28946/slrev.Vol5.Iss2.1169.pp262-272","ISSN":"25416464","abstract":"Fiscal policy, inter alia, looks at the list of government revenues. The consti-tutional rules provide guidance on the list of revenues. However, the previous studies find that waqf is not considered as part of government revenues. In this study, we argue that waqf brings in a new list of government revenues. To prove this point, we select a sample of fifty-seven countries under the Organ-ization of Islamic Countries. The constitution of each country is investigated by using content analysis. The study uses a combination of several keywords, namely \"tax or taxes or fiscal obligations,\" \"revenues or budget or finance\" and \"waqf\" in investigating the rules on revenues and waqf. The findings in this study are classified into five kinds of countries, namely countries that highlight government revenue and waqf in the constitution, countries that claim to recognize sharia law as the basis of the law but the waqf rules in the constitution are missing, countries that mention in their constitution that gov-ernment revenues are placed under the government system, financial system, and parliament, countries that place waqf is ruled under the public finance matter, and countries that place waqf as the main policy. This finding implies that the constitutional rules lead to the view that waqf is a part of public fi-nance that can be used as a fiscal policy tool and should be included in the state budget plan.","author":[{"dropping-particle":"","family":"Ismail","given":"Abdul Ghafar","non-dropping-particle":"","parse-names":false,"suffix":""},{"dropping-particle":"","family":"Pratomo","given":"Wahyu Ario","non-dropping-particle":"","parse-names":false,"suffix":""}],"container-title":"Sriwijaya Law Review","id":"ITEM-1","issue":"2","issued":{"date-parts":[["2021"]]},"page":"262-272","title":"Constitutional rules on waqf and fiscal policy outcomes","type":"article-journal","volume":"5"},"uris":["http://www.mendeley.com/documents/?uuid=4581d446-c4b1-405a-8d04-78d6f7347d05"]}],"mendeley":{"formattedCitation":"Abdul Ghafar Ismail and Wahyu Ario Pratomo, “Constitutional Rules on Waqf and Fiscal Policy Outcomes,” &lt;i&gt;Sriwijaya Law Review&lt;/i&gt; 5, no. 2 (2021): 262–72, https://doi.org/10.28946/slrev.Vol5.Iss2.1169.pp262-272.","manualFormatting":"Abdul Ghafar Ismail and Wahyu Ario Pratomo, “Constitutional Rules on Waqf and Fiscal Policy Outcomes,” Sriwijaya Law Review, Volume 5, Nomor 2 (2021), 262-272.","plainTextFormattedCitation":"Abdul Ghafar Ismail and Wahyu Ario Pratomo, “Constitutional Rules on Waqf and Fiscal Policy Outcomes,” Sriwijaya Law Review 5, no. 2 (2021): 262–72, https://doi.org/10.28946/slrev.Vol5.Iss2.1169.pp262-272.","previouslyFormattedCitation":"Abdul Ghafar Ismail and Wahyu Ario Pratomo, “Constitutional Rules on Waqf and Fiscal Policy Outcomes,” &lt;i&gt;Sriwijaya Law Review&lt;/i&gt; 5, no. 2 (2021): 262–72, https://doi.org/10.28946/slrev.Vol5.Iss2.1169.pp262-272."},"properties":{"noteIndex":15},"schema":"https://github.com/citation-style-language/schema/raw/master/csl-citation.json"}</w:instrText>
      </w:r>
      <w:r>
        <w:fldChar w:fldCharType="separate"/>
      </w:r>
      <w:r w:rsidRPr="004735AA">
        <w:rPr>
          <w:noProof/>
        </w:rPr>
        <w:t xml:space="preserve">Abdul Ghafar Ismail and Wahyu Ario Pratomo, “Constitutional Rules on Waqf and Fiscal Policy Outcomes,” </w:t>
      </w:r>
      <w:r w:rsidRPr="004735AA">
        <w:rPr>
          <w:i/>
          <w:noProof/>
        </w:rPr>
        <w:t>Sriwijaya Law Review</w:t>
      </w:r>
      <w:r>
        <w:rPr>
          <w:iCs/>
          <w:noProof/>
        </w:rPr>
        <w:t xml:space="preserve">, Volume </w:t>
      </w:r>
      <w:r w:rsidRPr="004735AA">
        <w:rPr>
          <w:noProof/>
        </w:rPr>
        <w:t xml:space="preserve">5, </w:t>
      </w:r>
      <w:r>
        <w:rPr>
          <w:noProof/>
        </w:rPr>
        <w:t xml:space="preserve">Nomor </w:t>
      </w:r>
      <w:r w:rsidRPr="004735AA">
        <w:rPr>
          <w:noProof/>
        </w:rPr>
        <w:t>2 (2021)</w:t>
      </w:r>
      <w:r>
        <w:rPr>
          <w:noProof/>
        </w:rPr>
        <w:t xml:space="preserve">, </w:t>
      </w:r>
      <w:r w:rsidRPr="004735AA">
        <w:rPr>
          <w:noProof/>
        </w:rPr>
        <w:t>262</w:t>
      </w:r>
      <w:r>
        <w:rPr>
          <w:noProof/>
        </w:rPr>
        <w:t>-2</w:t>
      </w:r>
      <w:r w:rsidRPr="004735AA">
        <w:rPr>
          <w:noProof/>
        </w:rPr>
        <w:t>72.</w:t>
      </w:r>
      <w:r>
        <w:fldChar w:fldCharType="end"/>
      </w:r>
    </w:p>
    <w:p w14:paraId="2EEA4CF2" w14:textId="77777777" w:rsidR="00092A4F" w:rsidRDefault="00092A4F" w:rsidP="00092A4F">
      <w:pPr>
        <w:pStyle w:val="FootnoteText"/>
        <w:ind w:firstLine="360"/>
        <w:jc w:val="both"/>
      </w:pPr>
      <w:r>
        <w:fldChar w:fldCharType="begin" w:fldLock="1"/>
      </w:r>
      <w:r>
        <w:instrText>ADDIN CSL_CITATION {"citationItems":[{"id":"ITEM-1","itemData":{"DOI":"10.22515/jfib.v3i1.2625","ISSN":"2615-2967","abstract":"This paper was aimed at revealing the Egyptian Government's intervention in the management of Al-Azharwaqf. The data was collected by interviewing officials at the Al-Azhar University in Egypt, officials at the Egyptian Ministry of Education, academics and Waqf researchers in Egypt. The results of this study indicated that Egyptian Government intervened and took over the management of Al-Azharwaqf by issuing laws related to waqf and its management from 1923 to 1971. The impact of the takeover of Al-Azharwaqf management by the State also made Al-Azhar was no longer economically independent and was held hostage by the government.","author":[{"dropping-particle":"","family":"Abdullah","given":"Agung","non-dropping-particle":"","parse-names":false,"suffix":""}],"container-title":"Journal of Finance and Islamic Banking","id":"ITEM-1","issue":"1","issued":{"date-parts":[["2020"]]},"page":"38-56","title":"Waqf and State Interference: A Phenomenology Study in Al-Azhar University, Egypt","type":"article-journal","volume":"3"},"uris":["http://www.mendeley.com/documents/?uuid=96998a96-abe7-4858-b936-e64e0505632d"]}],"mendeley":{"formattedCitation":"Agung Abdullah, “Waqf and State Interference: A Phenomenology Study in Al-Azhar University, Egypt,” &lt;i&gt;Journal of Finance and Islamic Banking&lt;/i&gt; 3, no. 1 (2020): 38–56, https://doi.org/10.22515/jfib.v3i1.2625.","manualFormatting":"Agung Abdullah, “Waqf and State Interference: A Phenomenology Study in Al-Azhar University, Egypt,” Journal of Finance and Islamic Banking, Volume 3, Nomor 1 (2020), 38-56.","plainTextFormattedCitation":"Agung Abdullah, “Waqf and State Interference: A Phenomenology Study in Al-Azhar University, Egypt,” Journal of Finance and Islamic Banking 3, no. 1 (2020): 38–56, https://doi.org/10.22515/jfib.v3i1.2625.","previouslyFormattedCitation":"Agung Abdullah, “Waqf and State Interference: A Phenomenology Study in Al-Azhar University, Egypt,” &lt;i&gt;Journal of Finance and Islamic Banking&lt;/i&gt; 3, no. 1 (2020): 38–56, https://doi.org/10.22515/jfib.v3i1.2625."},"properties":{"noteIndex":15},"schema":"https://github.com/citation-style-language/schema/raw/master/csl-citation.json"}</w:instrText>
      </w:r>
      <w:r>
        <w:fldChar w:fldCharType="separate"/>
      </w:r>
      <w:r w:rsidRPr="0034402C">
        <w:rPr>
          <w:noProof/>
        </w:rPr>
        <w:t xml:space="preserve">Agung Abdullah, “Waqf and State Interference: A Phenomenology Study in Al-Azhar University, Egypt,” </w:t>
      </w:r>
      <w:r w:rsidRPr="0034402C">
        <w:rPr>
          <w:i/>
          <w:noProof/>
        </w:rPr>
        <w:t>Journal of Finance and Islamic Banking</w:t>
      </w:r>
      <w:r>
        <w:rPr>
          <w:iCs/>
          <w:noProof/>
        </w:rPr>
        <w:t xml:space="preserve">, Volume </w:t>
      </w:r>
      <w:r w:rsidRPr="0034402C">
        <w:rPr>
          <w:noProof/>
        </w:rPr>
        <w:t xml:space="preserve">3, </w:t>
      </w:r>
      <w:r>
        <w:rPr>
          <w:noProof/>
        </w:rPr>
        <w:t>N</w:t>
      </w:r>
      <w:r w:rsidRPr="0034402C">
        <w:rPr>
          <w:noProof/>
        </w:rPr>
        <w:t>o</w:t>
      </w:r>
      <w:r>
        <w:rPr>
          <w:noProof/>
        </w:rPr>
        <w:t>mor</w:t>
      </w:r>
      <w:r w:rsidRPr="0034402C">
        <w:rPr>
          <w:noProof/>
        </w:rPr>
        <w:t xml:space="preserve"> 1 (2020)</w:t>
      </w:r>
      <w:r>
        <w:rPr>
          <w:noProof/>
        </w:rPr>
        <w:t xml:space="preserve">, </w:t>
      </w:r>
      <w:r w:rsidRPr="0034402C">
        <w:rPr>
          <w:noProof/>
        </w:rPr>
        <w:t>38</w:t>
      </w:r>
      <w:r>
        <w:rPr>
          <w:noProof/>
        </w:rPr>
        <w:t>-</w:t>
      </w:r>
      <w:r w:rsidRPr="0034402C">
        <w:rPr>
          <w:noProof/>
        </w:rPr>
        <w:t>56.</w:t>
      </w:r>
      <w:r>
        <w:fldChar w:fldCharType="end"/>
      </w:r>
    </w:p>
  </w:footnote>
  <w:footnote w:id="16">
    <w:p w14:paraId="3BA7691F" w14:textId="7CB9CECE"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{"citationItems":[{"id":"ITEM-1","itemData":{"ISSN":"17441374","abstract":"The absence of democracy in the Arab-Muslim world is a 'striking anomaly' for democratization scholars. This cannot be seen as caused by religion as such, as there are now several democratic Muslim-majority states. Popular explanations such as values, culture, economic development, natural resources, or colonial legacy have been refuted. Based on Ostrom's approach regarding local groups' ability to establish institutions for 'governing the commons', we present a novel explanation for this puzzle, based on historical variations in institutions for financing religion. In Northwestern Europe, religion and secular services managed by local religious institutions have been financed 'from below', creating local systems for semi-democratic representation, transparency, and accountability. In the Arab-Muslim region, religion and local secular services have been financed 'from above', by private foundations lacking systems for representation and accountability. It is thus not religion, but how religion has been financed, that explains lacking successful democratization in the Arab-Muslim world. Copyright © Millennium Economics Ltd 2013.","author":[{"dropping-particle":"","family":"Rosadi","given":"Aden","non-dropping-particle":"","parse-names":false,"suffix":""},{"dropping-particle":"","family":"Effendi","given":"Deden","non-dropping-particle":"","parse-names":false,"suffix":""},{"dropping-particle":"","family":"Busro","given":"","non-dropping-particle":"","parse-names":false,"suffix":""}],"container-title":"Journal of Institutional Economics","id":"ITEM-1","issue":"4","issued":{"date-parts":[["2013"]]},"page":"469-490","title":"The Development of Waqf Management Trought Waqf Act in Indonesia (Note on Republic of Indonesia Act Number 41 of 2004 on Waqf)","type":"article-journal","volume":"9"},"uris":["http://www.mendeley.com/documents/?uuid=771ce964-19d6-4477-b9b8-102b17045d73"]}],"mendeley":{"formattedCitation":"Aden Rosadi, Deden Effendi, and Busro, “The Development of Waqf Management Trought Waqf Act in Indonesia (Note on Republic of Indonesia Act Number 41 of 2004 on Waqf),” &lt;i&gt;Journal of Institutional Economics&lt;/i&gt; 9, no. 4 (2013): 469–90.","manualFormatting":"Aden Rosadi, Deden Effendi, and Busro, “The Development of Waqf Management Trought Waqf Act in Indonesia (Note on Republic of Indonesia Act Number 41 of 2004 on Waqf),” Journal of Institutional Economics, Volume 9, Number 4 (2013), 469-490.","plainTextFormattedCitation":"Aden Rosadi, Deden Effendi, and Busro, “The Development of Waqf Management Trought Waqf Act in Indonesia (Note on Republic of Indonesia Act Number 41 of 2004 on Waqf),” Journal of Institutional Economics 9, no. 4 (2013): 469–90.","previouslyFormattedCitation":"Aden Rosadi, Deden Effendi, and Busro, “The Development of Waqf Management Trought Waqf Act in Indonesia (Note on Republic of Indonesia Act Number 41 of 2004 on Waqf),” &lt;i&gt;Journal of Institutional Economics&lt;/i&gt; 9, no. 4 (2013): 469–90."},"properties":{"noteIndex":16},"schema":"https://github.com/citation-style-language/schema/raw/master/csl-citation.json"}</w:instrText>
      </w:r>
      <w:r>
        <w:fldChar w:fldCharType="separate"/>
      </w:r>
      <w:r w:rsidRPr="00917311">
        <w:rPr>
          <w:noProof/>
        </w:rPr>
        <w:t xml:space="preserve">Aden Rosadi, Deden Effendi, and Busro, “The Development of Waqf Management Trought Waqf Act in Indonesia (Note on Republic of Indonesia Act Number 41 of 2004 on Waqf),” </w:t>
      </w:r>
      <w:r w:rsidRPr="00917311">
        <w:rPr>
          <w:i/>
          <w:noProof/>
        </w:rPr>
        <w:t>Journal of Institutional Economics</w:t>
      </w:r>
      <w:r>
        <w:rPr>
          <w:noProof/>
        </w:rPr>
        <w:t xml:space="preserve">, Volume </w:t>
      </w:r>
      <w:r w:rsidRPr="00917311">
        <w:rPr>
          <w:noProof/>
        </w:rPr>
        <w:t xml:space="preserve">9, </w:t>
      </w:r>
      <w:r>
        <w:rPr>
          <w:noProof/>
        </w:rPr>
        <w:t xml:space="preserve">Number </w:t>
      </w:r>
      <w:r w:rsidRPr="00917311">
        <w:rPr>
          <w:noProof/>
        </w:rPr>
        <w:t>4 (2013)</w:t>
      </w:r>
      <w:r>
        <w:rPr>
          <w:noProof/>
        </w:rPr>
        <w:t xml:space="preserve">, </w:t>
      </w:r>
      <w:r w:rsidRPr="00917311">
        <w:rPr>
          <w:noProof/>
        </w:rPr>
        <w:t>469</w:t>
      </w:r>
      <w:r>
        <w:rPr>
          <w:noProof/>
        </w:rPr>
        <w:t>-4</w:t>
      </w:r>
      <w:r w:rsidRPr="00917311">
        <w:rPr>
          <w:noProof/>
        </w:rPr>
        <w:t>90.</w:t>
      </w:r>
      <w:r>
        <w:fldChar w:fldCharType="end"/>
      </w:r>
    </w:p>
  </w:footnote>
  <w:footnote w:id="17">
    <w:p w14:paraId="20788F6C" w14:textId="07024DC1"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{"citationItems":[{"id":"ITEM-1","itemData":{"abstract":"The problems of poverty and social inequality in a country with a majority Muslim population is of concern, one of which is Indonesia. One of the religious institution in Islam which are of direct relevance functionally with efforts to solve social problems and humanity is waqf. The emergence of the paradigm of productive waqf, is a momentum as an attempt to transform from its traditional management of waqf professional management. Masjid Agung Syuhada Yogyakarta can be considered successful in the management of this productive waqf for their productive economic programs. In this paper will discuss how to model the development of productive waqf in Masjid Agung Syuhada Yogyakarta. By using methods of field research and qualitative approach to the data will be obtained and analyzed through qualitative descriptive analysis techniques. Data were obtained through in-depth observation, interviews and documentation. The results showed productive waqf that have been applied by Masjid Agung Syuhada Yogyakarta made many contributions both internally and externally through the productive economy that is sustainable. Waqf funds collected are managed properly and professionally so that the distribution can also be dialogue, it means that the waqf funds channeled productively with their development in several business areas in Masjid Agung Syuhada Yogyakarta.","author":[{"dropping-particle":"","family":"Oktarina","given":"Amimah","non-dropping-particle":"","parse-names":false,"suffix":""}],"container-title":"QIJIS: Qudus International Journal of Islamic Studies","id":"ITEM-1","issue":"1","issued":{"date-parts":[["2018"]]},"page":"103-126","title":"Developing Models of Productive Waqf","type":"article-journal","volume":"6"},"uris":["http://www.mendeley.com/documents/?uuid=96763201-1c28-43d6-afc9-a4dd29a2140e"]}],"mendeley":{"formattedCitation":"Oktarina, “Developing Models of Productive Waqf.”","manualFormatting":"Amimah Oktarina, “Developing Models of Productive Waqf,” QIJIS: Qudus International Journal of Islamic Studies, Volume 6, Number 1 (2018), 103-126.","plainTextFormattedCitation":"Oktarina, “Developing Models of Productive Waqf.”","previouslyFormattedCitation":"Oktarina, “Developing Models of Productive Waqf.”"},"properties":{"noteIndex":17},"schema":"https://github.com/citation-style-language/schema/raw/master/csl-citation.json"}</w:instrText>
      </w:r>
      <w:r>
        <w:fldChar w:fldCharType="separate"/>
      </w:r>
      <w:r w:rsidRPr="00873A25">
        <w:rPr>
          <w:noProof/>
        </w:rPr>
        <w:t xml:space="preserve">Amimah Oktarina, “Developing Models of Productive Waqf,” </w:t>
      </w:r>
      <w:r w:rsidRPr="00873A25">
        <w:rPr>
          <w:i/>
          <w:noProof/>
        </w:rPr>
        <w:t>QIJIS: Qudus International Journal of Islamic Studies</w:t>
      </w:r>
      <w:r>
        <w:rPr>
          <w:iCs/>
          <w:noProof/>
        </w:rPr>
        <w:t>, Volume</w:t>
      </w:r>
      <w:r w:rsidRPr="00873A25">
        <w:rPr>
          <w:noProof/>
        </w:rPr>
        <w:t xml:space="preserve"> 6, </w:t>
      </w:r>
      <w:r>
        <w:rPr>
          <w:noProof/>
        </w:rPr>
        <w:t xml:space="preserve">Number </w:t>
      </w:r>
      <w:r w:rsidRPr="00873A25">
        <w:rPr>
          <w:noProof/>
        </w:rPr>
        <w:t>1 (2018)</w:t>
      </w:r>
      <w:r>
        <w:rPr>
          <w:noProof/>
        </w:rPr>
        <w:t xml:space="preserve">, </w:t>
      </w:r>
      <w:r w:rsidRPr="00873A25">
        <w:rPr>
          <w:noProof/>
        </w:rPr>
        <w:t>103</w:t>
      </w:r>
      <w:r>
        <w:rPr>
          <w:noProof/>
        </w:rPr>
        <w:t>-1</w:t>
      </w:r>
      <w:r w:rsidRPr="00873A25">
        <w:rPr>
          <w:noProof/>
        </w:rPr>
        <w:t>26.</w:t>
      </w:r>
      <w:r>
        <w:fldChar w:fldCharType="end"/>
      </w:r>
    </w:p>
  </w:footnote>
  <w:footnote w:id="18">
    <w:p w14:paraId="4C22EED0" w14:textId="3D183C47"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{"citationItems":[{"id":"ITEM-1","itemData":{"author":[{"dropping-particle":"","family":"Muhamad Firdaus Ab Rahman","given":"Hussein ‘Azeemi Abdullah Thaidi","non-dropping-particle":"","parse-names":false,"suffix":""},{"dropping-particle":"","family":"Rahim","given":"Mohammad Naqib Hamdan and Siti Farahiyah Ab","non-dropping-particle":"","parse-names":false,"suffix":""}],"container-title":"AHKAM","id":"ITEM-1","issue":"1","issued":{"date-parts":[["2022"]]},"page":"473-498","title":"Bay‘ Mumtalakāt Al-Waqf: Dirāsah Taḥliliyyah fī Ḍau’ Tashrī‘āt Al-Waqf fī Ḥukumah Māliziyā","type":"article-journal","volume":"22"},"uris":["http://www.mendeley.com/documents/?uuid=2e87684a-b5e0-4adc-9867-95097aa663bd"]}],"mendeley":{"formattedCitation":"Hussein ‘Azeemi Abdullah Thaidi Muhamad Firdaus Ab Rahman and Mohammad Naqib Hamdan and Siti Farahiyah Ab Rahim, “Bay‘ Mumtalakāt Al-Waqf: Dirāsah Taḥliliyyah Fī Ḍau’ Tashrī‘āt Al-Waqf Fī Ḥukumah Māliziyā,” &lt;i&gt;AHKAM&lt;/i&gt; 22, no. 1 (2022): 473–98.","manualFormatting":"Hussein ‘Azeemi Abdullah Thaidi Muhamad Firdaus Ab Rahman and Mohammad Naqib Hamdan and Siti Farahiyah Ab Rahim, “Bay‘ Mumtalakāt Al-Waqf: Dirāsah Taḥliliyyah Fī Ḍau’ Tashrī‘āt Al-Waqf Fī Ḥukumah Māliziyā,” AHKAM, Volume 22, Number 1 (2022), 473-498.","plainTextFormattedCitation":"Hussein ‘Azeemi Abdullah Thaidi Muhamad Firdaus Ab Rahman and Mohammad Naqib Hamdan and Siti Farahiyah Ab Rahim, “Bay‘ Mumtalakāt Al-Waqf: Dirāsah Taḥliliyyah Fī Ḍau’ Tashrī‘āt Al-Waqf Fī Ḥukumah Māliziyā,” AHKAM 22, no. 1 (2022): 473–98.","previouslyFormattedCitation":"Hussein ‘Azeemi Abdullah Thaidi Muhamad Firdaus Ab Rahman and Mohammad Naqib Hamdan and Siti Farahiyah Ab Rahim, “Bay‘ Mumtalakāt Al-Waqf: Dirāsah Taḥliliyyah Fī Ḍau’ Tashrī‘āt Al-Waqf Fī Ḥukumah Māliziyā,” &lt;i&gt;AHKAM&lt;/i&gt; 22, no. 1 (2022): 473–98."},"properties":{"noteIndex":18},"schema":"https://github.com/citation-style-language/schema/raw/master/csl-citation.json"}</w:instrText>
      </w:r>
      <w:r>
        <w:fldChar w:fldCharType="separate"/>
      </w:r>
      <w:r w:rsidRPr="00B605C3">
        <w:rPr>
          <w:noProof/>
        </w:rPr>
        <w:t xml:space="preserve">Hussein ‘Azeemi Abdullah Thaidi Muhamad Firdaus Ab Rahman and Mohammad Naqib Hamdan and Siti Farahiyah Ab Rahim, “Bay‘ Mumtalakāt Al-Waqf: Dirāsah Taḥliliyyah Fī Ḍau’ Tashrī‘āt Al-Waqf Fī Ḥukumah Māliziyā,” </w:t>
      </w:r>
      <w:r w:rsidRPr="00B605C3">
        <w:rPr>
          <w:i/>
          <w:noProof/>
        </w:rPr>
        <w:t>AHKAM</w:t>
      </w:r>
      <w:r>
        <w:rPr>
          <w:noProof/>
        </w:rPr>
        <w:t xml:space="preserve">, Volume </w:t>
      </w:r>
      <w:r w:rsidRPr="00B605C3">
        <w:rPr>
          <w:noProof/>
        </w:rPr>
        <w:t xml:space="preserve">22, </w:t>
      </w:r>
      <w:r>
        <w:rPr>
          <w:noProof/>
        </w:rPr>
        <w:t xml:space="preserve">Number </w:t>
      </w:r>
      <w:r w:rsidRPr="00B605C3">
        <w:rPr>
          <w:noProof/>
        </w:rPr>
        <w:t>1 (2022)</w:t>
      </w:r>
      <w:r>
        <w:rPr>
          <w:noProof/>
        </w:rPr>
        <w:t xml:space="preserve">, </w:t>
      </w:r>
      <w:r w:rsidRPr="00B605C3">
        <w:rPr>
          <w:noProof/>
        </w:rPr>
        <w:t>473</w:t>
      </w:r>
      <w:r>
        <w:rPr>
          <w:noProof/>
        </w:rPr>
        <w:t>-4</w:t>
      </w:r>
      <w:r w:rsidRPr="00B605C3">
        <w:rPr>
          <w:noProof/>
        </w:rPr>
        <w:t>98.</w:t>
      </w:r>
      <w:r>
        <w:fldChar w:fldCharType="end"/>
      </w:r>
    </w:p>
  </w:footnote>
  <w:footnote w:id="19">
    <w:p w14:paraId="73306D76" w14:textId="7B9A4C0B"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{"citationItems":[{"id":"ITEM-1","itemData":{"DOI":"10.22373/sjhk.v5i1.9161","ISSN":"25493167","abstract":"This study examines the legal standing of waqf for non-Muslims contributing to the increase of waqf assets in Indonesia. It turns out that raising waqf funds can be accessed from non-Muslim funds that sympathize with the economic value of Islamic philanthropy. Waqf is a deed that is part goodness of Islam and has a socioeconomic dimension. The essence of waqf is to hold the core of waqf and develop the outcome, so that waqf assets do not just disappear. The form of waqf is exciting and has great benefits so that not only a Muslim who is interested in waqf, many non-Muslims also contribute through donations. However, scholars differ in opinions about non-Muslim waqf laws; besides that, the waqf law also does not mention the specificity of waqf only for Muslims. This research is qualitative research through a normative juridical approach through literature in analyzing the data obtained. So, the difference in opinion of the madzhab scholars is essentially allowing non-Muslim endowments if it is not intended for religious facilities such as mosques.","author":[{"dropping-particle":"","family":"Sulistiani","given":"Siska Lis","non-dropping-particle":"","parse-names":false,"suffix":""}],"container-title":"Samarah","id":"ITEM-1","issue":"1","issued":{"date-parts":[["2021"]]},"page":"357-371","title":"The legal position of Waqf for non-muslims in efforts to increase Waqf assets in Indonesia","type":"article-journal","volume":"5"},"uris":["http://www.mendeley.com/documents/?uuid=bd35ab97-69d7-4a2c-af33-178387c11829"]}],"mendeley":{"formattedCitation":"Siska Lis Sulistiani, “The Legal Position of Waqf for Non-Muslims in Efforts to Increase Waqf Assets in Indonesia,” &lt;i&gt;Samarah&lt;/i&gt; 5, no. 1 (2021): 357–71, https://doi.org/10.22373/sjhk.v5i1.9161.","manualFormatting":"Siska Lis Sulistiani, “The Legal Position of Waqf for Non-Muslims in Efforts to Increase Waqf Assets in Indonesia,” Samarah, Volume 5, Number 1 (2021), 357-371.","plainTextFormattedCitation":"Siska Lis Sulistiani, “The Legal Position of Waqf for Non-Muslims in Efforts to Increase Waqf Assets in Indonesia,” Samarah 5, no. 1 (2021): 357–71, https://doi.org/10.22373/sjhk.v5i1.9161.","previouslyFormattedCitation":"Siska Lis Sulistiani, “The Legal Position of Waqf for Non-Muslims in Efforts to Increase Waqf Assets in Indonesia,” &lt;i&gt;Samarah&lt;/i&gt; 5, no. 1 (2021): 357–71, https://doi.org/10.22373/sjhk.v5i1.9161."},"properties":{"noteIndex":19},"schema":"https://github.com/citation-style-language/schema/raw/master/csl-citation.json"}</w:instrText>
      </w:r>
      <w:r>
        <w:fldChar w:fldCharType="separate"/>
      </w:r>
      <w:r w:rsidRPr="004E22CB">
        <w:rPr>
          <w:noProof/>
        </w:rPr>
        <w:t xml:space="preserve">Siska Lis Sulistiani, “The Legal Position of Waqf for Non-Muslims in Efforts to Increase Waqf Assets in Indonesia,” </w:t>
      </w:r>
      <w:r w:rsidRPr="004E22CB">
        <w:rPr>
          <w:i/>
          <w:noProof/>
        </w:rPr>
        <w:t>Samarah</w:t>
      </w:r>
      <w:r>
        <w:rPr>
          <w:iCs/>
          <w:noProof/>
        </w:rPr>
        <w:t>, Volume</w:t>
      </w:r>
      <w:r w:rsidRPr="004E22CB">
        <w:rPr>
          <w:noProof/>
        </w:rPr>
        <w:t xml:space="preserve"> 5, </w:t>
      </w:r>
      <w:r>
        <w:rPr>
          <w:noProof/>
        </w:rPr>
        <w:t>Number</w:t>
      </w:r>
      <w:r w:rsidRPr="004E22CB">
        <w:rPr>
          <w:noProof/>
        </w:rPr>
        <w:t xml:space="preserve"> 1 (2021)</w:t>
      </w:r>
      <w:r>
        <w:rPr>
          <w:noProof/>
        </w:rPr>
        <w:t xml:space="preserve">, </w:t>
      </w:r>
      <w:r w:rsidRPr="004E22CB">
        <w:rPr>
          <w:noProof/>
        </w:rPr>
        <w:t>357</w:t>
      </w:r>
      <w:r>
        <w:rPr>
          <w:noProof/>
        </w:rPr>
        <w:t>-3</w:t>
      </w:r>
      <w:r w:rsidRPr="004E22CB">
        <w:rPr>
          <w:noProof/>
        </w:rPr>
        <w:t>71.</w:t>
      </w:r>
      <w:r>
        <w:fldChar w:fldCharType="end"/>
      </w:r>
    </w:p>
  </w:footnote>
  <w:footnote w:id="20">
    <w:p w14:paraId="23E44825" w14:textId="4484356D"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{"citationItems":[{"id":"ITEM-1","itemData":{"DOI":"10.24090/mnh.v11i1.1269","ISSN":"1978-6670","abstract":"Cash waqf in Indonesia has been long enough implemented based on some rules enacted by government and other rules defined by The Waqf Board of Indonesia (BWI). However, the implementation of cash waqf has not reached the level of success. Therefore, this article studies the application of cash waqf law in Indonesia according to Friedmanâ€™s legal system theory. The legal system theory of Friedman firstly looks at the substance of the law, which is the rules or regulations; and secondly it examines the structure of the law, encompassing the law enforcement agencies, such as judge, prosecutor, police and legal counselors. And lastly the theory examines the element of legal culture, which is a response from Muslim society. The first two examinations indicate that there is nothing to be a problem. But from the last examination there is a problem regarding the trust from Muslim society. From the legal culture point of view, the implementation of cash waqf by the government, which is performed by BWI, needs attracting societyâ€™s credentials in order to improve and maximize the performance of cash waqf in Indonesia.","author":[{"dropping-particle":"","family":"Masdar","given":"Masdar","non-dropping-particle":"","parse-names":false,"suffix":""}],"container-title":"Al-Manahij: Jurnal Kajian Hukum Islam","id":"ITEM-1","issue":"1","issued":{"date-parts":[["2018"]]},"page":"79-92","title":"Penerapan Hukum Wakaf Uang di Indonesia Perspektif Legal System Theory","type":"article-journal","volume":"11"},"uris":["http://www.mendeley.com/documents/?uuid=cf04a251-f0f5-4aee-8dfe-d79712237477"]}],"mendeley":{"formattedCitation":"Masdar Masdar, “Penerapan Hukum Wakaf Uang Di Indonesia Perspektif Legal System Theory,” &lt;i&gt;Al-Manahij: Jurnal Kajian Hukum Islam&lt;/i&gt; 11, no. 1 (2018): 79–92, https://doi.org/10.24090/mnh.v11i1.1269.","manualFormatting":"Masdar, “Penerapan Hukum Wakaf Uang di Indonesia Perspektif Legal System Theory,” Al-Manahij: Jurnal Kajian Hukum Islam, Volume 11, Number 1 (2018), 79-92.","plainTextFormattedCitation":"Masdar Masdar, “Penerapan Hukum Wakaf Uang Di Indonesia Perspektif Legal System Theory,” Al-Manahij: Jurnal Kajian Hukum Islam 11, no. 1 (2018): 79–92, https://doi.org/10.24090/mnh.v11i1.1269.","previouslyFormattedCitation":"Masdar Masdar, “Penerapan Hukum Wakaf Uang Di Indonesia Perspektif Legal System Theory,” &lt;i&gt;Al-Manahij: Jurnal Kajian Hukum Islam&lt;/i&gt; 11, no. 1 (2018): 79–92, https://doi.org/10.24090/mnh.v11i1.1269."},"properties":{"noteIndex":20},"schema":"https://github.com/citation-style-language/schema/raw/master/csl-citation.json"}</w:instrText>
      </w:r>
      <w:r>
        <w:fldChar w:fldCharType="separate"/>
      </w:r>
      <w:r w:rsidRPr="00954171">
        <w:rPr>
          <w:noProof/>
        </w:rPr>
        <w:t xml:space="preserve">Masdar, “Penerapan Hukum Wakaf Uang </w:t>
      </w:r>
      <w:r>
        <w:rPr>
          <w:noProof/>
        </w:rPr>
        <w:t>d</w:t>
      </w:r>
      <w:r w:rsidRPr="00954171">
        <w:rPr>
          <w:noProof/>
        </w:rPr>
        <w:t xml:space="preserve">i Indonesia Perspektif Legal System Theory,” </w:t>
      </w:r>
      <w:r w:rsidRPr="00954171">
        <w:rPr>
          <w:i/>
          <w:noProof/>
        </w:rPr>
        <w:t>Al-Manahij: Jurnal Kajian Hukum Islam</w:t>
      </w:r>
      <w:r>
        <w:rPr>
          <w:iCs/>
          <w:noProof/>
        </w:rPr>
        <w:t>, Volume</w:t>
      </w:r>
      <w:r w:rsidRPr="00954171">
        <w:rPr>
          <w:noProof/>
        </w:rPr>
        <w:t xml:space="preserve"> 11, </w:t>
      </w:r>
      <w:r>
        <w:rPr>
          <w:noProof/>
        </w:rPr>
        <w:t>Number</w:t>
      </w:r>
      <w:r w:rsidRPr="00954171">
        <w:rPr>
          <w:noProof/>
        </w:rPr>
        <w:t xml:space="preserve"> 1 (2018)</w:t>
      </w:r>
      <w:r>
        <w:rPr>
          <w:noProof/>
        </w:rPr>
        <w:t xml:space="preserve">, </w:t>
      </w:r>
      <w:r w:rsidRPr="00954171">
        <w:rPr>
          <w:noProof/>
        </w:rPr>
        <w:t>79</w:t>
      </w:r>
      <w:r>
        <w:rPr>
          <w:noProof/>
        </w:rPr>
        <w:t>-</w:t>
      </w:r>
      <w:r w:rsidRPr="00954171">
        <w:rPr>
          <w:noProof/>
        </w:rPr>
        <w:t>92.</w:t>
      </w:r>
      <w:r>
        <w:fldChar w:fldCharType="end"/>
      </w:r>
    </w:p>
    <w:p w14:paraId="07B08C16" w14:textId="3F8C6613" w:rsidR="0060333C" w:rsidRDefault="0060333C" w:rsidP="00485C93">
      <w:pPr>
        <w:pStyle w:val="FootnoteText"/>
        <w:ind w:firstLine="360"/>
        <w:jc w:val="both"/>
      </w:pPr>
      <w:r>
        <w:fldChar w:fldCharType="begin" w:fldLock="1"/>
      </w:r>
      <w:r>
        <w:instrText>ADDIN CSL_CITATION {"citationItems":[{"id":"ITEM-1","itemData":{"author":[{"dropping-particle":"","family":"Esa","given":"Abeer","non-dropping-particle":"","parse-names":false,"suffix":""},{"dropping-particle":"","family":"Al","given":"Ahmad","non-dropping-particle":"","parse-names":false,"suffix":""},{"dropping-particle":"","family":"Esa","given":"Abeer","non-dropping-particle":"","parse-names":false,"suffix":""},{"dropping-particle":"","family":"Al","given":"Ahmad","non-dropping-particle":"","parse-names":false,"suffix":""}],"id":"ITEM-1","issue":"4","issued":{"date-parts":[["2021"]]},"page":"500-507","title":"The Role Of Sukuk Al Waqf In Education And Islamic Media","type":"article-journal","volume":"12"},"uris":["http://www.mendeley.com/documents/?uuid=a27eae49-6912-41f9-b84e-122d545cce81"]}],"mendeley":{"formattedCitation":"Abeer Esa et al., “The Role Of Sukuk Al Waqf In Education And Islamic Media” 12, no. 4 (2021): 500–507.","manualFormatting":"Abeer Esa et al., “The Role Of Sukuk Al Waqf In Education And Islamic Media”, Turkish Online Journal of Qualitative Inquiri (TOJQI), Volume 12, Number 4 (2021), 500-507.","plainTextFormattedCitation":"Abeer Esa et al., “The Role Of Sukuk Al Waqf In Education And Islamic Media” 12, no. 4 (2021): 500–507.","previouslyFormattedCitation":"Abeer Esa et al., “The Role Of Sukuk Al Waqf In Education And Islamic Media” 12, no. 4 (2021): 500–507."},"properties":{"noteIndex":20},"schema":"https://github.com/citation-style-language/schema/raw/master/csl-citation.json"}</w:instrText>
      </w:r>
      <w:r>
        <w:fldChar w:fldCharType="separate"/>
      </w:r>
      <w:r w:rsidRPr="004D1273">
        <w:rPr>
          <w:noProof/>
        </w:rPr>
        <w:t>Abeer Esa et al., “The Role Of Sukuk Al Waqf In Education And Islamic Media”</w:t>
      </w:r>
      <w:r>
        <w:rPr>
          <w:noProof/>
        </w:rPr>
        <w:t>, Turkish Online Journal of Qualitative Inquiri (TOJQI), Volume</w:t>
      </w:r>
      <w:r w:rsidRPr="004D1273">
        <w:rPr>
          <w:noProof/>
        </w:rPr>
        <w:t xml:space="preserve"> 12, </w:t>
      </w:r>
      <w:r>
        <w:rPr>
          <w:noProof/>
        </w:rPr>
        <w:t xml:space="preserve">Number </w:t>
      </w:r>
      <w:r w:rsidRPr="004D1273">
        <w:rPr>
          <w:noProof/>
        </w:rPr>
        <w:t>4 (2021)</w:t>
      </w:r>
      <w:r>
        <w:rPr>
          <w:noProof/>
        </w:rPr>
        <w:t xml:space="preserve">, </w:t>
      </w:r>
      <w:r w:rsidRPr="004D1273">
        <w:rPr>
          <w:noProof/>
        </w:rPr>
        <w:t>500</w:t>
      </w:r>
      <w:r>
        <w:rPr>
          <w:noProof/>
        </w:rPr>
        <w:t>-</w:t>
      </w:r>
      <w:r w:rsidRPr="004D1273">
        <w:rPr>
          <w:noProof/>
        </w:rPr>
        <w:t>507.</w:t>
      </w:r>
      <w:r>
        <w:fldChar w:fldCharType="end"/>
      </w:r>
    </w:p>
  </w:footnote>
  <w:footnote w:id="21">
    <w:p w14:paraId="1AFAD6E6" w14:textId="76802EA1"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{"citationItems":[{"id":"ITEM-1","itemData":{"DOI":"10.1108/ijif-08-2018-0091","ISSN":"0128-1976","abstract":"Purpose-The present paper aims to propose a viable alternative model for human capital development (HCD), termed as the integrated cash waqf micro enterprises investment (ICWME-I) model, which is expected to contribute to the development of micro enterprises in Malaysia. Design/methodology/approach-This is a conceptual paper for the development of the ICWME-I model. It is purely qualitative in nature, using content analysis. It comprehensively reviews the literature related to HCD issues faced by micro enterprises and existing studies related to cash waqf (Islamic endowment) to construct the ICWME-I model. Findings-The proposed ICWME-I model is specially designed for HCD of micro enterprises. It is an appropriate initiative to upgrade micro enterprises through HCD programmes by ensuring proper utilization of cash waqf funds to build modern training centres at subsidized costs with state-of-the-art facilities. The training centres would subsidize the participation fees of micro enterprises and provide them with facilities to undertake education and training programmes, as well as other kinds of activities for upgrading, improving and enhancing human capital capacity and skills of micro enterprises. The potential challenges of the ICWME-I model are also highlighted in this study.","author":[{"dropping-particle":"","family":"Mohd Thas Thaker","given":"Mohamed Asmy","non-dropping-particle":"","parse-names":false,"suffix":""},{"dropping-particle":"","family":"Amin","given":"Md Fouad","non-dropping-particle":"","parse-names":false,"suffix":""},{"dropping-particle":"","family":"Mohd Thas Thaker","given":"Hassanudin","non-dropping-particle":"","parse-names":false,"suffix":""},{"dropping-particle":"","family":"Khaliq","given":"Ahmad","non-dropping-particle":"","parse-names":false,"suffix":""},{"dropping-particle":"","family":"Allah Pitchay","given":"Anwar","non-dropping-particle":"","parse-names":false,"suffix":""}],"container-title":"ISRA International Journal of Islamic Finance","id":"ITEM-1","issue":"1","issued":{"date-parts":[["2021"]]},"page":"66-83","title":"Cash waqf model for micro enterprises’ human capital development","type":"article-journal","volume":"13"},"uris":["http://www.mendeley.com/documents/?uuid=685a2424-eb5c-4bfa-a298-850d37d234f9"]}],"mendeley":{"formattedCitation":"Mohamed Asmy Mohd Thas Thaker et al., “Cash Waqf Model for Micro Enterprises’ Human Capital Development,” &lt;i&gt;ISRA International Journal of Islamic Finance&lt;/i&gt; 13, no. 1 (2021): 66–83, https://doi.org/10.1108/ijif-08-2018-0091.","manualFormatting":"Mohamed Asmy Mohd Thas Thaker et al., “Cash Waqf Model for Micro Enterprises’ Human Capital Development,” ISRA International Journal of Islamic Finance, Volume 13, Number 1 (2021), 66-83.","plainTextFormattedCitation":"Mohamed Asmy Mohd Thas Thaker et al., “Cash Waqf Model for Micro Enterprises’ Human Capital Development,” ISRA International Journal of Islamic Finance 13, no. 1 (2021): 66–83, https://doi.org/10.1108/ijif-08-2018-0091.","previouslyFormattedCitation":"Mohamed Asmy Mohd Thas Thaker et al., “Cash Waqf Model for Micro Enterprises’ Human Capital Development,” &lt;i&gt;ISRA International Journal of Islamic Finance&lt;/i&gt; 13, no. 1 (2021): 66–83, https://doi.org/10.1108/ijif-08-2018-0091."},"properties":{"noteIndex":21},"schema":"https://github.com/citation-style-language/schema/raw/master/csl-citation.json"}</w:instrText>
      </w:r>
      <w:r>
        <w:fldChar w:fldCharType="separate"/>
      </w:r>
      <w:r w:rsidRPr="008E0895">
        <w:rPr>
          <w:noProof/>
        </w:rPr>
        <w:t xml:space="preserve">Mohamed Asmy Mohd Thas Thaker et al., “Cash Waqf Model for Micro Enterprises’ Human Capital Development,” </w:t>
      </w:r>
      <w:r w:rsidRPr="008E0895">
        <w:rPr>
          <w:i/>
          <w:noProof/>
        </w:rPr>
        <w:t>ISRA International Journal of Islamic Finance</w:t>
      </w:r>
      <w:r>
        <w:rPr>
          <w:iCs/>
          <w:noProof/>
        </w:rPr>
        <w:t>, Volume</w:t>
      </w:r>
      <w:r w:rsidRPr="008E0895">
        <w:rPr>
          <w:noProof/>
        </w:rPr>
        <w:t xml:space="preserve"> 13, </w:t>
      </w:r>
      <w:r>
        <w:rPr>
          <w:noProof/>
        </w:rPr>
        <w:t xml:space="preserve">Number </w:t>
      </w:r>
      <w:r w:rsidRPr="008E0895">
        <w:rPr>
          <w:noProof/>
        </w:rPr>
        <w:t>1 (2021)</w:t>
      </w:r>
      <w:r>
        <w:rPr>
          <w:noProof/>
        </w:rPr>
        <w:t xml:space="preserve">, </w:t>
      </w:r>
      <w:r w:rsidRPr="008E0895">
        <w:rPr>
          <w:noProof/>
        </w:rPr>
        <w:t>66</w:t>
      </w:r>
      <w:r>
        <w:rPr>
          <w:noProof/>
        </w:rPr>
        <w:t>-</w:t>
      </w:r>
      <w:r w:rsidRPr="008E0895">
        <w:rPr>
          <w:noProof/>
        </w:rPr>
        <w:t>83.</w:t>
      </w:r>
      <w:r>
        <w:fldChar w:fldCharType="end"/>
      </w:r>
    </w:p>
  </w:footnote>
  <w:footnote w:id="22">
    <w:p w14:paraId="24130428" w14:textId="1DCD030C"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{"citationItems":[{"id":"ITEM-1","itemData":{"DOI":"10.15642/alhukama.2018.8.2.507-531","ISSN":"2089-7480","abstract":"Verification in the Religion Court is important because the court upholds law and justice based on no other evidence, including in civil cases, such as divorce. One of the proofs is a witness testimony. The majority of Islamic law experts like Imam Malik, Imam al-Shafi'i or Imam Ahmad ibn Hanbal agreed that a witness must be a Muslim, so that in a case witnessed by someone who is not Muslim, his testimony is deemed invalid. This article wants to see a case of establishing non-Muslim witnesses in a divorce case in the Sidoarjo Religious Court by using descriptive analysis, which is systematically describing the facts and characteristics of the object studied by the later analysis and using the istihsan theory. Based on the analysis, the Sidoarjo Religious Court in Case No. 1889/Pdt.G/2017/PA.Sda. has received the status of a non-Muslim witness because it has fulfilled formal requirements in a civil procedure law. In line with istihsan theory, non-Muslim testimony is permissible because of the development of the present era and its greater difficulties so that it can be accepted in religious courts. If it is forced that witnesses to be Muslim, then justice seekers will be harmed and have difficulties.","author":[{"dropping-particle":"","family":"Zaman","given":"Misbahul","non-dropping-particle":"","parse-names":false,"suffix":""}],"container-title":"Al-Hukama'","id":"ITEM-1","issue":"2","issued":{"date-parts":[["2018"]]},"page":"507-531","title":"Analisis Istihsan Atas Pertimbangan Hakim Terhadap Saksi Non Muslim Pada Perkara Perceraian","type":"article-journal","volume":"8"},"uris":["http://www.mendeley.com/documents/?uuid=107c8b47-9efd-49c7-9ee8-61295590a47f"]}],"mendeley":{"formattedCitation":"Misbahul Zaman, “Analisis Istihsan Atas Pertimbangan Hakim Terhadap Saksi Non Muslim Pada Perkara Perceraian,” &lt;i&gt;Al-Hukama’&lt;/i&gt; 8, no. 2 (2018): 507–31, https://doi.org/10.15642/alhukama.2018.8.2.507-531.","manualFormatting":"Ahmad Misbahul Zaman, “Analisis Istihsan Atas Pertimbangan Hakim Terhadap Saksi Non Muslim Pada Perkara Perceraian,” Al-Hukama’, Volume 8, Number 2 (2018), 507-531.","plainTextFormattedCitation":"Misbahul Zaman, “Analisis Istihsan Atas Pertimbangan Hakim Terhadap Saksi Non Muslim Pada Perkara Perceraian,” Al-Hukama’ 8, no. 2 (2018): 507–31, https://doi.org/10.15642/alhukama.2018.8.2.507-531.","previouslyFormattedCitation":"Misbahul Zaman, “Analisis Istihsan Atas Pertimbangan Hakim Terhadap Saksi Non Muslim Pada Perkara Perceraian,” &lt;i&gt;Al-Hukama’&lt;/i&gt; 8, no. 2 (2018): 507–31, https://doi.org/10.15642/alhukama.2018.8.2.507-531."},"properties":{"noteIndex":22},"schema":"https://github.com/citation-style-language/schema/raw/master/csl-citation.json"}</w:instrText>
      </w:r>
      <w:r>
        <w:fldChar w:fldCharType="separate"/>
      </w:r>
      <w:r>
        <w:rPr>
          <w:noProof/>
        </w:rPr>
        <w:t>Ahmad M</w:t>
      </w:r>
      <w:r w:rsidRPr="00E64D48">
        <w:rPr>
          <w:noProof/>
        </w:rPr>
        <w:t xml:space="preserve">isbahul Zaman, “Analisis Istihsan Atas Pertimbangan Hakim Terhadap Saksi Non Muslim Pada Perkara Perceraian,” </w:t>
      </w:r>
      <w:r w:rsidRPr="00E64D48">
        <w:rPr>
          <w:i/>
          <w:noProof/>
        </w:rPr>
        <w:t>Al-Hukama’</w:t>
      </w:r>
      <w:r>
        <w:rPr>
          <w:iCs/>
          <w:noProof/>
        </w:rPr>
        <w:t>, Volume</w:t>
      </w:r>
      <w:r w:rsidRPr="00E64D48">
        <w:rPr>
          <w:noProof/>
        </w:rPr>
        <w:t xml:space="preserve"> 8, </w:t>
      </w:r>
      <w:r>
        <w:rPr>
          <w:noProof/>
        </w:rPr>
        <w:t xml:space="preserve">Number </w:t>
      </w:r>
      <w:r w:rsidRPr="00E64D48">
        <w:rPr>
          <w:noProof/>
        </w:rPr>
        <w:t>2 (2018)</w:t>
      </w:r>
      <w:r>
        <w:rPr>
          <w:noProof/>
        </w:rPr>
        <w:t xml:space="preserve">, </w:t>
      </w:r>
      <w:r w:rsidRPr="00E64D48">
        <w:rPr>
          <w:noProof/>
        </w:rPr>
        <w:t>507-531.</w:t>
      </w:r>
      <w:r>
        <w:fldChar w:fldCharType="end"/>
      </w:r>
    </w:p>
  </w:footnote>
  <w:footnote w:id="23">
    <w:p w14:paraId="08933AC4" w14:textId="49823016"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{"citationItems":[{"id":"ITEM-1","itemData":{"DOI":"10.18592/sy.v16i1.1001","ISSN":"1412-6303","abstract":"Autenticity of  istihsan as syara` argument disputed by scholars. Group of Hanafiyah, Malikiyah, and most Hanabilah scholars use istihsan as an argument, but Syafi`iyah, Zhahiriyah, Mu'tazili, and Shi'a scholars reject istihsan. The dispute happened because the difference of interpreting of istihsan. The scholars who use as argument interpret istihsan as turned away from will of qiyas to more powerful qiyas or specialized qiyas because there is stronger evidence thereof, meanwhile, scholars who refuse define istihsan as all things considered good by the mujtahid by his wits. Substantively all scholars, both who use and who reject istihsan using it in some law conclusion, although scholars who reject not call it as an istihsan. They categorize it as a qiyas.","author":[{"dropping-particle":"","family":"Noorwahidah","given":"Noorwahidah","non-dropping-particle":"","parse-names":false,"suffix":""}],"container-title":"Syariah Jurnal Hukum dan Pemikiran","id":"ITEM-1","issue":"1","issued":{"date-parts":[["2017"]]},"page":"13","title":"Istihsan: Dalil Syara` Yang Diperselisihkan","type":"article-journal","volume":"16"},"uris":["http://www.mendeley.com/documents/?uuid=773957e8-4a6a-480f-b8dc-6e0db76f135d"]}],"mendeley":{"formattedCitation":"Noorwahidah Noorwahidah, “Istihsan: Dalil Syara` Yang Diperselisihkan,” &lt;i&gt;Syariah Jurnal Hukum Dan Pemikiran&lt;/i&gt; 16, no. 1 (2017): 13, https://doi.org/10.18592/sy.v16i1.1001.","manualFormatting":"Noorwahidah, “Istihsan: Dalil Syara` Yang Diperselisihkan,” Syariah Jurnal Hukum Dan Pemikiran, Volume 16, Nomor 1 (2017), 13-24.","plainTextFormattedCitation":"Noorwahidah Noorwahidah, “Istihsan: Dalil Syara` Yang Diperselisihkan,” Syariah Jurnal Hukum Dan Pemikiran 16, no. 1 (2017): 13, https://doi.org/10.18592/sy.v16i1.1001.","previouslyFormattedCitation":"Noorwahidah Noorwahidah, “Istihsan: Dalil Syara` Yang Diperselisihkan,” &lt;i&gt;Syariah Jurnal Hukum Dan Pemikiran&lt;/i&gt; 16, no. 1 (2017): 13, https://doi.org/10.18592/sy.v16i1.1001."},"properties":{"noteIndex":23},"schema":"https://github.com/citation-style-language/schema/raw/master/csl-citation.json"}</w:instrText>
      </w:r>
      <w:r>
        <w:fldChar w:fldCharType="separate"/>
      </w:r>
      <w:r w:rsidRPr="002133FF">
        <w:rPr>
          <w:noProof/>
        </w:rPr>
        <w:t xml:space="preserve">Noorwahidah, “Istihsan: Dalil Syara` Yang Diperselisihkan,” </w:t>
      </w:r>
      <w:r w:rsidRPr="002133FF">
        <w:rPr>
          <w:i/>
          <w:noProof/>
        </w:rPr>
        <w:t>Syariah Jurnal Hukum Dan Pemikiran</w:t>
      </w:r>
      <w:r>
        <w:rPr>
          <w:noProof/>
        </w:rPr>
        <w:t xml:space="preserve">, Volume </w:t>
      </w:r>
      <w:r w:rsidRPr="002133FF">
        <w:rPr>
          <w:noProof/>
        </w:rPr>
        <w:t xml:space="preserve">16, </w:t>
      </w:r>
      <w:r>
        <w:rPr>
          <w:noProof/>
        </w:rPr>
        <w:t>N</w:t>
      </w:r>
      <w:r w:rsidRPr="002133FF">
        <w:rPr>
          <w:noProof/>
        </w:rPr>
        <w:t>o</w:t>
      </w:r>
      <w:r>
        <w:rPr>
          <w:noProof/>
        </w:rPr>
        <w:t>mor</w:t>
      </w:r>
      <w:r w:rsidRPr="002133FF">
        <w:rPr>
          <w:noProof/>
        </w:rPr>
        <w:t xml:space="preserve"> 1 (2017)</w:t>
      </w:r>
      <w:r>
        <w:rPr>
          <w:noProof/>
        </w:rPr>
        <w:t xml:space="preserve">, </w:t>
      </w:r>
      <w:r w:rsidRPr="002133FF">
        <w:rPr>
          <w:noProof/>
        </w:rPr>
        <w:t>13</w:t>
      </w:r>
      <w:r>
        <w:rPr>
          <w:noProof/>
        </w:rPr>
        <w:t>-24</w:t>
      </w:r>
      <w:r w:rsidRPr="002133FF">
        <w:rPr>
          <w:noProof/>
        </w:rPr>
        <w:t>.</w:t>
      </w:r>
      <w:r>
        <w:fldChar w:fldCharType="end"/>
      </w:r>
    </w:p>
  </w:footnote>
  <w:footnote w:id="24">
    <w:p w14:paraId="13422894" w14:textId="45B98C7D"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{"citationItems":[{"id":"ITEM-1","itemData":{"author":[{"dropping-particle":"","family":"Efendi","given":"Mansur","non-dropping-particle":"","parse-names":false,"suffix":""}],"container-title":"Al-Ahkam Jurnal Ilmu Syariah dan Hukum","id":"ITEM-1","issued":{"date-parts":[["2018"]]},"title":"Menakar Progresivitas Hukum Wakaf dalam Pengembangan Wakaf Uang di Indonesia","type":"article-journal","volume":"3"},"uris":["http://www.mendeley.com/documents/?uuid=6b6a9436-fa18-4fd4-bcee-2987368b8f73"]}],"mendeley":{"formattedCitation":"Mansur Efendi, “Menakar Progresivitas Hukum Wakaf Dalam Pengembangan Wakaf Uang Di Indonesia,” &lt;i&gt;Al-Ahkam Jurnal Ilmu Syariah Dan Hukum&lt;/i&gt; 3 (2018).","manualFormatting":"Mansur Efendi, “Menakar Progresivitas Hukum Wakaf Dalam Pengembangan Wakaf Uang di Indonesia,” Al-Ahkam Jurnal Ilmu Syariah Dan Hukum, Volume 3, Nomor 2 (2018), 191-204.","plainTextFormattedCitation":"Mansur Efendi, “Menakar Progresivitas Hukum Wakaf Dalam Pengembangan Wakaf Uang Di Indonesia,” Al-Ahkam Jurnal Ilmu Syariah Dan Hukum 3 (2018).","previouslyFormattedCitation":"Mansur Efendi, “Menakar Progresivitas Hukum Wakaf Dalam Pengembangan Wakaf Uang Di Indonesia,” &lt;i&gt;Al-Ahkam Jurnal Ilmu Syariah Dan Hukum&lt;/i&gt; 3 (2018)."},"properties":{"noteIndex":24},"schema":"https://github.com/citation-style-language/schema/raw/master/csl-citation.json"}</w:instrText>
      </w:r>
      <w:r>
        <w:fldChar w:fldCharType="separate"/>
      </w:r>
      <w:r w:rsidRPr="005B6B9F">
        <w:rPr>
          <w:noProof/>
        </w:rPr>
        <w:t xml:space="preserve">Mansur Efendi, “Menakar Progresivitas Hukum Wakaf Dalam Pengembangan Wakaf Uang </w:t>
      </w:r>
      <w:r>
        <w:rPr>
          <w:noProof/>
        </w:rPr>
        <w:t>d</w:t>
      </w:r>
      <w:r w:rsidRPr="005B6B9F">
        <w:rPr>
          <w:noProof/>
        </w:rPr>
        <w:t xml:space="preserve">i Indonesia,” </w:t>
      </w:r>
      <w:r w:rsidRPr="005B6B9F">
        <w:rPr>
          <w:i/>
          <w:noProof/>
        </w:rPr>
        <w:t>Al-Ahkam Jurnal Ilmu Syariah Dan Hukum</w:t>
      </w:r>
      <w:r>
        <w:rPr>
          <w:iCs/>
          <w:noProof/>
        </w:rPr>
        <w:t xml:space="preserve">, Volume </w:t>
      </w:r>
      <w:r w:rsidRPr="005B6B9F">
        <w:rPr>
          <w:noProof/>
        </w:rPr>
        <w:t>3</w:t>
      </w:r>
      <w:r>
        <w:rPr>
          <w:noProof/>
        </w:rPr>
        <w:t>, Nomor 2</w:t>
      </w:r>
      <w:r w:rsidRPr="005B6B9F">
        <w:rPr>
          <w:noProof/>
        </w:rPr>
        <w:t xml:space="preserve"> (2018)</w:t>
      </w:r>
      <w:r>
        <w:rPr>
          <w:noProof/>
        </w:rPr>
        <w:t>, 191-204</w:t>
      </w:r>
      <w:r w:rsidRPr="005B6B9F">
        <w:rPr>
          <w:noProof/>
        </w:rPr>
        <w:t>.</w:t>
      </w:r>
      <w:r>
        <w:fldChar w:fldCharType="end"/>
      </w:r>
    </w:p>
  </w:footnote>
  <w:footnote w:id="25">
    <w:p w14:paraId="6C1B7228" w14:textId="43CAE63A"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{"citationItems":[{"id":"ITEM-1","itemData":{"abstract":"Penyebab perselisihan ulama dalam menerima atau menolak istihsan sebagai salah satu dalil hukum, dapat diaktakan bahwa sebenarnya letak perbedaan tersebut hanyalah pada persoalan peristilahan. Ulama yang menolak istihsan dalam kenyataannya tidak berbeda pendapat dengn ulama yagn menerimanya, misalmnay dalam persoalan mudharabah (bagi hasil), me- ninggalkan puasa bagi musafir dalam bulan ramadhan dan lain- lain. Namun tidak dapat dipungkiri bahwa perbedaan yang muncul dikalangan ulama tidak terlepas dari perbedaan sudut pandangmereka dalam mengkaji suatu masalah. Dalam hal ini mereka berbeda dalam menggunakan metode istimbat hukum seperti istihsan, istishab dan lain-lain aygn sangat berimplikasi pada pengambilan keputusan terakhir.","author":[{"dropping-particle":"","family":"Salenda","given":"Kasjim","non-dropping-particle":"","parse-names":false,"suffix":""}],"container-title":"Al-Daulah","id":"ITEM-1","issue":"2","issued":{"date-parts":[["2013"]]},"page":"8-19","title":"Kehujjahan Istihsan dan Implikasinya dalam Istinbat Hukum","type":"article-journal","volume":"1"},"uris":["http://www.mendeley.com/documents/?uuid=593cd874-88ac-4137-9542-58728f1dd6a4"]}],"mendeley":{"formattedCitation":"Kasjim Salenda, “Kehujjahan Istihsan Dan Implikasinya Dalam Istinbat Hukum,” &lt;i&gt;Al-Daulah&lt;/i&gt; 1, no. 2 (2013): 8–19.","manualFormatting":"Kasjim Salenda, “Kehujjahan Istihsan Dan Implikasinya Dalam Istinbat Hukum,” Al-Daulah, Volume 1, Nomor 2 (2013), 8-19.","plainTextFormattedCitation":"Kasjim Salenda, “Kehujjahan Istihsan Dan Implikasinya Dalam Istinbat Hukum,” Al-Daulah 1, no. 2 (2013): 8–19.","previouslyFormattedCitation":"Kasjim Salenda, “Kehujjahan Istihsan Dan Implikasinya Dalam Istinbat Hukum,” &lt;i&gt;Al-Daulah&lt;/i&gt; 1, no. 2 (2013): 8–19."},"properties":{"noteIndex":25},"schema":"https://github.com/citation-style-language/schema/raw/master/csl-citation.json"}</w:instrText>
      </w:r>
      <w:r>
        <w:fldChar w:fldCharType="separate"/>
      </w:r>
      <w:r w:rsidRPr="00FA775C">
        <w:rPr>
          <w:noProof/>
        </w:rPr>
        <w:t xml:space="preserve">Kasjim Salenda, “Kehujjahan Istihsan Dan Implikasinya Dalam Istinbat Hukum,” </w:t>
      </w:r>
      <w:r w:rsidRPr="00FA775C">
        <w:rPr>
          <w:i/>
          <w:noProof/>
        </w:rPr>
        <w:t>Al-Daulah</w:t>
      </w:r>
      <w:r>
        <w:rPr>
          <w:i/>
          <w:noProof/>
        </w:rPr>
        <w:t xml:space="preserve">, </w:t>
      </w:r>
      <w:r>
        <w:rPr>
          <w:iCs/>
          <w:noProof/>
        </w:rPr>
        <w:t>Volume</w:t>
      </w:r>
      <w:r w:rsidRPr="00FA775C">
        <w:rPr>
          <w:noProof/>
        </w:rPr>
        <w:t xml:space="preserve"> 1, </w:t>
      </w:r>
      <w:r>
        <w:rPr>
          <w:noProof/>
        </w:rPr>
        <w:t>N</w:t>
      </w:r>
      <w:r w:rsidRPr="00FA775C">
        <w:rPr>
          <w:noProof/>
        </w:rPr>
        <w:t>o</w:t>
      </w:r>
      <w:r>
        <w:rPr>
          <w:noProof/>
        </w:rPr>
        <w:t>mor</w:t>
      </w:r>
      <w:r w:rsidRPr="00FA775C">
        <w:rPr>
          <w:noProof/>
        </w:rPr>
        <w:t xml:space="preserve"> 2 (2013)</w:t>
      </w:r>
      <w:r>
        <w:rPr>
          <w:noProof/>
        </w:rPr>
        <w:t xml:space="preserve">, </w:t>
      </w:r>
      <w:r w:rsidRPr="00FA775C">
        <w:rPr>
          <w:noProof/>
        </w:rPr>
        <w:t>8</w:t>
      </w:r>
      <w:r>
        <w:rPr>
          <w:noProof/>
        </w:rPr>
        <w:t>-</w:t>
      </w:r>
      <w:r w:rsidRPr="00FA775C">
        <w:rPr>
          <w:noProof/>
        </w:rPr>
        <w:t>19.</w:t>
      </w:r>
      <w:r>
        <w:fldChar w:fldCharType="end"/>
      </w:r>
    </w:p>
  </w:footnote>
  <w:footnote w:id="26">
    <w:p w14:paraId="73F751CD" w14:textId="7ADE94EF"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{"citationItems":[{"id":"ITEM-1","itemData":{"abstract":"Pasca wafatnya Rasulullah Saw, permasalahan yang menyangkut agama terus bermunculan. Terlebih permasalahan fikih, yang tidak hanya permasalah klasik, tetapi permasalah baru pun muncul, yang tentu saja membutuhkan penyelesaian ijtihad dari para ulama. Maka Ulama merumuskan kaidah-kaidah(metodologi) guna mempermudah bagi kaum muslimin untuk mengambil hukum atas suatu permasalahan yang sifatnya ijtihadi. Tulisan ini akan membahas satu metode diantara metode-metode yang diperselisihkan (al-mukhtalaf fiha) yaitu metode al- istihsan serta perbedaan antara fuqaha hanafi dan fuqaha syafi‟i di dalam masalah ini, terutama pandangan fuqaha hanafiyah dan fuqaha syafi‟iyah juga titik temu di antara dua madzhab.Explanation methode dan studi komparasi menjadi metode dalam tulisan ini","author":[{"dropping-particle":"","family":"Habibullah","given":"Eka Sakti","non-dropping-particle":"","parse-names":false,"suffix":""}],"container-title":"Al Mashlahah Jurnal Hukum Dan Pranata Sosial Islam","id":"ITEM-1","issue":"7","issued":{"date-parts":[["2016"]]},"page":"451-466","title":"Pandangan Imam Abu Hanifah Dan Imam Syafi'i Tentang Al-Istihsan","type":"article-journal","volume":"4"},"uris":["http://www.mendeley.com/documents/?uuid=51912e42-2717-48c7-80c6-fd165312a019"]}],"mendeley":{"formattedCitation":"Eka Sakti Habibullah, “Pandangan Imam Abu Hanifah Dan Imam Syafi’i Tentang Al-Istihsan,” &lt;i&gt;Al Mashlahah Jurnal Hukum Dan Pranata Sosial Islam&lt;/i&gt; 4, no. 7 (2016): 451–66.","manualFormatting":"Eka Sakti Habibullah, “Pandangan Imam Abu Hanifah dan Imam Syafi’i Tentang Al-Istihsan,” Al Mashlahah Jurnal Hukum Dan Pranata Sosial Islam, Volume 4, Nomor 7 (2016),  451-466.","plainTextFormattedCitation":"Eka Sakti Habibullah, “Pandangan Imam Abu Hanifah Dan Imam Syafi’i Tentang Al-Istihsan,” Al Mashlahah Jurnal Hukum Dan Pranata Sosial Islam 4, no. 7 (2016): 451–66.","previouslyFormattedCitation":"Eka Sakti Habibullah, “Pandangan Imam Abu Hanifah Dan Imam Syafi’i Tentang Al-Istihsan,” &lt;i&gt;Al Mashlahah Jurnal Hukum Dan Pranata Sosial Islam&lt;/i&gt; 4, no. 7 (2016): 451–66."},"properties":{"noteIndex":26},"schema":"https://github.com/citation-style-language/schema/raw/master/csl-citation.json"}</w:instrText>
      </w:r>
      <w:r>
        <w:fldChar w:fldCharType="separate"/>
      </w:r>
      <w:r w:rsidRPr="002C3475">
        <w:rPr>
          <w:noProof/>
        </w:rPr>
        <w:t xml:space="preserve">Eka Sakti Habibullah, “Pandangan Imam Abu Hanifah </w:t>
      </w:r>
      <w:r>
        <w:rPr>
          <w:noProof/>
        </w:rPr>
        <w:t>d</w:t>
      </w:r>
      <w:r w:rsidRPr="002C3475">
        <w:rPr>
          <w:noProof/>
        </w:rPr>
        <w:t xml:space="preserve">an Imam Syafi’i Tentang Al-Istihsan,” </w:t>
      </w:r>
      <w:r w:rsidRPr="002C3475">
        <w:rPr>
          <w:i/>
          <w:noProof/>
        </w:rPr>
        <w:t>Al Mashlahah Jurnal Hukum Dan Pranata Sosial Islam</w:t>
      </w:r>
      <w:r>
        <w:rPr>
          <w:iCs/>
          <w:noProof/>
        </w:rPr>
        <w:t>, Volume</w:t>
      </w:r>
      <w:r w:rsidRPr="002C3475">
        <w:rPr>
          <w:noProof/>
        </w:rPr>
        <w:t xml:space="preserve"> 4, </w:t>
      </w:r>
      <w:r>
        <w:rPr>
          <w:noProof/>
        </w:rPr>
        <w:t>N</w:t>
      </w:r>
      <w:r w:rsidRPr="002C3475">
        <w:rPr>
          <w:noProof/>
        </w:rPr>
        <w:t>o</w:t>
      </w:r>
      <w:r>
        <w:rPr>
          <w:noProof/>
        </w:rPr>
        <w:t>mor</w:t>
      </w:r>
      <w:r w:rsidRPr="002C3475">
        <w:rPr>
          <w:noProof/>
        </w:rPr>
        <w:t xml:space="preserve"> 7 (2016)</w:t>
      </w:r>
      <w:r>
        <w:rPr>
          <w:noProof/>
        </w:rPr>
        <w:t xml:space="preserve">, </w:t>
      </w:r>
      <w:r w:rsidRPr="002C3475">
        <w:rPr>
          <w:noProof/>
        </w:rPr>
        <w:t xml:space="preserve"> 451</w:t>
      </w:r>
      <w:r>
        <w:rPr>
          <w:noProof/>
        </w:rPr>
        <w:t>-4</w:t>
      </w:r>
      <w:r w:rsidRPr="002C3475">
        <w:rPr>
          <w:noProof/>
        </w:rPr>
        <w:t>66.</w:t>
      </w:r>
      <w:r>
        <w:fldChar w:fldCharType="end"/>
      </w:r>
    </w:p>
  </w:footnote>
  <w:footnote w:id="27">
    <w:p w14:paraId="720A2D9D" w14:textId="4F59199A"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{"citationItems":[{"id":"ITEM-1","itemData":{"DOI":"10.30631/alrisalah.v15i01.379","ISSN":"1412-436X","abstract":" Istihsan adalah salah satu dalil dalam urutan tertib dalil hukum dalam Islam. Kewenangan dan kehujjah-annya diperdebatkan oleh ulama hukum Islam. Secara garis besar terdapat dua versi pandangan ulama tentang ke-hujjah-an istihsan tersebut. Versi pertama memandangnya sebagai salah satu dalil hukum yang mempunyai kewenangan dan ke-hujjah-an yang dipelopori oleh Imam Abu Hanifah. Sementara versi kedua beranggapan bahwa istihsan tidak dapat dijadikan sebagai dalil hukum, versi kedua ini dipelopori oleh Imam Syafi’i. Sejauh yang ditolak oleh Imam Syafi’I,  di mana istihsan yang tidak bersandar kepada keterangan (alkhabar) dari salah satu empat dalil syara’, yaitu al. Qur’an, sunnah, ijma’ dan qiyas. Adapun istihsan yang dipegang oleh golongan Malikiyah dan Hanafiyah pada hakikatnya tidak ditolak oleh Imam Syafi’i, karena istihsan dalam pandangan mereka (yang memegang istihsan) bersandarkan kepada dalil-dalil yang diakui oleh Imam Syafi’i. Hanya saja istihsan yang bersandar kepada dalil dalam pandangan Imam Syafi’i itu bukanlah istihsan namanya. Jadi perbedaannya hanya perbedaan semantick (Khulful al-Laf)","author":[{"dropping-particle":"","family":"Hasan","given":"Bakhtiar","non-dropping-particle":"","parse-names":false,"suffix":""}],"container-title":"Al-Risalah: Forum Kajian Hukum dan Sosial Kemasyarakatan","id":"ITEM-1","issue":"01","issued":{"date-parts":[["2018"]]},"page":"58-73","title":"Penolakan Imam Syafi'i Terhadap Istihsan Sebagai Salah Satu Metode Istinbath Hukum Islam","type":"article-journal","volume":"15"},"uris":["http://www.mendeley.com/documents/?uuid=7b7716d0-94d2-44f9-8d3c-3d5512585956"]}],"mendeley":{"formattedCitation":"Bakhtiar Hasan, “Penolakan Imam Syafi’i Terhadap Istihsan Sebagai Salah Satu Metode Istinbath Hukum Islam,” &lt;i&gt;Al-Risalah: Forum Kajian Hukum Dan Sosial Kemasyarakatan&lt;/i&gt; 15, no. 01 (2018): 58–73, https://doi.org/10.30631/alrisalah.v15i01.379.","manualFormatting":"Bakhtiar Hasan, “Penolakan Imam Syafi’i Terhadap Istihsan Sebagai Salah Satu Metode Istinbath Hukum Islam,” Al-Risalah: Forum Kajian Hukum Dan Sosial Kemasyarakatan, Volume 15, Nomor 01 (2018), 58-73.","plainTextFormattedCitation":"Bakhtiar Hasan, “Penolakan Imam Syafi’i Terhadap Istihsan Sebagai Salah Satu Metode Istinbath Hukum Islam,” Al-Risalah: Forum Kajian Hukum Dan Sosial Kemasyarakatan 15, no. 01 (2018): 58–73, https://doi.org/10.30631/alrisalah.v15i01.379.","previouslyFormattedCitation":"Bakhtiar Hasan, “Penolakan Imam Syafi’i Terhadap Istihsan Sebagai Salah Satu Metode Istinbath Hukum Islam,” &lt;i&gt;Al-Risalah: Forum Kajian Hukum Dan Sosial Kemasyarakatan&lt;/i&gt; 15, no. 01 (2018): 58–73, https://doi.org/10.30631/alrisalah.v15i01.379."},"properties":{"noteIndex":27},"schema":"https://github.com/citation-style-language/schema/raw/master/csl-citation.json"}</w:instrText>
      </w:r>
      <w:r>
        <w:fldChar w:fldCharType="separate"/>
      </w:r>
      <w:r w:rsidRPr="00DD6A93">
        <w:rPr>
          <w:noProof/>
        </w:rPr>
        <w:t xml:space="preserve">Bakhtiar Hasan, “Penolakan Imam Syafi’i Terhadap Istihsan Sebagai Salah Satu Metode Istinbath Hukum Islam,” </w:t>
      </w:r>
      <w:r w:rsidRPr="00DD6A93">
        <w:rPr>
          <w:i/>
          <w:noProof/>
        </w:rPr>
        <w:t>Al-Risalah: Forum Kajian Hukum Dan Sosial Kemasyarakatan</w:t>
      </w:r>
      <w:r>
        <w:rPr>
          <w:iCs/>
          <w:noProof/>
        </w:rPr>
        <w:t>, Volume</w:t>
      </w:r>
      <w:r w:rsidRPr="00DD6A93">
        <w:rPr>
          <w:noProof/>
        </w:rPr>
        <w:t xml:space="preserve"> 15, </w:t>
      </w:r>
      <w:r>
        <w:rPr>
          <w:noProof/>
        </w:rPr>
        <w:t xml:space="preserve">Nomor </w:t>
      </w:r>
      <w:r w:rsidRPr="00DD6A93">
        <w:rPr>
          <w:noProof/>
        </w:rPr>
        <w:t>01 (2018)</w:t>
      </w:r>
      <w:r>
        <w:rPr>
          <w:noProof/>
        </w:rPr>
        <w:t xml:space="preserve">, </w:t>
      </w:r>
      <w:r w:rsidRPr="00DD6A93">
        <w:rPr>
          <w:noProof/>
        </w:rPr>
        <w:t>58</w:t>
      </w:r>
      <w:r>
        <w:rPr>
          <w:noProof/>
        </w:rPr>
        <w:t>-</w:t>
      </w:r>
      <w:r w:rsidRPr="00DD6A93">
        <w:rPr>
          <w:noProof/>
        </w:rPr>
        <w:t>73.</w:t>
      </w:r>
      <w:r>
        <w:fldChar w:fldCharType="end"/>
      </w:r>
    </w:p>
  </w:footnote>
  <w:footnote w:id="28">
    <w:p w14:paraId="0B84E1E4" w14:textId="675230F2"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{"citationItems":[{"id":"ITEM-1","itemData":{"author":[{"dropping-particle":"","family":"Repelita","given":"","non-dropping-particle":"","parse-names":false,"suffix":""}],"id":"ITEM-1","issued":{"date-parts":[["2021"]]},"page":"71-88","title":"ISTIHSÂN MENURUT PANDANGAN AL-SYÂFI’Î DAN IBNU HAZM AL-ẒÂHIRÎ","type":"article-journal","volume":"XXII"},"uris":["http://www.mendeley.com/documents/?uuid=b00ce4d0-609a-4f16-b267-d5c37c670324"]}],"mendeley":{"formattedCitation":"Repelita, “ISTIHSÂN MENURUT PANDANGAN AL-SYÂFI’Î DAN IBNU HAZM AL-ẒÂHIRÎ” XXII (2021): 71–88.","manualFormatting":"Repelita, “Istihsan Menurut Pandangan Al-Syafi’i dan Ibnu Hazm al-Zahiri,” Journal al-Ahkam, Volume 22, Nomor 1 (2021), 71-88.","plainTextFormattedCitation":"Repelita, “ISTIHSÂN MENURUT PANDANGAN AL-SYÂFI’Î DAN IBNU HAZM AL-ẒÂHIRÎ” XXII (2021): 71–88.","previouslyFormattedCitation":"Repelita, “ISTIHSÂN MENURUT PANDANGAN AL-SYÂFI’Î DAN IBNU HAZM AL-ẒÂHIRÎ” XXII (2021): 71–88."},"properties":{"noteIndex":28},"schema":"https://github.com/citation-style-language/schema/raw/master/csl-citation.json"}</w:instrText>
      </w:r>
      <w:r>
        <w:fldChar w:fldCharType="separate"/>
      </w:r>
      <w:r>
        <w:rPr>
          <w:noProof/>
        </w:rPr>
        <w:t>R</w:t>
      </w:r>
      <w:r w:rsidRPr="0013317C">
        <w:rPr>
          <w:noProof/>
        </w:rPr>
        <w:t>epelita, “Istihs</w:t>
      </w:r>
      <w:r>
        <w:rPr>
          <w:noProof/>
        </w:rPr>
        <w:t>a</w:t>
      </w:r>
      <w:r w:rsidRPr="0013317C">
        <w:rPr>
          <w:noProof/>
        </w:rPr>
        <w:t>n Menurut Pandangan Al-Sy</w:t>
      </w:r>
      <w:r>
        <w:rPr>
          <w:noProof/>
        </w:rPr>
        <w:t>a</w:t>
      </w:r>
      <w:r w:rsidRPr="0013317C">
        <w:rPr>
          <w:noProof/>
        </w:rPr>
        <w:t>fi’</w:t>
      </w:r>
      <w:r>
        <w:rPr>
          <w:noProof/>
        </w:rPr>
        <w:t>i</w:t>
      </w:r>
      <w:r w:rsidRPr="0013317C">
        <w:rPr>
          <w:noProof/>
        </w:rPr>
        <w:t xml:space="preserve"> </w:t>
      </w:r>
      <w:r>
        <w:rPr>
          <w:noProof/>
        </w:rPr>
        <w:t>d</w:t>
      </w:r>
      <w:r w:rsidRPr="0013317C">
        <w:rPr>
          <w:noProof/>
        </w:rPr>
        <w:t xml:space="preserve">an Ibnu Hazm </w:t>
      </w:r>
      <w:r>
        <w:rPr>
          <w:noProof/>
        </w:rPr>
        <w:t>a</w:t>
      </w:r>
      <w:r w:rsidRPr="0013317C">
        <w:rPr>
          <w:noProof/>
        </w:rPr>
        <w:t>l-</w:t>
      </w:r>
      <w:r>
        <w:rPr>
          <w:noProof/>
        </w:rPr>
        <w:t>Za</w:t>
      </w:r>
      <w:r w:rsidRPr="0013317C">
        <w:rPr>
          <w:noProof/>
        </w:rPr>
        <w:t>hir</w:t>
      </w:r>
      <w:r>
        <w:rPr>
          <w:noProof/>
        </w:rPr>
        <w:t>i,</w:t>
      </w:r>
      <w:r w:rsidRPr="0013317C">
        <w:rPr>
          <w:noProof/>
        </w:rPr>
        <w:t xml:space="preserve">” </w:t>
      </w:r>
      <w:r w:rsidRPr="00B34797">
        <w:rPr>
          <w:i/>
          <w:iCs/>
          <w:noProof/>
        </w:rPr>
        <w:t>Journal al-Ahkam</w:t>
      </w:r>
      <w:r>
        <w:rPr>
          <w:noProof/>
        </w:rPr>
        <w:t>, Volume 22, Nomor 1</w:t>
      </w:r>
      <w:r w:rsidRPr="0013317C">
        <w:rPr>
          <w:noProof/>
        </w:rPr>
        <w:t xml:space="preserve"> (2021)</w:t>
      </w:r>
      <w:r>
        <w:rPr>
          <w:noProof/>
        </w:rPr>
        <w:t xml:space="preserve">, </w:t>
      </w:r>
      <w:r w:rsidRPr="0013317C">
        <w:rPr>
          <w:noProof/>
        </w:rPr>
        <w:t>71</w:t>
      </w:r>
      <w:r>
        <w:rPr>
          <w:noProof/>
        </w:rPr>
        <w:t>-</w:t>
      </w:r>
      <w:r w:rsidRPr="0013317C">
        <w:rPr>
          <w:noProof/>
        </w:rPr>
        <w:t>88.</w:t>
      </w:r>
      <w:r>
        <w:fldChar w:fldCharType="end"/>
      </w:r>
    </w:p>
  </w:footnote>
  <w:footnote w:id="29">
    <w:p w14:paraId="03DA9311" w14:textId="43A5DC54"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{"citationItems":[{"id":"ITEM-1","itemData":{"abstract":"This article aims to examine the reasons for the views of Imam Abu Hamid Muhammad al-Ghazali in the Kitab of Al-Mustaṣfa min 'Ilmi Ushul which classifies Istihsan into the Mauhum argument (the argument that is admired). Istihsan is one of the ijtihad methods disputed by the scholars, although in reality, all scholars use it practically. Basically, the scholars use Istihsan in lughawi (language), which is \"to do something better\". But in terms of the term (which usually applies), scholars differ due to differences in understanding and defining \"Istihsan\". The method used is a qualitative method with a library research approach, with the finding that follows the best here (احسن (is the best from the propositions that have been revealed by Allah, not the best according to the inclination of reason alone. Furthermore , the argument that emerges inexplicably cannot be known whether it is imaginary or really exists. So tha t argument must be real, by taking it from the argument of Sharia, so that it appears real when he justifies or blames. So then, it is better to cancel Istihsan.","author":[{"dropping-particle":"","family":"&amp;","given":"Wardatun Nabilah","non-dropping-particle":"","parse-names":false,"suffix":""},{"dropping-particle":"","family":"Octavia","given":"Arifki Budia Warman &amp; Nurul Aini","non-dropping-particle":"","parse-names":false,"suffix":""}],"container-title":"Jurnal Ilmiah Syariah","id":"ITEM-1","issue":"1","issued":{"date-parts":[["2021"]]},"page":"78-89","title":"ISTIHSAN DALAM LITERATUR SYAFI ’ IYAH (TELAAH ISTIHSAN DALAM KITAB Al-MUSTA Ṣ FA Al-GHAZALI) Wardatun Nabilah, 1 Arifki Budia Warman 2, Nurul ‘Aini Octavia 3 1","type":"article-journal","volume":"29"},"uris":["http://www.mendeley.com/documents/?uuid=9a056796-9971-44d0-92d4-9ec9fab15a14"]}],"mendeley":{"formattedCitation":"&amp; Wardatun Nabilah and Arifki Budia Warman &amp; Nurul Aini Octavia, “ISTIHSAN DALAM LITERATUR SYAFI ’ IYAH (TELAAH ISTIHSAN DALAM KITAB Al-MUSTA Ṣ FA Al-GHAZALI) Wardatun Nabilah, 1 Arifki Budia Warman 2, Nurul ‘Aini Octavia 3 1,” &lt;i&gt;Jurnal Ilmiah Syariah&lt;/i&gt; 29, no. 1 (2021): 78–89.","manualFormatting":"Wardatun Nabilah, Arifki Budia Warman, and Nurul Aini Octavia, “Istihsan dalam Literatur Syafi'iyah (Telaah Istihsan dalam Kitab Al-Mustasfa Al-Ghazali),” Jurnal Ilmiah Syariah, Volume 29, Nomor 1 (2021), 78-89.","plainTextFormattedCitation":"&amp; Wardatun Nabilah and Arifki Budia Warman &amp; Nurul Aini Octavia, “ISTIHSAN DALAM LITERATUR SYAFI ’ IYAH (TELAAH ISTIHSAN DALAM KITAB Al-MUSTA Ṣ FA Al-GHAZALI) Wardatun Nabilah, 1 Arifki Budia Warman 2, Nurul ‘Aini Octavia 3 1,” Jurnal Ilmiah Syariah 29, no. 1 (2021): 78–89.","previouslyFormattedCitation":"&amp; Wardatun Nabilah and Arifki Budia Warman &amp; Nurul Aini Octavia, “ISTIHSAN DALAM LITERATUR SYAFI ’ IYAH (TELAAH ISTIHSAN DALAM KITAB Al-MUSTA Ṣ FA Al-GHAZALI) Wardatun Nabilah, 1 Arifki Budia Warman 2, Nurul ‘Aini Octavia 3 1,” &lt;i&gt;Jurnal Ilmiah Syariah&lt;/i&gt; 29, no. 1 (2021): 78–89."},"properties":{"noteIndex":29},"schema":"https://github.com/citation-style-language/schema/raw/master/csl-citation.json"}</w:instrText>
      </w:r>
      <w:r>
        <w:fldChar w:fldCharType="separate"/>
      </w:r>
      <w:r w:rsidRPr="00604C8A">
        <w:rPr>
          <w:noProof/>
        </w:rPr>
        <w:t>Wardatun Nabilah</w:t>
      </w:r>
      <w:r>
        <w:rPr>
          <w:noProof/>
        </w:rPr>
        <w:t xml:space="preserve">, </w:t>
      </w:r>
      <w:r w:rsidRPr="00604C8A">
        <w:rPr>
          <w:noProof/>
        </w:rPr>
        <w:t>Arifki Budia Warman</w:t>
      </w:r>
      <w:r>
        <w:rPr>
          <w:noProof/>
        </w:rPr>
        <w:t>, and</w:t>
      </w:r>
      <w:r w:rsidRPr="00604C8A">
        <w:rPr>
          <w:noProof/>
        </w:rPr>
        <w:t xml:space="preserve"> Nurul Aini Octavia, “</w:t>
      </w:r>
      <w:r>
        <w:rPr>
          <w:noProof/>
        </w:rPr>
        <w:t>Istihsan dalam Literatur Syafi'iyah</w:t>
      </w:r>
      <w:r w:rsidRPr="00604C8A">
        <w:rPr>
          <w:noProof/>
        </w:rPr>
        <w:t xml:space="preserve"> (T</w:t>
      </w:r>
      <w:r>
        <w:rPr>
          <w:noProof/>
        </w:rPr>
        <w:t xml:space="preserve">elaah </w:t>
      </w:r>
      <w:r w:rsidRPr="00604C8A">
        <w:rPr>
          <w:noProof/>
        </w:rPr>
        <w:t>I</w:t>
      </w:r>
      <w:r>
        <w:rPr>
          <w:noProof/>
        </w:rPr>
        <w:t xml:space="preserve">stihsan dalam </w:t>
      </w:r>
      <w:r w:rsidRPr="00604C8A">
        <w:rPr>
          <w:noProof/>
        </w:rPr>
        <w:t>K</w:t>
      </w:r>
      <w:r>
        <w:rPr>
          <w:noProof/>
        </w:rPr>
        <w:t>itab Al-Mustasfa Al-Ghazali)</w:t>
      </w:r>
      <w:r w:rsidRPr="00604C8A">
        <w:rPr>
          <w:noProof/>
        </w:rPr>
        <w:t xml:space="preserve">,” </w:t>
      </w:r>
      <w:r w:rsidRPr="00604C8A">
        <w:rPr>
          <w:i/>
          <w:noProof/>
        </w:rPr>
        <w:t>Jurnal Ilmiah Syariah</w:t>
      </w:r>
      <w:r>
        <w:rPr>
          <w:iCs/>
          <w:noProof/>
        </w:rPr>
        <w:t>, Volume</w:t>
      </w:r>
      <w:r w:rsidRPr="00604C8A">
        <w:rPr>
          <w:noProof/>
        </w:rPr>
        <w:t xml:space="preserve"> 29, </w:t>
      </w:r>
      <w:r>
        <w:rPr>
          <w:noProof/>
        </w:rPr>
        <w:t>N</w:t>
      </w:r>
      <w:r w:rsidRPr="00604C8A">
        <w:rPr>
          <w:noProof/>
        </w:rPr>
        <w:t>o</w:t>
      </w:r>
      <w:r>
        <w:rPr>
          <w:noProof/>
        </w:rPr>
        <w:t xml:space="preserve">mor </w:t>
      </w:r>
      <w:r w:rsidRPr="00604C8A">
        <w:rPr>
          <w:noProof/>
        </w:rPr>
        <w:t>1 (2021)</w:t>
      </w:r>
      <w:r>
        <w:rPr>
          <w:noProof/>
        </w:rPr>
        <w:t xml:space="preserve">, </w:t>
      </w:r>
      <w:r w:rsidRPr="00604C8A">
        <w:rPr>
          <w:noProof/>
        </w:rPr>
        <w:t>78</w:t>
      </w:r>
      <w:r>
        <w:rPr>
          <w:noProof/>
        </w:rPr>
        <w:t>-</w:t>
      </w:r>
      <w:r w:rsidRPr="00604C8A">
        <w:rPr>
          <w:noProof/>
        </w:rPr>
        <w:t>89.</w:t>
      </w:r>
      <w:r>
        <w:fldChar w:fldCharType="end"/>
      </w:r>
    </w:p>
  </w:footnote>
  <w:footnote w:id="30">
    <w:p w14:paraId="73489F3B" w14:textId="2986CFD1" w:rsidR="0060333C" w:rsidRDefault="0060333C" w:rsidP="00485C93">
      <w:pPr>
        <w:pStyle w:val="FootnoteText"/>
        <w:ind w:firstLine="360"/>
        <w:jc w:val="both"/>
      </w:pPr>
      <w:r>
        <w:rPr>
          <w:rStyle w:val="FootnoteReference"/>
        </w:rPr>
        <w:footnoteRef/>
      </w:r>
      <w:r>
        <w:fldChar w:fldCharType="begin" w:fldLock="1"/>
      </w:r>
      <w:r>
        <w:instrText>ADDIN CSL_CITATION {"citationItems":[{"id":"ITEM-1","itemData":{"abstract":"… 24 QS Al-Maidah: 48 25 Wahbah az-Zuhaili, Ushul al-Fiqh, p. 749, Abu al-Hasan Al-Mawardi, al- Hawi al-Kabir … Banyaknya kritikan yang ditujukan pada beliau dan bahkan ada yang meragukan ketokohannya dalam bidang fikih menjadikan para sahabat dan murid Abu Hanifah …","author":[{"dropping-particle":"","family":"Nashirudin","given":"Muhammad","non-dropping-particle":"","parse-names":false,"suffix":""}],"container-title":"Asy-Syir'ah","id":"ITEM-1","issue":"I","issued":{"date-parts":[["2009"]]},"page":"170","title":"Istihsan dan Formulasinya (Pro Kontra Istihsan dalam pandangan Mazhab Hanafi dan Syafi'i)","type":"article-journal","volume":"43"},"uris":["http://www.mendeley.com/documents/?uuid=cb9aaba5-888c-4245-a64a-45d524ce250f"]}],"mendeley":{"formattedCitation":"Muhammad Nashirudin, “Istihsan Dan Formulasinya (Pro Kontra Istihsan Dalam Pandangan Mazhab Hanafi Dan Syafi’i),” &lt;i&gt;Asy-Syir’ah&lt;/i&gt; 43, no. I (2009): 170.","manualFormatting":"Muhammad Nashirudin, “Istihsan dan Formulasinya (Pro Kontra Istihsan dalam Pandangan Mazhab Hanafi dan Syafi’i),” Asy-Syir’ah, Nomor  43, Nomor 1 (2009), 161-182.","plainTextFormattedCitation":"Muhammad Nashirudin, “Istihsan Dan Formulasinya (Pro Kontra Istihsan Dalam Pandangan Mazhab Hanafi Dan Syafi’i),” Asy-Syir’ah 43, no. I (2009): 170.","previouslyFormattedCitation":"Muhammad Nashirudin, “Istihsan Dan Formulasinya (Pro Kontra Istihsan Dalam Pandangan Mazhab Hanafi Dan Syafi’i),” &lt;i&gt;Asy-Syir’ah&lt;/i&gt; 43, no. I (2009): 170."},"properties":{"noteIndex":30},"schema":"https://github.com/citation-style-language/schema/raw/master/csl-citation.json"}</w:instrText>
      </w:r>
      <w:r>
        <w:fldChar w:fldCharType="separate"/>
      </w:r>
      <w:r w:rsidRPr="002C3475">
        <w:rPr>
          <w:noProof/>
        </w:rPr>
        <w:t xml:space="preserve">Muhammad Nashirudin, “Istihsan </w:t>
      </w:r>
      <w:r>
        <w:rPr>
          <w:noProof/>
        </w:rPr>
        <w:t>d</w:t>
      </w:r>
      <w:r w:rsidRPr="002C3475">
        <w:rPr>
          <w:noProof/>
        </w:rPr>
        <w:t xml:space="preserve">an Formulasinya (Pro Kontra Istihsan </w:t>
      </w:r>
      <w:r>
        <w:rPr>
          <w:noProof/>
        </w:rPr>
        <w:t>d</w:t>
      </w:r>
      <w:r w:rsidRPr="002C3475">
        <w:rPr>
          <w:noProof/>
        </w:rPr>
        <w:t xml:space="preserve">alam Pandangan Mazhab Hanafi </w:t>
      </w:r>
      <w:r>
        <w:rPr>
          <w:noProof/>
        </w:rPr>
        <w:t>d</w:t>
      </w:r>
      <w:r w:rsidRPr="002C3475">
        <w:rPr>
          <w:noProof/>
        </w:rPr>
        <w:t xml:space="preserve">an Syafi’i),” </w:t>
      </w:r>
      <w:r w:rsidRPr="002C3475">
        <w:rPr>
          <w:i/>
          <w:noProof/>
        </w:rPr>
        <w:t>Asy-Syir’ah</w:t>
      </w:r>
      <w:r>
        <w:rPr>
          <w:iCs/>
          <w:noProof/>
        </w:rPr>
        <w:t>, Nomor</w:t>
      </w:r>
      <w:r>
        <w:rPr>
          <w:i/>
          <w:noProof/>
        </w:rPr>
        <w:t xml:space="preserve"> </w:t>
      </w:r>
      <w:r w:rsidRPr="002C3475">
        <w:rPr>
          <w:noProof/>
        </w:rPr>
        <w:t xml:space="preserve"> 43, </w:t>
      </w:r>
      <w:r>
        <w:rPr>
          <w:noProof/>
        </w:rPr>
        <w:t>Nomor 1</w:t>
      </w:r>
      <w:r w:rsidRPr="002C3475">
        <w:rPr>
          <w:noProof/>
        </w:rPr>
        <w:t xml:space="preserve"> (2009)</w:t>
      </w:r>
      <w:r>
        <w:rPr>
          <w:noProof/>
        </w:rPr>
        <w:t>, 161-182</w:t>
      </w:r>
      <w:r w:rsidRPr="002C3475">
        <w:rPr>
          <w:noProof/>
        </w:rPr>
        <w:t>.</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17AC" w14:textId="1CE7DF2C" w:rsidR="0060333C" w:rsidRDefault="0060333C">
    <w:pPr>
      <w:pStyle w:val="Header"/>
      <w:jc w:val="right"/>
    </w:pPr>
    <w:r>
      <w:fldChar w:fldCharType="begin"/>
    </w:r>
    <w:r>
      <w:instrText xml:space="preserve"> PAGE   \* MERGEFORMAT </w:instrText>
    </w:r>
    <w:r>
      <w:fldChar w:fldCharType="separate"/>
    </w:r>
    <w:r w:rsidR="00B82F6F">
      <w:rPr>
        <w:noProof/>
      </w:rPr>
      <w:t>1</w:t>
    </w:r>
    <w:r>
      <w:fldChar w:fldCharType="end"/>
    </w:r>
  </w:p>
  <w:p w14:paraId="2594FA93" w14:textId="77777777" w:rsidR="0060333C" w:rsidRDefault="00603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EAD"/>
    <w:multiLevelType w:val="hybridMultilevel"/>
    <w:tmpl w:val="2EE8D47E"/>
    <w:lvl w:ilvl="0" w:tplc="7824754C">
      <w:start w:val="1"/>
      <w:numFmt w:val="decimal"/>
      <w:lvlText w:val="%1."/>
      <w:lvlJc w:val="left"/>
      <w:pPr>
        <w:ind w:left="780" w:hanging="360"/>
      </w:pPr>
      <w:rPr>
        <w:rFonts w:hint="default"/>
        <w:i w:val="0"/>
        <w:iCs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15:restartNumberingAfterBreak="0">
    <w:nsid w:val="08275F34"/>
    <w:multiLevelType w:val="hybridMultilevel"/>
    <w:tmpl w:val="434C48B2"/>
    <w:lvl w:ilvl="0" w:tplc="04210019">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 w15:restartNumberingAfterBreak="0">
    <w:nsid w:val="0D0478CB"/>
    <w:multiLevelType w:val="hybridMultilevel"/>
    <w:tmpl w:val="7FD811E4"/>
    <w:lvl w:ilvl="0" w:tplc="006801F6">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 w15:restartNumberingAfterBreak="0">
    <w:nsid w:val="127F50A6"/>
    <w:multiLevelType w:val="hybridMultilevel"/>
    <w:tmpl w:val="CAFA5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05D1B"/>
    <w:multiLevelType w:val="hybridMultilevel"/>
    <w:tmpl w:val="63ECB27A"/>
    <w:lvl w:ilvl="0" w:tplc="D6C871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B6E6F0B"/>
    <w:multiLevelType w:val="hybridMultilevel"/>
    <w:tmpl w:val="503C7F08"/>
    <w:lvl w:ilvl="0" w:tplc="71E0351E">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6" w15:restartNumberingAfterBreak="0">
    <w:nsid w:val="2230392F"/>
    <w:multiLevelType w:val="hybridMultilevel"/>
    <w:tmpl w:val="341224AE"/>
    <w:lvl w:ilvl="0" w:tplc="99CA8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912D8"/>
    <w:multiLevelType w:val="hybridMultilevel"/>
    <w:tmpl w:val="1F82FF4E"/>
    <w:lvl w:ilvl="0" w:tplc="7436A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C34AD"/>
    <w:multiLevelType w:val="hybridMultilevel"/>
    <w:tmpl w:val="96E67EE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A5660AE"/>
    <w:multiLevelType w:val="hybridMultilevel"/>
    <w:tmpl w:val="95C4FBFA"/>
    <w:lvl w:ilvl="0" w:tplc="44E68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755BD"/>
    <w:multiLevelType w:val="hybridMultilevel"/>
    <w:tmpl w:val="A88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575C3"/>
    <w:multiLevelType w:val="hybridMultilevel"/>
    <w:tmpl w:val="31108A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C5881"/>
    <w:multiLevelType w:val="hybridMultilevel"/>
    <w:tmpl w:val="18001DA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9582FAA"/>
    <w:multiLevelType w:val="hybridMultilevel"/>
    <w:tmpl w:val="59629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D7E1E"/>
    <w:multiLevelType w:val="hybridMultilevel"/>
    <w:tmpl w:val="BEA68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15239"/>
    <w:multiLevelType w:val="hybridMultilevel"/>
    <w:tmpl w:val="86F03822"/>
    <w:lvl w:ilvl="0" w:tplc="F35A56D4">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47F659D0"/>
    <w:multiLevelType w:val="hybridMultilevel"/>
    <w:tmpl w:val="33DA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64B24"/>
    <w:multiLevelType w:val="hybridMultilevel"/>
    <w:tmpl w:val="D2CA22D8"/>
    <w:lvl w:ilvl="0" w:tplc="886053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DA57593"/>
    <w:multiLevelType w:val="hybridMultilevel"/>
    <w:tmpl w:val="19344AB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0EE098D"/>
    <w:multiLevelType w:val="hybridMultilevel"/>
    <w:tmpl w:val="25989796"/>
    <w:lvl w:ilvl="0" w:tplc="BFEEC5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8557775"/>
    <w:multiLevelType w:val="hybridMultilevel"/>
    <w:tmpl w:val="14B0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D4F34"/>
    <w:multiLevelType w:val="hybridMultilevel"/>
    <w:tmpl w:val="104CACFC"/>
    <w:lvl w:ilvl="0" w:tplc="0421000F">
      <w:start w:val="1"/>
      <w:numFmt w:val="decimal"/>
      <w:lvlText w:val="%1."/>
      <w:lvlJc w:val="left"/>
      <w:pPr>
        <w:ind w:left="930" w:hanging="360"/>
      </w:pPr>
    </w:lvl>
    <w:lvl w:ilvl="1" w:tplc="B64E5AB4">
      <w:start w:val="1"/>
      <w:numFmt w:val="decimal"/>
      <w:lvlText w:val="%2."/>
      <w:lvlJc w:val="left"/>
      <w:pPr>
        <w:ind w:left="1650" w:hanging="360"/>
      </w:pPr>
      <w:rPr>
        <w:i w:val="0"/>
        <w:iCs w:val="0"/>
      </w:rPr>
    </w:lvl>
    <w:lvl w:ilvl="2" w:tplc="04210019">
      <w:start w:val="1"/>
      <w:numFmt w:val="lowerLetter"/>
      <w:lvlText w:val="%3."/>
      <w:lvlJc w:val="left"/>
      <w:pPr>
        <w:ind w:left="2550" w:hanging="360"/>
      </w:pPr>
      <w:rPr>
        <w:rFonts w:hint="default"/>
      </w:rPr>
    </w:lvl>
    <w:lvl w:ilvl="3" w:tplc="A964CE98">
      <w:start w:val="1"/>
      <w:numFmt w:val="decimal"/>
      <w:lvlText w:val="%4"/>
      <w:lvlJc w:val="left"/>
      <w:pPr>
        <w:ind w:left="3090" w:hanging="360"/>
      </w:pPr>
      <w:rPr>
        <w:rFonts w:hint="default"/>
      </w:r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22" w15:restartNumberingAfterBreak="0">
    <w:nsid w:val="71A63862"/>
    <w:multiLevelType w:val="hybridMultilevel"/>
    <w:tmpl w:val="A9F0CAD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7B455D09"/>
    <w:multiLevelType w:val="hybridMultilevel"/>
    <w:tmpl w:val="806C2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F4D64"/>
    <w:multiLevelType w:val="hybridMultilevel"/>
    <w:tmpl w:val="5DFAD65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rPr>
        <w:rFonts w:hint="default"/>
        <w:b w:val="0"/>
        <w:bCs w:val="0"/>
        <w:i w:val="0"/>
        <w:iCs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1"/>
  </w:num>
  <w:num w:numId="3">
    <w:abstractNumId w:val="24"/>
  </w:num>
  <w:num w:numId="4">
    <w:abstractNumId w:val="1"/>
  </w:num>
  <w:num w:numId="5">
    <w:abstractNumId w:val="0"/>
  </w:num>
  <w:num w:numId="6">
    <w:abstractNumId w:val="21"/>
  </w:num>
  <w:num w:numId="7">
    <w:abstractNumId w:val="2"/>
  </w:num>
  <w:num w:numId="8">
    <w:abstractNumId w:val="4"/>
  </w:num>
  <w:num w:numId="9">
    <w:abstractNumId w:val="19"/>
  </w:num>
  <w:num w:numId="10">
    <w:abstractNumId w:val="17"/>
  </w:num>
  <w:num w:numId="11">
    <w:abstractNumId w:val="5"/>
  </w:num>
  <w:num w:numId="12">
    <w:abstractNumId w:val="15"/>
  </w:num>
  <w:num w:numId="13">
    <w:abstractNumId w:val="8"/>
  </w:num>
  <w:num w:numId="14">
    <w:abstractNumId w:val="18"/>
  </w:num>
  <w:num w:numId="15">
    <w:abstractNumId w:val="12"/>
  </w:num>
  <w:num w:numId="16">
    <w:abstractNumId w:val="22"/>
  </w:num>
  <w:num w:numId="17">
    <w:abstractNumId w:val="14"/>
  </w:num>
  <w:num w:numId="18">
    <w:abstractNumId w:val="20"/>
  </w:num>
  <w:num w:numId="19">
    <w:abstractNumId w:val="3"/>
  </w:num>
  <w:num w:numId="20">
    <w:abstractNumId w:val="10"/>
  </w:num>
  <w:num w:numId="21">
    <w:abstractNumId w:val="9"/>
  </w:num>
  <w:num w:numId="22">
    <w:abstractNumId w:val="16"/>
  </w:num>
  <w:num w:numId="23">
    <w:abstractNumId w:val="23"/>
  </w:num>
  <w:num w:numId="24">
    <w:abstractNumId w:val="6"/>
  </w:num>
  <w:num w:numId="2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4BA"/>
    <w:rsid w:val="000007A7"/>
    <w:rsid w:val="0000091C"/>
    <w:rsid w:val="00000B1D"/>
    <w:rsid w:val="00000E3B"/>
    <w:rsid w:val="00002287"/>
    <w:rsid w:val="0000256D"/>
    <w:rsid w:val="000025FC"/>
    <w:rsid w:val="00002A15"/>
    <w:rsid w:val="0000338A"/>
    <w:rsid w:val="00003936"/>
    <w:rsid w:val="00003BE2"/>
    <w:rsid w:val="00003FEB"/>
    <w:rsid w:val="00004F8D"/>
    <w:rsid w:val="00005459"/>
    <w:rsid w:val="0001030F"/>
    <w:rsid w:val="00011148"/>
    <w:rsid w:val="000113E9"/>
    <w:rsid w:val="00011560"/>
    <w:rsid w:val="00011715"/>
    <w:rsid w:val="00011A57"/>
    <w:rsid w:val="00011FCA"/>
    <w:rsid w:val="000120C9"/>
    <w:rsid w:val="00012D6D"/>
    <w:rsid w:val="00012D79"/>
    <w:rsid w:val="00016B7A"/>
    <w:rsid w:val="00017CE7"/>
    <w:rsid w:val="00020AAC"/>
    <w:rsid w:val="000235F7"/>
    <w:rsid w:val="0002390E"/>
    <w:rsid w:val="0002606C"/>
    <w:rsid w:val="00027969"/>
    <w:rsid w:val="000326B5"/>
    <w:rsid w:val="00032784"/>
    <w:rsid w:val="00032FD0"/>
    <w:rsid w:val="0003533D"/>
    <w:rsid w:val="0003644E"/>
    <w:rsid w:val="0003676A"/>
    <w:rsid w:val="00036B09"/>
    <w:rsid w:val="0003708F"/>
    <w:rsid w:val="00037904"/>
    <w:rsid w:val="000401A5"/>
    <w:rsid w:val="00043102"/>
    <w:rsid w:val="000445E1"/>
    <w:rsid w:val="00046F6D"/>
    <w:rsid w:val="00050A3A"/>
    <w:rsid w:val="0005111E"/>
    <w:rsid w:val="000514BB"/>
    <w:rsid w:val="00051D85"/>
    <w:rsid w:val="000537BC"/>
    <w:rsid w:val="00054C40"/>
    <w:rsid w:val="00055E6D"/>
    <w:rsid w:val="00056471"/>
    <w:rsid w:val="00056A06"/>
    <w:rsid w:val="00060BE0"/>
    <w:rsid w:val="0006182C"/>
    <w:rsid w:val="0006217B"/>
    <w:rsid w:val="0006477A"/>
    <w:rsid w:val="000651C5"/>
    <w:rsid w:val="00067365"/>
    <w:rsid w:val="000673AE"/>
    <w:rsid w:val="000747A6"/>
    <w:rsid w:val="00074901"/>
    <w:rsid w:val="000754B4"/>
    <w:rsid w:val="00076095"/>
    <w:rsid w:val="00076910"/>
    <w:rsid w:val="00080243"/>
    <w:rsid w:val="0008095C"/>
    <w:rsid w:val="00080B8F"/>
    <w:rsid w:val="0008170F"/>
    <w:rsid w:val="00081CC2"/>
    <w:rsid w:val="00082DA4"/>
    <w:rsid w:val="00085041"/>
    <w:rsid w:val="00086F7F"/>
    <w:rsid w:val="00090489"/>
    <w:rsid w:val="000913FD"/>
    <w:rsid w:val="00092A4F"/>
    <w:rsid w:val="00092AD4"/>
    <w:rsid w:val="00092FEF"/>
    <w:rsid w:val="00094833"/>
    <w:rsid w:val="00096B63"/>
    <w:rsid w:val="00096DBC"/>
    <w:rsid w:val="00097D24"/>
    <w:rsid w:val="000A108F"/>
    <w:rsid w:val="000A18E4"/>
    <w:rsid w:val="000A5CA5"/>
    <w:rsid w:val="000B0747"/>
    <w:rsid w:val="000B283D"/>
    <w:rsid w:val="000B5907"/>
    <w:rsid w:val="000C1799"/>
    <w:rsid w:val="000C1BAC"/>
    <w:rsid w:val="000C2219"/>
    <w:rsid w:val="000C24AD"/>
    <w:rsid w:val="000C2B39"/>
    <w:rsid w:val="000C2C59"/>
    <w:rsid w:val="000C58B9"/>
    <w:rsid w:val="000C6AA8"/>
    <w:rsid w:val="000D034D"/>
    <w:rsid w:val="000D1248"/>
    <w:rsid w:val="000D27ED"/>
    <w:rsid w:val="000D5B7D"/>
    <w:rsid w:val="000D6EB2"/>
    <w:rsid w:val="000E0D00"/>
    <w:rsid w:val="000E4398"/>
    <w:rsid w:val="000E4A1D"/>
    <w:rsid w:val="000E52DA"/>
    <w:rsid w:val="000E55B8"/>
    <w:rsid w:val="000E58FA"/>
    <w:rsid w:val="000E70DD"/>
    <w:rsid w:val="000E7EB5"/>
    <w:rsid w:val="000F08E0"/>
    <w:rsid w:val="000F32B2"/>
    <w:rsid w:val="000F7751"/>
    <w:rsid w:val="000F79A6"/>
    <w:rsid w:val="001007E6"/>
    <w:rsid w:val="0010109E"/>
    <w:rsid w:val="001015F3"/>
    <w:rsid w:val="0010201B"/>
    <w:rsid w:val="00102C9D"/>
    <w:rsid w:val="00106D4A"/>
    <w:rsid w:val="00107C15"/>
    <w:rsid w:val="00110BF5"/>
    <w:rsid w:val="0011129E"/>
    <w:rsid w:val="00112417"/>
    <w:rsid w:val="0011261E"/>
    <w:rsid w:val="00116ED3"/>
    <w:rsid w:val="001178CE"/>
    <w:rsid w:val="00117D2A"/>
    <w:rsid w:val="0012340C"/>
    <w:rsid w:val="001238ED"/>
    <w:rsid w:val="00124312"/>
    <w:rsid w:val="00124D21"/>
    <w:rsid w:val="00125DDD"/>
    <w:rsid w:val="0012636D"/>
    <w:rsid w:val="00127228"/>
    <w:rsid w:val="00131B3F"/>
    <w:rsid w:val="00131BC5"/>
    <w:rsid w:val="00132625"/>
    <w:rsid w:val="0013317C"/>
    <w:rsid w:val="00133B8E"/>
    <w:rsid w:val="0013494B"/>
    <w:rsid w:val="001365BF"/>
    <w:rsid w:val="0013760C"/>
    <w:rsid w:val="0013791A"/>
    <w:rsid w:val="001407CB"/>
    <w:rsid w:val="001414BC"/>
    <w:rsid w:val="00141956"/>
    <w:rsid w:val="00143DE1"/>
    <w:rsid w:val="00145378"/>
    <w:rsid w:val="00145672"/>
    <w:rsid w:val="001457E2"/>
    <w:rsid w:val="00146AF3"/>
    <w:rsid w:val="0014717E"/>
    <w:rsid w:val="00147C1B"/>
    <w:rsid w:val="001514DA"/>
    <w:rsid w:val="001525D2"/>
    <w:rsid w:val="00152BDF"/>
    <w:rsid w:val="00157429"/>
    <w:rsid w:val="00157712"/>
    <w:rsid w:val="00161C70"/>
    <w:rsid w:val="001673EA"/>
    <w:rsid w:val="00170B81"/>
    <w:rsid w:val="0017110B"/>
    <w:rsid w:val="00172FE1"/>
    <w:rsid w:val="00175203"/>
    <w:rsid w:val="0017526E"/>
    <w:rsid w:val="0017595D"/>
    <w:rsid w:val="0017681B"/>
    <w:rsid w:val="00176F47"/>
    <w:rsid w:val="00177AFF"/>
    <w:rsid w:val="0018077B"/>
    <w:rsid w:val="0018151A"/>
    <w:rsid w:val="00182553"/>
    <w:rsid w:val="001838B6"/>
    <w:rsid w:val="0018452F"/>
    <w:rsid w:val="001847C4"/>
    <w:rsid w:val="0018595F"/>
    <w:rsid w:val="001870DA"/>
    <w:rsid w:val="0018742A"/>
    <w:rsid w:val="0019221D"/>
    <w:rsid w:val="00193827"/>
    <w:rsid w:val="00194614"/>
    <w:rsid w:val="0019612D"/>
    <w:rsid w:val="001962DA"/>
    <w:rsid w:val="001A2E0E"/>
    <w:rsid w:val="001A3BE7"/>
    <w:rsid w:val="001A3C4B"/>
    <w:rsid w:val="001A3DD2"/>
    <w:rsid w:val="001A4B30"/>
    <w:rsid w:val="001A62DF"/>
    <w:rsid w:val="001A678E"/>
    <w:rsid w:val="001A75FC"/>
    <w:rsid w:val="001B00F1"/>
    <w:rsid w:val="001B0F8D"/>
    <w:rsid w:val="001B1CDC"/>
    <w:rsid w:val="001B1DFB"/>
    <w:rsid w:val="001B32CD"/>
    <w:rsid w:val="001B3BE9"/>
    <w:rsid w:val="001B4BC2"/>
    <w:rsid w:val="001B5635"/>
    <w:rsid w:val="001B585B"/>
    <w:rsid w:val="001B6462"/>
    <w:rsid w:val="001B699A"/>
    <w:rsid w:val="001B6A7F"/>
    <w:rsid w:val="001B78A4"/>
    <w:rsid w:val="001C1A98"/>
    <w:rsid w:val="001C1C0D"/>
    <w:rsid w:val="001C2070"/>
    <w:rsid w:val="001C497E"/>
    <w:rsid w:val="001C4C5F"/>
    <w:rsid w:val="001C4D6C"/>
    <w:rsid w:val="001C60AD"/>
    <w:rsid w:val="001C60C4"/>
    <w:rsid w:val="001C64F5"/>
    <w:rsid w:val="001C6752"/>
    <w:rsid w:val="001C6E96"/>
    <w:rsid w:val="001D030C"/>
    <w:rsid w:val="001D03E9"/>
    <w:rsid w:val="001D1AEC"/>
    <w:rsid w:val="001D2F55"/>
    <w:rsid w:val="001D32E9"/>
    <w:rsid w:val="001D43A2"/>
    <w:rsid w:val="001D496E"/>
    <w:rsid w:val="001D55FA"/>
    <w:rsid w:val="001E4DA8"/>
    <w:rsid w:val="001E5950"/>
    <w:rsid w:val="001E6295"/>
    <w:rsid w:val="001E73AB"/>
    <w:rsid w:val="001F0D1C"/>
    <w:rsid w:val="001F1956"/>
    <w:rsid w:val="001F246D"/>
    <w:rsid w:val="001F3458"/>
    <w:rsid w:val="001F4B64"/>
    <w:rsid w:val="001F6AD4"/>
    <w:rsid w:val="001F6BEA"/>
    <w:rsid w:val="002021EE"/>
    <w:rsid w:val="0020283F"/>
    <w:rsid w:val="0020491E"/>
    <w:rsid w:val="00207559"/>
    <w:rsid w:val="00211AD0"/>
    <w:rsid w:val="00211AEC"/>
    <w:rsid w:val="002126E9"/>
    <w:rsid w:val="0021273D"/>
    <w:rsid w:val="00212DEE"/>
    <w:rsid w:val="00213297"/>
    <w:rsid w:val="002133FF"/>
    <w:rsid w:val="00213E8C"/>
    <w:rsid w:val="002141A6"/>
    <w:rsid w:val="002156BE"/>
    <w:rsid w:val="00216360"/>
    <w:rsid w:val="00222FAE"/>
    <w:rsid w:val="00225B4A"/>
    <w:rsid w:val="00226106"/>
    <w:rsid w:val="00227849"/>
    <w:rsid w:val="00230094"/>
    <w:rsid w:val="0023033C"/>
    <w:rsid w:val="00231C70"/>
    <w:rsid w:val="002347CD"/>
    <w:rsid w:val="002411ED"/>
    <w:rsid w:val="002439DF"/>
    <w:rsid w:val="00244149"/>
    <w:rsid w:val="00244B9C"/>
    <w:rsid w:val="00247D68"/>
    <w:rsid w:val="002503F7"/>
    <w:rsid w:val="00251D56"/>
    <w:rsid w:val="00252F22"/>
    <w:rsid w:val="00253451"/>
    <w:rsid w:val="00253887"/>
    <w:rsid w:val="00254CE4"/>
    <w:rsid w:val="00255FC4"/>
    <w:rsid w:val="00257131"/>
    <w:rsid w:val="00257E9E"/>
    <w:rsid w:val="002615FD"/>
    <w:rsid w:val="00261D5B"/>
    <w:rsid w:val="0026260A"/>
    <w:rsid w:val="002633FF"/>
    <w:rsid w:val="00265250"/>
    <w:rsid w:val="0026552D"/>
    <w:rsid w:val="0026694E"/>
    <w:rsid w:val="00270049"/>
    <w:rsid w:val="00273D12"/>
    <w:rsid w:val="002746E2"/>
    <w:rsid w:val="00277571"/>
    <w:rsid w:val="0028026D"/>
    <w:rsid w:val="0028072E"/>
    <w:rsid w:val="0028148F"/>
    <w:rsid w:val="0028158F"/>
    <w:rsid w:val="0028344B"/>
    <w:rsid w:val="00283989"/>
    <w:rsid w:val="0028531F"/>
    <w:rsid w:val="00286691"/>
    <w:rsid w:val="0029154F"/>
    <w:rsid w:val="002927EA"/>
    <w:rsid w:val="00294930"/>
    <w:rsid w:val="00295013"/>
    <w:rsid w:val="00295365"/>
    <w:rsid w:val="0029543C"/>
    <w:rsid w:val="00296125"/>
    <w:rsid w:val="00297720"/>
    <w:rsid w:val="002A242B"/>
    <w:rsid w:val="002A4185"/>
    <w:rsid w:val="002B04B5"/>
    <w:rsid w:val="002B05C6"/>
    <w:rsid w:val="002B080F"/>
    <w:rsid w:val="002B4F8D"/>
    <w:rsid w:val="002B6619"/>
    <w:rsid w:val="002C0F11"/>
    <w:rsid w:val="002C201C"/>
    <w:rsid w:val="002C2486"/>
    <w:rsid w:val="002C33A6"/>
    <w:rsid w:val="002C3475"/>
    <w:rsid w:val="002C3A35"/>
    <w:rsid w:val="002C3BB9"/>
    <w:rsid w:val="002C5BC3"/>
    <w:rsid w:val="002C6AC0"/>
    <w:rsid w:val="002C760F"/>
    <w:rsid w:val="002C7A0F"/>
    <w:rsid w:val="002D22D7"/>
    <w:rsid w:val="002D2D99"/>
    <w:rsid w:val="002D3664"/>
    <w:rsid w:val="002D44E5"/>
    <w:rsid w:val="002D48AA"/>
    <w:rsid w:val="002D5A13"/>
    <w:rsid w:val="002E0F97"/>
    <w:rsid w:val="002E1308"/>
    <w:rsid w:val="002E16AE"/>
    <w:rsid w:val="002E52D5"/>
    <w:rsid w:val="002E6051"/>
    <w:rsid w:val="002E6B55"/>
    <w:rsid w:val="002E71CA"/>
    <w:rsid w:val="002F0147"/>
    <w:rsid w:val="002F0455"/>
    <w:rsid w:val="002F3683"/>
    <w:rsid w:val="002F3F92"/>
    <w:rsid w:val="002F54D5"/>
    <w:rsid w:val="002F60C1"/>
    <w:rsid w:val="002F7F5C"/>
    <w:rsid w:val="003001AA"/>
    <w:rsid w:val="003010B6"/>
    <w:rsid w:val="003014D7"/>
    <w:rsid w:val="003050EB"/>
    <w:rsid w:val="003059EE"/>
    <w:rsid w:val="00305DAA"/>
    <w:rsid w:val="0031046C"/>
    <w:rsid w:val="003104AE"/>
    <w:rsid w:val="00314315"/>
    <w:rsid w:val="0031749B"/>
    <w:rsid w:val="0032118A"/>
    <w:rsid w:val="003219B3"/>
    <w:rsid w:val="003223A9"/>
    <w:rsid w:val="00323B9E"/>
    <w:rsid w:val="00324EAF"/>
    <w:rsid w:val="003258AE"/>
    <w:rsid w:val="003275CE"/>
    <w:rsid w:val="00332AF4"/>
    <w:rsid w:val="00332C1E"/>
    <w:rsid w:val="003334C3"/>
    <w:rsid w:val="003335A2"/>
    <w:rsid w:val="00334791"/>
    <w:rsid w:val="00336522"/>
    <w:rsid w:val="00337C9F"/>
    <w:rsid w:val="00340943"/>
    <w:rsid w:val="00342CFA"/>
    <w:rsid w:val="00342D61"/>
    <w:rsid w:val="00343054"/>
    <w:rsid w:val="0034402C"/>
    <w:rsid w:val="0034449B"/>
    <w:rsid w:val="0034509E"/>
    <w:rsid w:val="00346458"/>
    <w:rsid w:val="00346BF8"/>
    <w:rsid w:val="00346CD3"/>
    <w:rsid w:val="00347B49"/>
    <w:rsid w:val="00347DB8"/>
    <w:rsid w:val="00347EA7"/>
    <w:rsid w:val="00353105"/>
    <w:rsid w:val="00354A38"/>
    <w:rsid w:val="00356FA0"/>
    <w:rsid w:val="00360961"/>
    <w:rsid w:val="00360C39"/>
    <w:rsid w:val="0036177D"/>
    <w:rsid w:val="00363830"/>
    <w:rsid w:val="003671E7"/>
    <w:rsid w:val="003677C8"/>
    <w:rsid w:val="0037090F"/>
    <w:rsid w:val="00370E82"/>
    <w:rsid w:val="00372815"/>
    <w:rsid w:val="00374540"/>
    <w:rsid w:val="003777CB"/>
    <w:rsid w:val="00380960"/>
    <w:rsid w:val="003823E7"/>
    <w:rsid w:val="003827D9"/>
    <w:rsid w:val="00383F25"/>
    <w:rsid w:val="003846C1"/>
    <w:rsid w:val="00386D7C"/>
    <w:rsid w:val="00387890"/>
    <w:rsid w:val="00387EAD"/>
    <w:rsid w:val="00391D88"/>
    <w:rsid w:val="003921C4"/>
    <w:rsid w:val="00392538"/>
    <w:rsid w:val="003926DC"/>
    <w:rsid w:val="0039273E"/>
    <w:rsid w:val="00392FFC"/>
    <w:rsid w:val="003933BE"/>
    <w:rsid w:val="00393E1A"/>
    <w:rsid w:val="00395BC1"/>
    <w:rsid w:val="0039723A"/>
    <w:rsid w:val="003A0346"/>
    <w:rsid w:val="003A06AC"/>
    <w:rsid w:val="003A0DB0"/>
    <w:rsid w:val="003A39A4"/>
    <w:rsid w:val="003A42A4"/>
    <w:rsid w:val="003A5044"/>
    <w:rsid w:val="003A6A7F"/>
    <w:rsid w:val="003A79CF"/>
    <w:rsid w:val="003B1117"/>
    <w:rsid w:val="003B2D4E"/>
    <w:rsid w:val="003B3B5B"/>
    <w:rsid w:val="003B3C03"/>
    <w:rsid w:val="003B502F"/>
    <w:rsid w:val="003B51A2"/>
    <w:rsid w:val="003B52C0"/>
    <w:rsid w:val="003B53FF"/>
    <w:rsid w:val="003B57A0"/>
    <w:rsid w:val="003C1E9C"/>
    <w:rsid w:val="003C2CF3"/>
    <w:rsid w:val="003C3196"/>
    <w:rsid w:val="003C37CE"/>
    <w:rsid w:val="003C4A54"/>
    <w:rsid w:val="003C4DAC"/>
    <w:rsid w:val="003C585B"/>
    <w:rsid w:val="003C73E7"/>
    <w:rsid w:val="003C797A"/>
    <w:rsid w:val="003D33E4"/>
    <w:rsid w:val="003D75BB"/>
    <w:rsid w:val="003E01E7"/>
    <w:rsid w:val="003E07BD"/>
    <w:rsid w:val="003E1F39"/>
    <w:rsid w:val="003E32FA"/>
    <w:rsid w:val="003E3471"/>
    <w:rsid w:val="003E5E26"/>
    <w:rsid w:val="003E5EB1"/>
    <w:rsid w:val="003E6032"/>
    <w:rsid w:val="003F04DF"/>
    <w:rsid w:val="003F0544"/>
    <w:rsid w:val="003F29B5"/>
    <w:rsid w:val="003F4CCA"/>
    <w:rsid w:val="00402A62"/>
    <w:rsid w:val="004076E3"/>
    <w:rsid w:val="004115E1"/>
    <w:rsid w:val="004120C4"/>
    <w:rsid w:val="00415BAA"/>
    <w:rsid w:val="004168AF"/>
    <w:rsid w:val="00424C3E"/>
    <w:rsid w:val="00425635"/>
    <w:rsid w:val="00425FDC"/>
    <w:rsid w:val="00426446"/>
    <w:rsid w:val="00426F88"/>
    <w:rsid w:val="004271FA"/>
    <w:rsid w:val="00427454"/>
    <w:rsid w:val="004278C8"/>
    <w:rsid w:val="004304C6"/>
    <w:rsid w:val="004304CB"/>
    <w:rsid w:val="00432057"/>
    <w:rsid w:val="0043276A"/>
    <w:rsid w:val="0043370A"/>
    <w:rsid w:val="004345C1"/>
    <w:rsid w:val="004363F9"/>
    <w:rsid w:val="00436E72"/>
    <w:rsid w:val="00440716"/>
    <w:rsid w:val="00442831"/>
    <w:rsid w:val="004429AA"/>
    <w:rsid w:val="004454FD"/>
    <w:rsid w:val="0044569E"/>
    <w:rsid w:val="00451514"/>
    <w:rsid w:val="00451AF5"/>
    <w:rsid w:val="00454746"/>
    <w:rsid w:val="00454F89"/>
    <w:rsid w:val="00455BD6"/>
    <w:rsid w:val="00456186"/>
    <w:rsid w:val="00456831"/>
    <w:rsid w:val="00460AB5"/>
    <w:rsid w:val="00461E59"/>
    <w:rsid w:val="004643BB"/>
    <w:rsid w:val="00466477"/>
    <w:rsid w:val="00466AF6"/>
    <w:rsid w:val="00467177"/>
    <w:rsid w:val="00472BBF"/>
    <w:rsid w:val="00472F8D"/>
    <w:rsid w:val="004735AA"/>
    <w:rsid w:val="00473BEF"/>
    <w:rsid w:val="00474B2B"/>
    <w:rsid w:val="004765E0"/>
    <w:rsid w:val="00476B77"/>
    <w:rsid w:val="00477704"/>
    <w:rsid w:val="00480529"/>
    <w:rsid w:val="004807A7"/>
    <w:rsid w:val="004818CA"/>
    <w:rsid w:val="004834F3"/>
    <w:rsid w:val="00484211"/>
    <w:rsid w:val="00484C62"/>
    <w:rsid w:val="004859F4"/>
    <w:rsid w:val="00485C93"/>
    <w:rsid w:val="0049166D"/>
    <w:rsid w:val="00491F12"/>
    <w:rsid w:val="0049222E"/>
    <w:rsid w:val="00493D65"/>
    <w:rsid w:val="004946E4"/>
    <w:rsid w:val="00495E65"/>
    <w:rsid w:val="00496430"/>
    <w:rsid w:val="00496D37"/>
    <w:rsid w:val="00497461"/>
    <w:rsid w:val="004A0153"/>
    <w:rsid w:val="004A02AF"/>
    <w:rsid w:val="004A15B7"/>
    <w:rsid w:val="004A16FF"/>
    <w:rsid w:val="004A4045"/>
    <w:rsid w:val="004A6149"/>
    <w:rsid w:val="004A7E13"/>
    <w:rsid w:val="004B02FB"/>
    <w:rsid w:val="004B0DE7"/>
    <w:rsid w:val="004B1A0B"/>
    <w:rsid w:val="004B1C06"/>
    <w:rsid w:val="004B302E"/>
    <w:rsid w:val="004B3FBF"/>
    <w:rsid w:val="004B4B78"/>
    <w:rsid w:val="004B5DBD"/>
    <w:rsid w:val="004B6D32"/>
    <w:rsid w:val="004C17B0"/>
    <w:rsid w:val="004C1D26"/>
    <w:rsid w:val="004C2634"/>
    <w:rsid w:val="004C2FD0"/>
    <w:rsid w:val="004C42CD"/>
    <w:rsid w:val="004C5DB8"/>
    <w:rsid w:val="004C6502"/>
    <w:rsid w:val="004C73F3"/>
    <w:rsid w:val="004C7C00"/>
    <w:rsid w:val="004C7D24"/>
    <w:rsid w:val="004D0E49"/>
    <w:rsid w:val="004D1273"/>
    <w:rsid w:val="004D1FFD"/>
    <w:rsid w:val="004D23D3"/>
    <w:rsid w:val="004D2743"/>
    <w:rsid w:val="004D3D51"/>
    <w:rsid w:val="004D3D7A"/>
    <w:rsid w:val="004D54E8"/>
    <w:rsid w:val="004D7519"/>
    <w:rsid w:val="004E07B0"/>
    <w:rsid w:val="004E22CB"/>
    <w:rsid w:val="004E26D5"/>
    <w:rsid w:val="004E378E"/>
    <w:rsid w:val="004E496C"/>
    <w:rsid w:val="004E5CD0"/>
    <w:rsid w:val="004E5F9C"/>
    <w:rsid w:val="004E64FD"/>
    <w:rsid w:val="004E6DDE"/>
    <w:rsid w:val="004E71A5"/>
    <w:rsid w:val="004E7434"/>
    <w:rsid w:val="004F2710"/>
    <w:rsid w:val="004F2D7B"/>
    <w:rsid w:val="004F4592"/>
    <w:rsid w:val="004F5A9E"/>
    <w:rsid w:val="005002DA"/>
    <w:rsid w:val="00500803"/>
    <w:rsid w:val="0050349D"/>
    <w:rsid w:val="005039ED"/>
    <w:rsid w:val="00503FDE"/>
    <w:rsid w:val="00504AFD"/>
    <w:rsid w:val="00504C7C"/>
    <w:rsid w:val="00506BDB"/>
    <w:rsid w:val="0050725E"/>
    <w:rsid w:val="00507F77"/>
    <w:rsid w:val="0051246B"/>
    <w:rsid w:val="00512EF1"/>
    <w:rsid w:val="005131DE"/>
    <w:rsid w:val="00515730"/>
    <w:rsid w:val="00517365"/>
    <w:rsid w:val="005214C9"/>
    <w:rsid w:val="00521DA5"/>
    <w:rsid w:val="00523882"/>
    <w:rsid w:val="00524B3E"/>
    <w:rsid w:val="00524B47"/>
    <w:rsid w:val="005254EC"/>
    <w:rsid w:val="005257B2"/>
    <w:rsid w:val="005258E6"/>
    <w:rsid w:val="00531A02"/>
    <w:rsid w:val="00533296"/>
    <w:rsid w:val="00541B9A"/>
    <w:rsid w:val="005429D7"/>
    <w:rsid w:val="00542E6C"/>
    <w:rsid w:val="00544012"/>
    <w:rsid w:val="0054478A"/>
    <w:rsid w:val="0054619B"/>
    <w:rsid w:val="005461A5"/>
    <w:rsid w:val="00547DDF"/>
    <w:rsid w:val="0055095F"/>
    <w:rsid w:val="00551943"/>
    <w:rsid w:val="00551AED"/>
    <w:rsid w:val="005523E8"/>
    <w:rsid w:val="0055270F"/>
    <w:rsid w:val="00552BA7"/>
    <w:rsid w:val="00553444"/>
    <w:rsid w:val="00554DA6"/>
    <w:rsid w:val="0055546F"/>
    <w:rsid w:val="00556596"/>
    <w:rsid w:val="005569FE"/>
    <w:rsid w:val="005607D3"/>
    <w:rsid w:val="00563597"/>
    <w:rsid w:val="00563A26"/>
    <w:rsid w:val="00564AD3"/>
    <w:rsid w:val="00565350"/>
    <w:rsid w:val="005658D9"/>
    <w:rsid w:val="00566C21"/>
    <w:rsid w:val="0056732E"/>
    <w:rsid w:val="00570A6D"/>
    <w:rsid w:val="00571A06"/>
    <w:rsid w:val="00571C4B"/>
    <w:rsid w:val="00571F8E"/>
    <w:rsid w:val="00573732"/>
    <w:rsid w:val="00574259"/>
    <w:rsid w:val="0057642A"/>
    <w:rsid w:val="005764B7"/>
    <w:rsid w:val="0057770A"/>
    <w:rsid w:val="00580933"/>
    <w:rsid w:val="00581B73"/>
    <w:rsid w:val="00583DCF"/>
    <w:rsid w:val="0058406C"/>
    <w:rsid w:val="00584911"/>
    <w:rsid w:val="00584A50"/>
    <w:rsid w:val="00584B2A"/>
    <w:rsid w:val="005850C6"/>
    <w:rsid w:val="00587E87"/>
    <w:rsid w:val="005914E7"/>
    <w:rsid w:val="00591DD9"/>
    <w:rsid w:val="0059256A"/>
    <w:rsid w:val="00592818"/>
    <w:rsid w:val="00592FB4"/>
    <w:rsid w:val="00594010"/>
    <w:rsid w:val="00594877"/>
    <w:rsid w:val="00595D5A"/>
    <w:rsid w:val="00596684"/>
    <w:rsid w:val="00597D7A"/>
    <w:rsid w:val="005A1764"/>
    <w:rsid w:val="005A24D7"/>
    <w:rsid w:val="005A50B6"/>
    <w:rsid w:val="005A5363"/>
    <w:rsid w:val="005A56A6"/>
    <w:rsid w:val="005A6488"/>
    <w:rsid w:val="005B0ADD"/>
    <w:rsid w:val="005B1AA2"/>
    <w:rsid w:val="005B1CB7"/>
    <w:rsid w:val="005B398C"/>
    <w:rsid w:val="005B5F07"/>
    <w:rsid w:val="005B6532"/>
    <w:rsid w:val="005B6B9F"/>
    <w:rsid w:val="005B745F"/>
    <w:rsid w:val="005C17F6"/>
    <w:rsid w:val="005C1D5E"/>
    <w:rsid w:val="005C5042"/>
    <w:rsid w:val="005C5B7F"/>
    <w:rsid w:val="005C7A52"/>
    <w:rsid w:val="005D069B"/>
    <w:rsid w:val="005D2430"/>
    <w:rsid w:val="005D28DC"/>
    <w:rsid w:val="005D2D19"/>
    <w:rsid w:val="005D3046"/>
    <w:rsid w:val="005D529C"/>
    <w:rsid w:val="005D71FD"/>
    <w:rsid w:val="005D7AB7"/>
    <w:rsid w:val="005E1195"/>
    <w:rsid w:val="005E4B50"/>
    <w:rsid w:val="005E51EE"/>
    <w:rsid w:val="005E5CDE"/>
    <w:rsid w:val="005E6210"/>
    <w:rsid w:val="005E6956"/>
    <w:rsid w:val="005E6B27"/>
    <w:rsid w:val="005F0420"/>
    <w:rsid w:val="005F15A8"/>
    <w:rsid w:val="005F29F5"/>
    <w:rsid w:val="005F2E51"/>
    <w:rsid w:val="005F327F"/>
    <w:rsid w:val="005F3E8A"/>
    <w:rsid w:val="005F3F85"/>
    <w:rsid w:val="005F44A0"/>
    <w:rsid w:val="005F493D"/>
    <w:rsid w:val="005F53D7"/>
    <w:rsid w:val="005F58A2"/>
    <w:rsid w:val="005F5FA7"/>
    <w:rsid w:val="005F6340"/>
    <w:rsid w:val="00602C4A"/>
    <w:rsid w:val="0060333C"/>
    <w:rsid w:val="00603362"/>
    <w:rsid w:val="00604C8A"/>
    <w:rsid w:val="00605D7E"/>
    <w:rsid w:val="00605F45"/>
    <w:rsid w:val="006064F1"/>
    <w:rsid w:val="006065CF"/>
    <w:rsid w:val="006109D5"/>
    <w:rsid w:val="00610EF8"/>
    <w:rsid w:val="00612D7E"/>
    <w:rsid w:val="00613A99"/>
    <w:rsid w:val="00613FB9"/>
    <w:rsid w:val="00617B28"/>
    <w:rsid w:val="00617DD9"/>
    <w:rsid w:val="00620F39"/>
    <w:rsid w:val="00620FAE"/>
    <w:rsid w:val="00621449"/>
    <w:rsid w:val="006215AC"/>
    <w:rsid w:val="006253A3"/>
    <w:rsid w:val="006256D5"/>
    <w:rsid w:val="00625708"/>
    <w:rsid w:val="006302FC"/>
    <w:rsid w:val="006307A8"/>
    <w:rsid w:val="00632249"/>
    <w:rsid w:val="006349B8"/>
    <w:rsid w:val="0064113D"/>
    <w:rsid w:val="0064216B"/>
    <w:rsid w:val="006431AE"/>
    <w:rsid w:val="006448A9"/>
    <w:rsid w:val="00645011"/>
    <w:rsid w:val="0064503F"/>
    <w:rsid w:val="00647231"/>
    <w:rsid w:val="00651B9E"/>
    <w:rsid w:val="00651F2F"/>
    <w:rsid w:val="006540EC"/>
    <w:rsid w:val="00654F37"/>
    <w:rsid w:val="006600D5"/>
    <w:rsid w:val="006611D6"/>
    <w:rsid w:val="00663818"/>
    <w:rsid w:val="0066415F"/>
    <w:rsid w:val="00664DA4"/>
    <w:rsid w:val="00665D46"/>
    <w:rsid w:val="00666BE5"/>
    <w:rsid w:val="0066785A"/>
    <w:rsid w:val="00670194"/>
    <w:rsid w:val="00671FB5"/>
    <w:rsid w:val="00672EEE"/>
    <w:rsid w:val="006733CA"/>
    <w:rsid w:val="006738ED"/>
    <w:rsid w:val="00675728"/>
    <w:rsid w:val="006758A4"/>
    <w:rsid w:val="00675F64"/>
    <w:rsid w:val="0067672F"/>
    <w:rsid w:val="00676DA6"/>
    <w:rsid w:val="006776C4"/>
    <w:rsid w:val="00677C3C"/>
    <w:rsid w:val="00680F17"/>
    <w:rsid w:val="00682113"/>
    <w:rsid w:val="006830B2"/>
    <w:rsid w:val="006832F1"/>
    <w:rsid w:val="006837D8"/>
    <w:rsid w:val="00684D8C"/>
    <w:rsid w:val="0068611D"/>
    <w:rsid w:val="00690C12"/>
    <w:rsid w:val="00691743"/>
    <w:rsid w:val="00693A02"/>
    <w:rsid w:val="00693B61"/>
    <w:rsid w:val="0069415A"/>
    <w:rsid w:val="00694172"/>
    <w:rsid w:val="006950BA"/>
    <w:rsid w:val="00697DE0"/>
    <w:rsid w:val="006A49C9"/>
    <w:rsid w:val="006A4BED"/>
    <w:rsid w:val="006A6A7B"/>
    <w:rsid w:val="006B46E2"/>
    <w:rsid w:val="006B786D"/>
    <w:rsid w:val="006B7B9A"/>
    <w:rsid w:val="006C062F"/>
    <w:rsid w:val="006C0C9C"/>
    <w:rsid w:val="006C226D"/>
    <w:rsid w:val="006C3180"/>
    <w:rsid w:val="006C52B9"/>
    <w:rsid w:val="006C5734"/>
    <w:rsid w:val="006C6334"/>
    <w:rsid w:val="006C63CB"/>
    <w:rsid w:val="006C690C"/>
    <w:rsid w:val="006C79FB"/>
    <w:rsid w:val="006D0B08"/>
    <w:rsid w:val="006D152E"/>
    <w:rsid w:val="006D1536"/>
    <w:rsid w:val="006D1BDC"/>
    <w:rsid w:val="006D2C88"/>
    <w:rsid w:val="006D30CE"/>
    <w:rsid w:val="006D4EF7"/>
    <w:rsid w:val="006D5311"/>
    <w:rsid w:val="006D756F"/>
    <w:rsid w:val="006D768D"/>
    <w:rsid w:val="006E081C"/>
    <w:rsid w:val="006E0BC3"/>
    <w:rsid w:val="006E154C"/>
    <w:rsid w:val="006E4798"/>
    <w:rsid w:val="006E70BA"/>
    <w:rsid w:val="006E7276"/>
    <w:rsid w:val="006E7A38"/>
    <w:rsid w:val="006E7E6A"/>
    <w:rsid w:val="006F0A6A"/>
    <w:rsid w:val="006F0E21"/>
    <w:rsid w:val="006F1338"/>
    <w:rsid w:val="006F20E2"/>
    <w:rsid w:val="006F2FD9"/>
    <w:rsid w:val="006F3ED0"/>
    <w:rsid w:val="006F436B"/>
    <w:rsid w:val="006F449A"/>
    <w:rsid w:val="006F457A"/>
    <w:rsid w:val="006F4884"/>
    <w:rsid w:val="006F58DD"/>
    <w:rsid w:val="006F72AA"/>
    <w:rsid w:val="006F7702"/>
    <w:rsid w:val="006F7897"/>
    <w:rsid w:val="00701509"/>
    <w:rsid w:val="00701CC5"/>
    <w:rsid w:val="007031A4"/>
    <w:rsid w:val="00703EFB"/>
    <w:rsid w:val="00707A36"/>
    <w:rsid w:val="007102EB"/>
    <w:rsid w:val="007107E4"/>
    <w:rsid w:val="00710F42"/>
    <w:rsid w:val="00711D5D"/>
    <w:rsid w:val="007120FA"/>
    <w:rsid w:val="00713B89"/>
    <w:rsid w:val="00716266"/>
    <w:rsid w:val="00716FAA"/>
    <w:rsid w:val="0072208A"/>
    <w:rsid w:val="00725A9F"/>
    <w:rsid w:val="007270BD"/>
    <w:rsid w:val="00727566"/>
    <w:rsid w:val="00731A6F"/>
    <w:rsid w:val="007322B0"/>
    <w:rsid w:val="0073391B"/>
    <w:rsid w:val="00736E82"/>
    <w:rsid w:val="007371B9"/>
    <w:rsid w:val="00740039"/>
    <w:rsid w:val="00740149"/>
    <w:rsid w:val="00740962"/>
    <w:rsid w:val="00740F2D"/>
    <w:rsid w:val="0074401C"/>
    <w:rsid w:val="00750653"/>
    <w:rsid w:val="007509AB"/>
    <w:rsid w:val="00750A75"/>
    <w:rsid w:val="00751699"/>
    <w:rsid w:val="00751ECA"/>
    <w:rsid w:val="00752D72"/>
    <w:rsid w:val="00753BAF"/>
    <w:rsid w:val="00754F77"/>
    <w:rsid w:val="00754FA0"/>
    <w:rsid w:val="00755FC4"/>
    <w:rsid w:val="007569A7"/>
    <w:rsid w:val="00760B02"/>
    <w:rsid w:val="00761EFC"/>
    <w:rsid w:val="00762F26"/>
    <w:rsid w:val="0076379C"/>
    <w:rsid w:val="00765008"/>
    <w:rsid w:val="00771B34"/>
    <w:rsid w:val="00772279"/>
    <w:rsid w:val="007724FB"/>
    <w:rsid w:val="00773231"/>
    <w:rsid w:val="007753E8"/>
    <w:rsid w:val="00775BDC"/>
    <w:rsid w:val="00780CA2"/>
    <w:rsid w:val="00781352"/>
    <w:rsid w:val="00781E4A"/>
    <w:rsid w:val="00783D5E"/>
    <w:rsid w:val="00785336"/>
    <w:rsid w:val="00785F44"/>
    <w:rsid w:val="00786ABF"/>
    <w:rsid w:val="007900D7"/>
    <w:rsid w:val="00791715"/>
    <w:rsid w:val="007928FB"/>
    <w:rsid w:val="00792FEC"/>
    <w:rsid w:val="00794593"/>
    <w:rsid w:val="00796986"/>
    <w:rsid w:val="00796B9F"/>
    <w:rsid w:val="007A4BD4"/>
    <w:rsid w:val="007A4CED"/>
    <w:rsid w:val="007A7443"/>
    <w:rsid w:val="007B02EB"/>
    <w:rsid w:val="007B0925"/>
    <w:rsid w:val="007B13EC"/>
    <w:rsid w:val="007B1A4F"/>
    <w:rsid w:val="007B5783"/>
    <w:rsid w:val="007B61AF"/>
    <w:rsid w:val="007B64D2"/>
    <w:rsid w:val="007C21EB"/>
    <w:rsid w:val="007C2B08"/>
    <w:rsid w:val="007C34F8"/>
    <w:rsid w:val="007C54F5"/>
    <w:rsid w:val="007C5580"/>
    <w:rsid w:val="007C5772"/>
    <w:rsid w:val="007C58FD"/>
    <w:rsid w:val="007C6132"/>
    <w:rsid w:val="007C6280"/>
    <w:rsid w:val="007C63CA"/>
    <w:rsid w:val="007C6BA9"/>
    <w:rsid w:val="007D0E3C"/>
    <w:rsid w:val="007D3F6F"/>
    <w:rsid w:val="007D4FBA"/>
    <w:rsid w:val="007D50EE"/>
    <w:rsid w:val="007D54BA"/>
    <w:rsid w:val="007D5862"/>
    <w:rsid w:val="007D5E01"/>
    <w:rsid w:val="007D6D85"/>
    <w:rsid w:val="007E1640"/>
    <w:rsid w:val="007E2030"/>
    <w:rsid w:val="007E23BA"/>
    <w:rsid w:val="007E3371"/>
    <w:rsid w:val="007E566A"/>
    <w:rsid w:val="007E5676"/>
    <w:rsid w:val="007F139C"/>
    <w:rsid w:val="007F1D11"/>
    <w:rsid w:val="007F2996"/>
    <w:rsid w:val="007F3E79"/>
    <w:rsid w:val="007F480C"/>
    <w:rsid w:val="007F5639"/>
    <w:rsid w:val="007F5AFD"/>
    <w:rsid w:val="007F603B"/>
    <w:rsid w:val="007F75EE"/>
    <w:rsid w:val="007F77EC"/>
    <w:rsid w:val="008012F7"/>
    <w:rsid w:val="008023F4"/>
    <w:rsid w:val="008039F5"/>
    <w:rsid w:val="00806AFF"/>
    <w:rsid w:val="00811CCB"/>
    <w:rsid w:val="0081208E"/>
    <w:rsid w:val="00813391"/>
    <w:rsid w:val="008143CA"/>
    <w:rsid w:val="00815864"/>
    <w:rsid w:val="00820C4A"/>
    <w:rsid w:val="008214C1"/>
    <w:rsid w:val="0082153D"/>
    <w:rsid w:val="00821C45"/>
    <w:rsid w:val="00822524"/>
    <w:rsid w:val="008229C7"/>
    <w:rsid w:val="008235C0"/>
    <w:rsid w:val="008235D6"/>
    <w:rsid w:val="00823A60"/>
    <w:rsid w:val="008255B6"/>
    <w:rsid w:val="00825D26"/>
    <w:rsid w:val="00825D7C"/>
    <w:rsid w:val="00825ED1"/>
    <w:rsid w:val="00826DFB"/>
    <w:rsid w:val="00831460"/>
    <w:rsid w:val="00832488"/>
    <w:rsid w:val="00840A40"/>
    <w:rsid w:val="00840BD4"/>
    <w:rsid w:val="00841EE3"/>
    <w:rsid w:val="00842013"/>
    <w:rsid w:val="00844C96"/>
    <w:rsid w:val="00845395"/>
    <w:rsid w:val="008501B7"/>
    <w:rsid w:val="00850F5F"/>
    <w:rsid w:val="008524F0"/>
    <w:rsid w:val="00854260"/>
    <w:rsid w:val="00855E25"/>
    <w:rsid w:val="00856BF8"/>
    <w:rsid w:val="008574FE"/>
    <w:rsid w:val="00857727"/>
    <w:rsid w:val="008600AF"/>
    <w:rsid w:val="008618D7"/>
    <w:rsid w:val="00862B62"/>
    <w:rsid w:val="00863091"/>
    <w:rsid w:val="0086475A"/>
    <w:rsid w:val="00864BE1"/>
    <w:rsid w:val="0086545C"/>
    <w:rsid w:val="0086726A"/>
    <w:rsid w:val="00867EEC"/>
    <w:rsid w:val="00870844"/>
    <w:rsid w:val="008709DD"/>
    <w:rsid w:val="00871800"/>
    <w:rsid w:val="00873A25"/>
    <w:rsid w:val="008740DC"/>
    <w:rsid w:val="00874846"/>
    <w:rsid w:val="008757C3"/>
    <w:rsid w:val="00877DC7"/>
    <w:rsid w:val="00880E73"/>
    <w:rsid w:val="008846C2"/>
    <w:rsid w:val="00886E21"/>
    <w:rsid w:val="00887FA3"/>
    <w:rsid w:val="00894885"/>
    <w:rsid w:val="008971D7"/>
    <w:rsid w:val="008972A2"/>
    <w:rsid w:val="008A05AF"/>
    <w:rsid w:val="008A05D8"/>
    <w:rsid w:val="008A1E08"/>
    <w:rsid w:val="008A2CBF"/>
    <w:rsid w:val="008A333D"/>
    <w:rsid w:val="008A4109"/>
    <w:rsid w:val="008A521E"/>
    <w:rsid w:val="008A5E74"/>
    <w:rsid w:val="008A79F6"/>
    <w:rsid w:val="008B140E"/>
    <w:rsid w:val="008B1F3B"/>
    <w:rsid w:val="008B2E17"/>
    <w:rsid w:val="008B39AD"/>
    <w:rsid w:val="008B6656"/>
    <w:rsid w:val="008B6FD4"/>
    <w:rsid w:val="008B79D8"/>
    <w:rsid w:val="008C00AB"/>
    <w:rsid w:val="008C0B85"/>
    <w:rsid w:val="008C1783"/>
    <w:rsid w:val="008C1795"/>
    <w:rsid w:val="008C2D0D"/>
    <w:rsid w:val="008C3AD1"/>
    <w:rsid w:val="008D043E"/>
    <w:rsid w:val="008D0BA9"/>
    <w:rsid w:val="008D2676"/>
    <w:rsid w:val="008D3AD5"/>
    <w:rsid w:val="008D44C2"/>
    <w:rsid w:val="008D4912"/>
    <w:rsid w:val="008D5028"/>
    <w:rsid w:val="008D610B"/>
    <w:rsid w:val="008D72DA"/>
    <w:rsid w:val="008D7C15"/>
    <w:rsid w:val="008D7DC4"/>
    <w:rsid w:val="008E0895"/>
    <w:rsid w:val="008E211E"/>
    <w:rsid w:val="008E55DC"/>
    <w:rsid w:val="008E5ACC"/>
    <w:rsid w:val="008E5CB5"/>
    <w:rsid w:val="008E5E97"/>
    <w:rsid w:val="008E7EC4"/>
    <w:rsid w:val="008F0301"/>
    <w:rsid w:val="008F114B"/>
    <w:rsid w:val="008F376D"/>
    <w:rsid w:val="008F400C"/>
    <w:rsid w:val="008F4CDF"/>
    <w:rsid w:val="008F7D32"/>
    <w:rsid w:val="0090229D"/>
    <w:rsid w:val="009022EF"/>
    <w:rsid w:val="00903254"/>
    <w:rsid w:val="0090526E"/>
    <w:rsid w:val="00907CB4"/>
    <w:rsid w:val="00910F44"/>
    <w:rsid w:val="009127DE"/>
    <w:rsid w:val="00916AA7"/>
    <w:rsid w:val="009171FF"/>
    <w:rsid w:val="00917311"/>
    <w:rsid w:val="009210F7"/>
    <w:rsid w:val="009219A7"/>
    <w:rsid w:val="00923B3D"/>
    <w:rsid w:val="0092455A"/>
    <w:rsid w:val="009247D5"/>
    <w:rsid w:val="0092536A"/>
    <w:rsid w:val="00925774"/>
    <w:rsid w:val="00926632"/>
    <w:rsid w:val="00927E5E"/>
    <w:rsid w:val="00930403"/>
    <w:rsid w:val="00931156"/>
    <w:rsid w:val="00932429"/>
    <w:rsid w:val="00933670"/>
    <w:rsid w:val="0093432A"/>
    <w:rsid w:val="009373C8"/>
    <w:rsid w:val="009374AD"/>
    <w:rsid w:val="00937B8A"/>
    <w:rsid w:val="00940E62"/>
    <w:rsid w:val="00942550"/>
    <w:rsid w:val="00942A67"/>
    <w:rsid w:val="009441AB"/>
    <w:rsid w:val="0094445B"/>
    <w:rsid w:val="00950307"/>
    <w:rsid w:val="00950A19"/>
    <w:rsid w:val="009514D3"/>
    <w:rsid w:val="00951981"/>
    <w:rsid w:val="00952678"/>
    <w:rsid w:val="00953011"/>
    <w:rsid w:val="009531D7"/>
    <w:rsid w:val="0095375B"/>
    <w:rsid w:val="00953FF1"/>
    <w:rsid w:val="00954171"/>
    <w:rsid w:val="009545CC"/>
    <w:rsid w:val="00955FE3"/>
    <w:rsid w:val="00956C9B"/>
    <w:rsid w:val="00956E98"/>
    <w:rsid w:val="0095771D"/>
    <w:rsid w:val="00957A91"/>
    <w:rsid w:val="00964E25"/>
    <w:rsid w:val="00967788"/>
    <w:rsid w:val="009709A7"/>
    <w:rsid w:val="00970DFE"/>
    <w:rsid w:val="009712C6"/>
    <w:rsid w:val="00973C31"/>
    <w:rsid w:val="00975389"/>
    <w:rsid w:val="00977EC9"/>
    <w:rsid w:val="00980884"/>
    <w:rsid w:val="00980EE8"/>
    <w:rsid w:val="009811A8"/>
    <w:rsid w:val="00981C73"/>
    <w:rsid w:val="00981CAA"/>
    <w:rsid w:val="00983669"/>
    <w:rsid w:val="00983E6E"/>
    <w:rsid w:val="009842FB"/>
    <w:rsid w:val="00985E34"/>
    <w:rsid w:val="00986C45"/>
    <w:rsid w:val="00987E00"/>
    <w:rsid w:val="009900EE"/>
    <w:rsid w:val="00990182"/>
    <w:rsid w:val="00991047"/>
    <w:rsid w:val="009928C2"/>
    <w:rsid w:val="009936DE"/>
    <w:rsid w:val="009938A5"/>
    <w:rsid w:val="00993941"/>
    <w:rsid w:val="00994B06"/>
    <w:rsid w:val="00994BA4"/>
    <w:rsid w:val="009959CD"/>
    <w:rsid w:val="00996F72"/>
    <w:rsid w:val="00997274"/>
    <w:rsid w:val="009A013D"/>
    <w:rsid w:val="009A1350"/>
    <w:rsid w:val="009A1AB2"/>
    <w:rsid w:val="009A3CC4"/>
    <w:rsid w:val="009A594C"/>
    <w:rsid w:val="009A5AF9"/>
    <w:rsid w:val="009A6711"/>
    <w:rsid w:val="009A6C14"/>
    <w:rsid w:val="009A7E81"/>
    <w:rsid w:val="009B071F"/>
    <w:rsid w:val="009B1A70"/>
    <w:rsid w:val="009B276D"/>
    <w:rsid w:val="009B2F6E"/>
    <w:rsid w:val="009B44D7"/>
    <w:rsid w:val="009B58B6"/>
    <w:rsid w:val="009B5B86"/>
    <w:rsid w:val="009B5DDF"/>
    <w:rsid w:val="009B60F0"/>
    <w:rsid w:val="009B66C7"/>
    <w:rsid w:val="009B6DB4"/>
    <w:rsid w:val="009B72D9"/>
    <w:rsid w:val="009B7D44"/>
    <w:rsid w:val="009C22BE"/>
    <w:rsid w:val="009C2945"/>
    <w:rsid w:val="009C3691"/>
    <w:rsid w:val="009C56E6"/>
    <w:rsid w:val="009C72E2"/>
    <w:rsid w:val="009D2F9B"/>
    <w:rsid w:val="009D6651"/>
    <w:rsid w:val="009D76FA"/>
    <w:rsid w:val="009E2C64"/>
    <w:rsid w:val="009E3821"/>
    <w:rsid w:val="009E4005"/>
    <w:rsid w:val="009E463B"/>
    <w:rsid w:val="009E4D17"/>
    <w:rsid w:val="009E56FE"/>
    <w:rsid w:val="009E5A8C"/>
    <w:rsid w:val="009E77BF"/>
    <w:rsid w:val="009E7894"/>
    <w:rsid w:val="009E7B98"/>
    <w:rsid w:val="009E7E04"/>
    <w:rsid w:val="009F0D4F"/>
    <w:rsid w:val="009F1650"/>
    <w:rsid w:val="009F203C"/>
    <w:rsid w:val="00A00573"/>
    <w:rsid w:val="00A00772"/>
    <w:rsid w:val="00A00CA5"/>
    <w:rsid w:val="00A01A37"/>
    <w:rsid w:val="00A038A5"/>
    <w:rsid w:val="00A05150"/>
    <w:rsid w:val="00A0559E"/>
    <w:rsid w:val="00A06082"/>
    <w:rsid w:val="00A07C57"/>
    <w:rsid w:val="00A16A8D"/>
    <w:rsid w:val="00A175F3"/>
    <w:rsid w:val="00A17D1C"/>
    <w:rsid w:val="00A20980"/>
    <w:rsid w:val="00A217D0"/>
    <w:rsid w:val="00A22A0F"/>
    <w:rsid w:val="00A24BA3"/>
    <w:rsid w:val="00A25AA0"/>
    <w:rsid w:val="00A25EA2"/>
    <w:rsid w:val="00A26CBB"/>
    <w:rsid w:val="00A278ED"/>
    <w:rsid w:val="00A3294D"/>
    <w:rsid w:val="00A33423"/>
    <w:rsid w:val="00A33CCC"/>
    <w:rsid w:val="00A351D3"/>
    <w:rsid w:val="00A35D7B"/>
    <w:rsid w:val="00A3632C"/>
    <w:rsid w:val="00A37003"/>
    <w:rsid w:val="00A37412"/>
    <w:rsid w:val="00A374EA"/>
    <w:rsid w:val="00A375E6"/>
    <w:rsid w:val="00A4001C"/>
    <w:rsid w:val="00A40180"/>
    <w:rsid w:val="00A40EDA"/>
    <w:rsid w:val="00A40F66"/>
    <w:rsid w:val="00A4394F"/>
    <w:rsid w:val="00A43DBA"/>
    <w:rsid w:val="00A45860"/>
    <w:rsid w:val="00A461D2"/>
    <w:rsid w:val="00A46336"/>
    <w:rsid w:val="00A5132C"/>
    <w:rsid w:val="00A51FEB"/>
    <w:rsid w:val="00A53F45"/>
    <w:rsid w:val="00A54F1C"/>
    <w:rsid w:val="00A5503B"/>
    <w:rsid w:val="00A55DCB"/>
    <w:rsid w:val="00A561D5"/>
    <w:rsid w:val="00A6213F"/>
    <w:rsid w:val="00A62268"/>
    <w:rsid w:val="00A6475F"/>
    <w:rsid w:val="00A65218"/>
    <w:rsid w:val="00A66099"/>
    <w:rsid w:val="00A66A48"/>
    <w:rsid w:val="00A670BA"/>
    <w:rsid w:val="00A6749A"/>
    <w:rsid w:val="00A726A1"/>
    <w:rsid w:val="00A75999"/>
    <w:rsid w:val="00A77C0E"/>
    <w:rsid w:val="00A77C89"/>
    <w:rsid w:val="00A80492"/>
    <w:rsid w:val="00A8222D"/>
    <w:rsid w:val="00A84EA1"/>
    <w:rsid w:val="00A85546"/>
    <w:rsid w:val="00A85FF8"/>
    <w:rsid w:val="00A876DC"/>
    <w:rsid w:val="00A901FC"/>
    <w:rsid w:val="00A921B1"/>
    <w:rsid w:val="00A93D8E"/>
    <w:rsid w:val="00A94D9A"/>
    <w:rsid w:val="00A952C4"/>
    <w:rsid w:val="00A95674"/>
    <w:rsid w:val="00A97850"/>
    <w:rsid w:val="00AA0E78"/>
    <w:rsid w:val="00AA1283"/>
    <w:rsid w:val="00AA2F73"/>
    <w:rsid w:val="00AA5B50"/>
    <w:rsid w:val="00AA647F"/>
    <w:rsid w:val="00AA64B3"/>
    <w:rsid w:val="00AA6A16"/>
    <w:rsid w:val="00AA6F34"/>
    <w:rsid w:val="00AB02E2"/>
    <w:rsid w:val="00AB2192"/>
    <w:rsid w:val="00AB249C"/>
    <w:rsid w:val="00AB4142"/>
    <w:rsid w:val="00AB57A2"/>
    <w:rsid w:val="00AB61D5"/>
    <w:rsid w:val="00AB69C7"/>
    <w:rsid w:val="00AB6F2D"/>
    <w:rsid w:val="00AB730E"/>
    <w:rsid w:val="00AC1B0F"/>
    <w:rsid w:val="00AC20EB"/>
    <w:rsid w:val="00AC2363"/>
    <w:rsid w:val="00AC395F"/>
    <w:rsid w:val="00AC4850"/>
    <w:rsid w:val="00AC5284"/>
    <w:rsid w:val="00AC5895"/>
    <w:rsid w:val="00AC71C5"/>
    <w:rsid w:val="00AD2315"/>
    <w:rsid w:val="00AD3DD6"/>
    <w:rsid w:val="00AD40ED"/>
    <w:rsid w:val="00AD4AD2"/>
    <w:rsid w:val="00AD64B3"/>
    <w:rsid w:val="00AD68CB"/>
    <w:rsid w:val="00AD793D"/>
    <w:rsid w:val="00AD7CA4"/>
    <w:rsid w:val="00AE0D68"/>
    <w:rsid w:val="00AE2626"/>
    <w:rsid w:val="00AE289C"/>
    <w:rsid w:val="00AE3F38"/>
    <w:rsid w:val="00AE4FD7"/>
    <w:rsid w:val="00AE54BB"/>
    <w:rsid w:val="00AE6D57"/>
    <w:rsid w:val="00AE75B3"/>
    <w:rsid w:val="00AF14C2"/>
    <w:rsid w:val="00AF2AE9"/>
    <w:rsid w:val="00AF40C4"/>
    <w:rsid w:val="00AF69D9"/>
    <w:rsid w:val="00AF6F08"/>
    <w:rsid w:val="00AF779D"/>
    <w:rsid w:val="00B01F00"/>
    <w:rsid w:val="00B02208"/>
    <w:rsid w:val="00B02F82"/>
    <w:rsid w:val="00B03055"/>
    <w:rsid w:val="00B039EB"/>
    <w:rsid w:val="00B069FA"/>
    <w:rsid w:val="00B07A5C"/>
    <w:rsid w:val="00B07C9D"/>
    <w:rsid w:val="00B10A5D"/>
    <w:rsid w:val="00B11229"/>
    <w:rsid w:val="00B12A16"/>
    <w:rsid w:val="00B156D4"/>
    <w:rsid w:val="00B15E27"/>
    <w:rsid w:val="00B235AE"/>
    <w:rsid w:val="00B23801"/>
    <w:rsid w:val="00B253C9"/>
    <w:rsid w:val="00B31739"/>
    <w:rsid w:val="00B334A3"/>
    <w:rsid w:val="00B33EC3"/>
    <w:rsid w:val="00B34126"/>
    <w:rsid w:val="00B3440A"/>
    <w:rsid w:val="00B34797"/>
    <w:rsid w:val="00B357D8"/>
    <w:rsid w:val="00B4246F"/>
    <w:rsid w:val="00B42DD8"/>
    <w:rsid w:val="00B43862"/>
    <w:rsid w:val="00B43C23"/>
    <w:rsid w:val="00B44ED3"/>
    <w:rsid w:val="00B4610A"/>
    <w:rsid w:val="00B46935"/>
    <w:rsid w:val="00B47F91"/>
    <w:rsid w:val="00B53C24"/>
    <w:rsid w:val="00B54235"/>
    <w:rsid w:val="00B546FB"/>
    <w:rsid w:val="00B560BA"/>
    <w:rsid w:val="00B56741"/>
    <w:rsid w:val="00B56B80"/>
    <w:rsid w:val="00B57AE6"/>
    <w:rsid w:val="00B605C3"/>
    <w:rsid w:val="00B614BC"/>
    <w:rsid w:val="00B62AA4"/>
    <w:rsid w:val="00B62BC3"/>
    <w:rsid w:val="00B63D01"/>
    <w:rsid w:val="00B647DB"/>
    <w:rsid w:val="00B65B15"/>
    <w:rsid w:val="00B65F58"/>
    <w:rsid w:val="00B66365"/>
    <w:rsid w:val="00B66DD1"/>
    <w:rsid w:val="00B679DA"/>
    <w:rsid w:val="00B67E3C"/>
    <w:rsid w:val="00B72FF9"/>
    <w:rsid w:val="00B73A09"/>
    <w:rsid w:val="00B806D9"/>
    <w:rsid w:val="00B80CEB"/>
    <w:rsid w:val="00B82F6F"/>
    <w:rsid w:val="00B838BB"/>
    <w:rsid w:val="00B84573"/>
    <w:rsid w:val="00B84728"/>
    <w:rsid w:val="00B85C12"/>
    <w:rsid w:val="00B8654D"/>
    <w:rsid w:val="00B86AC8"/>
    <w:rsid w:val="00B873C8"/>
    <w:rsid w:val="00B925A6"/>
    <w:rsid w:val="00B92AFE"/>
    <w:rsid w:val="00B9310F"/>
    <w:rsid w:val="00B9412C"/>
    <w:rsid w:val="00B94A9D"/>
    <w:rsid w:val="00B95D20"/>
    <w:rsid w:val="00BA1139"/>
    <w:rsid w:val="00BA1452"/>
    <w:rsid w:val="00BA2DD6"/>
    <w:rsid w:val="00BA5688"/>
    <w:rsid w:val="00BA5D89"/>
    <w:rsid w:val="00BA7E4D"/>
    <w:rsid w:val="00BB30BD"/>
    <w:rsid w:val="00BB4E06"/>
    <w:rsid w:val="00BB4F37"/>
    <w:rsid w:val="00BC0739"/>
    <w:rsid w:val="00BC0B1B"/>
    <w:rsid w:val="00BC14C3"/>
    <w:rsid w:val="00BC249C"/>
    <w:rsid w:val="00BC2C41"/>
    <w:rsid w:val="00BC346B"/>
    <w:rsid w:val="00BC4719"/>
    <w:rsid w:val="00BC4C7E"/>
    <w:rsid w:val="00BC4F48"/>
    <w:rsid w:val="00BC5228"/>
    <w:rsid w:val="00BC7CA6"/>
    <w:rsid w:val="00BD33C1"/>
    <w:rsid w:val="00BD3CA5"/>
    <w:rsid w:val="00BD46F9"/>
    <w:rsid w:val="00BD6BA6"/>
    <w:rsid w:val="00BD6D88"/>
    <w:rsid w:val="00BD745D"/>
    <w:rsid w:val="00BE048B"/>
    <w:rsid w:val="00BE04A5"/>
    <w:rsid w:val="00BE0FD0"/>
    <w:rsid w:val="00BE15F5"/>
    <w:rsid w:val="00BE1660"/>
    <w:rsid w:val="00BE3507"/>
    <w:rsid w:val="00BE5601"/>
    <w:rsid w:val="00BE59E0"/>
    <w:rsid w:val="00BE6127"/>
    <w:rsid w:val="00BE649C"/>
    <w:rsid w:val="00BE712F"/>
    <w:rsid w:val="00BE7B21"/>
    <w:rsid w:val="00BE7BB1"/>
    <w:rsid w:val="00BF0C29"/>
    <w:rsid w:val="00BF11A8"/>
    <w:rsid w:val="00BF3422"/>
    <w:rsid w:val="00BF3EAE"/>
    <w:rsid w:val="00BF4FE3"/>
    <w:rsid w:val="00BF5E5E"/>
    <w:rsid w:val="00BF6AA7"/>
    <w:rsid w:val="00C00889"/>
    <w:rsid w:val="00C00C64"/>
    <w:rsid w:val="00C02D1D"/>
    <w:rsid w:val="00C05897"/>
    <w:rsid w:val="00C058D9"/>
    <w:rsid w:val="00C074E9"/>
    <w:rsid w:val="00C0772B"/>
    <w:rsid w:val="00C10280"/>
    <w:rsid w:val="00C112DB"/>
    <w:rsid w:val="00C1134C"/>
    <w:rsid w:val="00C11397"/>
    <w:rsid w:val="00C1148D"/>
    <w:rsid w:val="00C115C9"/>
    <w:rsid w:val="00C11C5C"/>
    <w:rsid w:val="00C11CF5"/>
    <w:rsid w:val="00C1463C"/>
    <w:rsid w:val="00C14BF7"/>
    <w:rsid w:val="00C150C9"/>
    <w:rsid w:val="00C158FB"/>
    <w:rsid w:val="00C15BB8"/>
    <w:rsid w:val="00C203AF"/>
    <w:rsid w:val="00C22E96"/>
    <w:rsid w:val="00C23B05"/>
    <w:rsid w:val="00C24320"/>
    <w:rsid w:val="00C26B66"/>
    <w:rsid w:val="00C27A47"/>
    <w:rsid w:val="00C308DD"/>
    <w:rsid w:val="00C30B9A"/>
    <w:rsid w:val="00C361AA"/>
    <w:rsid w:val="00C3785A"/>
    <w:rsid w:val="00C40A39"/>
    <w:rsid w:val="00C42E30"/>
    <w:rsid w:val="00C43630"/>
    <w:rsid w:val="00C44AC2"/>
    <w:rsid w:val="00C45A33"/>
    <w:rsid w:val="00C46211"/>
    <w:rsid w:val="00C5046E"/>
    <w:rsid w:val="00C52F88"/>
    <w:rsid w:val="00C53323"/>
    <w:rsid w:val="00C55341"/>
    <w:rsid w:val="00C55F7F"/>
    <w:rsid w:val="00C56E2C"/>
    <w:rsid w:val="00C56F86"/>
    <w:rsid w:val="00C5727C"/>
    <w:rsid w:val="00C616C8"/>
    <w:rsid w:val="00C633CC"/>
    <w:rsid w:val="00C63C09"/>
    <w:rsid w:val="00C6486C"/>
    <w:rsid w:val="00C668C8"/>
    <w:rsid w:val="00C67479"/>
    <w:rsid w:val="00C7068F"/>
    <w:rsid w:val="00C70F18"/>
    <w:rsid w:val="00C71CB0"/>
    <w:rsid w:val="00C71DD3"/>
    <w:rsid w:val="00C76378"/>
    <w:rsid w:val="00C76603"/>
    <w:rsid w:val="00C76EE5"/>
    <w:rsid w:val="00C7729C"/>
    <w:rsid w:val="00C773FF"/>
    <w:rsid w:val="00C775CE"/>
    <w:rsid w:val="00C806A6"/>
    <w:rsid w:val="00C81122"/>
    <w:rsid w:val="00C81819"/>
    <w:rsid w:val="00C82909"/>
    <w:rsid w:val="00C835F5"/>
    <w:rsid w:val="00C840C1"/>
    <w:rsid w:val="00C84394"/>
    <w:rsid w:val="00C868A7"/>
    <w:rsid w:val="00C90749"/>
    <w:rsid w:val="00C909FC"/>
    <w:rsid w:val="00C90A64"/>
    <w:rsid w:val="00C90AF9"/>
    <w:rsid w:val="00C94B8C"/>
    <w:rsid w:val="00C95909"/>
    <w:rsid w:val="00C97F0A"/>
    <w:rsid w:val="00CA13E0"/>
    <w:rsid w:val="00CA25E3"/>
    <w:rsid w:val="00CA37FC"/>
    <w:rsid w:val="00CA5112"/>
    <w:rsid w:val="00CA689E"/>
    <w:rsid w:val="00CA6D9D"/>
    <w:rsid w:val="00CA7A47"/>
    <w:rsid w:val="00CA7BD3"/>
    <w:rsid w:val="00CB03B5"/>
    <w:rsid w:val="00CB1B9C"/>
    <w:rsid w:val="00CB1D37"/>
    <w:rsid w:val="00CB2032"/>
    <w:rsid w:val="00CB21EC"/>
    <w:rsid w:val="00CB43DC"/>
    <w:rsid w:val="00CB4868"/>
    <w:rsid w:val="00CB5E93"/>
    <w:rsid w:val="00CB6263"/>
    <w:rsid w:val="00CB6360"/>
    <w:rsid w:val="00CB705D"/>
    <w:rsid w:val="00CB7155"/>
    <w:rsid w:val="00CC0089"/>
    <w:rsid w:val="00CC09E4"/>
    <w:rsid w:val="00CC355E"/>
    <w:rsid w:val="00CC51B7"/>
    <w:rsid w:val="00CC6247"/>
    <w:rsid w:val="00CC79C0"/>
    <w:rsid w:val="00CC7BA8"/>
    <w:rsid w:val="00CD17C0"/>
    <w:rsid w:val="00CD3034"/>
    <w:rsid w:val="00CD3D42"/>
    <w:rsid w:val="00CD54F6"/>
    <w:rsid w:val="00CD7DBA"/>
    <w:rsid w:val="00CE0C72"/>
    <w:rsid w:val="00CE1078"/>
    <w:rsid w:val="00CE1573"/>
    <w:rsid w:val="00CE49EC"/>
    <w:rsid w:val="00CE5113"/>
    <w:rsid w:val="00CE5258"/>
    <w:rsid w:val="00CE5B82"/>
    <w:rsid w:val="00CE7015"/>
    <w:rsid w:val="00CE70D4"/>
    <w:rsid w:val="00CE716D"/>
    <w:rsid w:val="00CF1AFB"/>
    <w:rsid w:val="00CF27E1"/>
    <w:rsid w:val="00CF34A3"/>
    <w:rsid w:val="00CF37BF"/>
    <w:rsid w:val="00CF39EA"/>
    <w:rsid w:val="00CF44FA"/>
    <w:rsid w:val="00CF464D"/>
    <w:rsid w:val="00CF4CFF"/>
    <w:rsid w:val="00CF51B0"/>
    <w:rsid w:val="00CF559D"/>
    <w:rsid w:val="00CF57A7"/>
    <w:rsid w:val="00CF6339"/>
    <w:rsid w:val="00D009D2"/>
    <w:rsid w:val="00D01B7A"/>
    <w:rsid w:val="00D01F26"/>
    <w:rsid w:val="00D02D46"/>
    <w:rsid w:val="00D03CBE"/>
    <w:rsid w:val="00D05917"/>
    <w:rsid w:val="00D05F4B"/>
    <w:rsid w:val="00D0619F"/>
    <w:rsid w:val="00D06619"/>
    <w:rsid w:val="00D0761F"/>
    <w:rsid w:val="00D12341"/>
    <w:rsid w:val="00D13205"/>
    <w:rsid w:val="00D13BFA"/>
    <w:rsid w:val="00D1477F"/>
    <w:rsid w:val="00D150B8"/>
    <w:rsid w:val="00D15247"/>
    <w:rsid w:val="00D15A2A"/>
    <w:rsid w:val="00D16589"/>
    <w:rsid w:val="00D16736"/>
    <w:rsid w:val="00D24B2C"/>
    <w:rsid w:val="00D26D84"/>
    <w:rsid w:val="00D27EB6"/>
    <w:rsid w:val="00D300C1"/>
    <w:rsid w:val="00D30CB3"/>
    <w:rsid w:val="00D35523"/>
    <w:rsid w:val="00D40147"/>
    <w:rsid w:val="00D41652"/>
    <w:rsid w:val="00D41B4C"/>
    <w:rsid w:val="00D42687"/>
    <w:rsid w:val="00D42856"/>
    <w:rsid w:val="00D43F13"/>
    <w:rsid w:val="00D44AA1"/>
    <w:rsid w:val="00D454B5"/>
    <w:rsid w:val="00D470EA"/>
    <w:rsid w:val="00D505F2"/>
    <w:rsid w:val="00D52698"/>
    <w:rsid w:val="00D52845"/>
    <w:rsid w:val="00D529DA"/>
    <w:rsid w:val="00D53EBD"/>
    <w:rsid w:val="00D57287"/>
    <w:rsid w:val="00D579E5"/>
    <w:rsid w:val="00D60640"/>
    <w:rsid w:val="00D60676"/>
    <w:rsid w:val="00D61597"/>
    <w:rsid w:val="00D654F8"/>
    <w:rsid w:val="00D6560C"/>
    <w:rsid w:val="00D658CF"/>
    <w:rsid w:val="00D66BFC"/>
    <w:rsid w:val="00D7012F"/>
    <w:rsid w:val="00D70625"/>
    <w:rsid w:val="00D7113F"/>
    <w:rsid w:val="00D71BCC"/>
    <w:rsid w:val="00D72313"/>
    <w:rsid w:val="00D76C4C"/>
    <w:rsid w:val="00D80993"/>
    <w:rsid w:val="00D8295D"/>
    <w:rsid w:val="00D8332D"/>
    <w:rsid w:val="00D83C5A"/>
    <w:rsid w:val="00D83F00"/>
    <w:rsid w:val="00D84206"/>
    <w:rsid w:val="00D84970"/>
    <w:rsid w:val="00D85B5A"/>
    <w:rsid w:val="00D86114"/>
    <w:rsid w:val="00D866E7"/>
    <w:rsid w:val="00D86AB3"/>
    <w:rsid w:val="00D86ED1"/>
    <w:rsid w:val="00D877EF"/>
    <w:rsid w:val="00D87BFF"/>
    <w:rsid w:val="00D90872"/>
    <w:rsid w:val="00D915CE"/>
    <w:rsid w:val="00D92368"/>
    <w:rsid w:val="00D92BC3"/>
    <w:rsid w:val="00D92CBA"/>
    <w:rsid w:val="00D9366B"/>
    <w:rsid w:val="00D93AF4"/>
    <w:rsid w:val="00D93E65"/>
    <w:rsid w:val="00D95EB9"/>
    <w:rsid w:val="00D96B24"/>
    <w:rsid w:val="00D96B4D"/>
    <w:rsid w:val="00D9723D"/>
    <w:rsid w:val="00DA0B45"/>
    <w:rsid w:val="00DA13AA"/>
    <w:rsid w:val="00DA1B38"/>
    <w:rsid w:val="00DA3010"/>
    <w:rsid w:val="00DA55CE"/>
    <w:rsid w:val="00DA5DC7"/>
    <w:rsid w:val="00DA600E"/>
    <w:rsid w:val="00DA67BB"/>
    <w:rsid w:val="00DA6F0C"/>
    <w:rsid w:val="00DA7276"/>
    <w:rsid w:val="00DB1D67"/>
    <w:rsid w:val="00DB1ED9"/>
    <w:rsid w:val="00DB295A"/>
    <w:rsid w:val="00DB2A72"/>
    <w:rsid w:val="00DB4607"/>
    <w:rsid w:val="00DB4869"/>
    <w:rsid w:val="00DB52E3"/>
    <w:rsid w:val="00DB5783"/>
    <w:rsid w:val="00DB650D"/>
    <w:rsid w:val="00DB6586"/>
    <w:rsid w:val="00DB7412"/>
    <w:rsid w:val="00DC2667"/>
    <w:rsid w:val="00DC3118"/>
    <w:rsid w:val="00DC3345"/>
    <w:rsid w:val="00DC452D"/>
    <w:rsid w:val="00DC4653"/>
    <w:rsid w:val="00DC6B3D"/>
    <w:rsid w:val="00DD0285"/>
    <w:rsid w:val="00DD191A"/>
    <w:rsid w:val="00DD2B24"/>
    <w:rsid w:val="00DD2F06"/>
    <w:rsid w:val="00DD3652"/>
    <w:rsid w:val="00DD4AE8"/>
    <w:rsid w:val="00DD6667"/>
    <w:rsid w:val="00DD6A93"/>
    <w:rsid w:val="00DD6B72"/>
    <w:rsid w:val="00DE07BA"/>
    <w:rsid w:val="00DE39B1"/>
    <w:rsid w:val="00DE5687"/>
    <w:rsid w:val="00DF2055"/>
    <w:rsid w:val="00DF26A2"/>
    <w:rsid w:val="00DF2EA1"/>
    <w:rsid w:val="00DF37CB"/>
    <w:rsid w:val="00DF5721"/>
    <w:rsid w:val="00DF5FDF"/>
    <w:rsid w:val="00DF66D8"/>
    <w:rsid w:val="00DF6901"/>
    <w:rsid w:val="00DF6EB9"/>
    <w:rsid w:val="00E012A6"/>
    <w:rsid w:val="00E0175E"/>
    <w:rsid w:val="00E01EF7"/>
    <w:rsid w:val="00E025BD"/>
    <w:rsid w:val="00E02F05"/>
    <w:rsid w:val="00E051A9"/>
    <w:rsid w:val="00E068AB"/>
    <w:rsid w:val="00E07E3D"/>
    <w:rsid w:val="00E110EB"/>
    <w:rsid w:val="00E1337E"/>
    <w:rsid w:val="00E16C4D"/>
    <w:rsid w:val="00E1752B"/>
    <w:rsid w:val="00E175FE"/>
    <w:rsid w:val="00E17AE3"/>
    <w:rsid w:val="00E20E43"/>
    <w:rsid w:val="00E2347A"/>
    <w:rsid w:val="00E23C5F"/>
    <w:rsid w:val="00E24D9F"/>
    <w:rsid w:val="00E2533E"/>
    <w:rsid w:val="00E25BBB"/>
    <w:rsid w:val="00E25D4F"/>
    <w:rsid w:val="00E26A0D"/>
    <w:rsid w:val="00E27BDF"/>
    <w:rsid w:val="00E31794"/>
    <w:rsid w:val="00E31DD2"/>
    <w:rsid w:val="00E341EF"/>
    <w:rsid w:val="00E34FA9"/>
    <w:rsid w:val="00E353E2"/>
    <w:rsid w:val="00E37BCE"/>
    <w:rsid w:val="00E4079C"/>
    <w:rsid w:val="00E42652"/>
    <w:rsid w:val="00E44347"/>
    <w:rsid w:val="00E45A1A"/>
    <w:rsid w:val="00E45BFA"/>
    <w:rsid w:val="00E46D6A"/>
    <w:rsid w:val="00E47ABD"/>
    <w:rsid w:val="00E50A51"/>
    <w:rsid w:val="00E50C50"/>
    <w:rsid w:val="00E54252"/>
    <w:rsid w:val="00E55767"/>
    <w:rsid w:val="00E56C06"/>
    <w:rsid w:val="00E5746C"/>
    <w:rsid w:val="00E60483"/>
    <w:rsid w:val="00E60C1F"/>
    <w:rsid w:val="00E6204E"/>
    <w:rsid w:val="00E63798"/>
    <w:rsid w:val="00E63AC1"/>
    <w:rsid w:val="00E64D48"/>
    <w:rsid w:val="00E6787C"/>
    <w:rsid w:val="00E7052A"/>
    <w:rsid w:val="00E70E80"/>
    <w:rsid w:val="00E715F5"/>
    <w:rsid w:val="00E71C2F"/>
    <w:rsid w:val="00E73058"/>
    <w:rsid w:val="00E73EF5"/>
    <w:rsid w:val="00E7487D"/>
    <w:rsid w:val="00E81170"/>
    <w:rsid w:val="00E82074"/>
    <w:rsid w:val="00E824AD"/>
    <w:rsid w:val="00E83CEA"/>
    <w:rsid w:val="00E85EFD"/>
    <w:rsid w:val="00E86A4D"/>
    <w:rsid w:val="00E86BEA"/>
    <w:rsid w:val="00E87969"/>
    <w:rsid w:val="00E90B64"/>
    <w:rsid w:val="00E93A25"/>
    <w:rsid w:val="00E93F07"/>
    <w:rsid w:val="00E941B9"/>
    <w:rsid w:val="00E946C7"/>
    <w:rsid w:val="00E94854"/>
    <w:rsid w:val="00E971FA"/>
    <w:rsid w:val="00E975A6"/>
    <w:rsid w:val="00E976AE"/>
    <w:rsid w:val="00E97F26"/>
    <w:rsid w:val="00EA2140"/>
    <w:rsid w:val="00EA260A"/>
    <w:rsid w:val="00EA3792"/>
    <w:rsid w:val="00EA4AFB"/>
    <w:rsid w:val="00EA78E7"/>
    <w:rsid w:val="00EB1531"/>
    <w:rsid w:val="00EB18B2"/>
    <w:rsid w:val="00EB2D0F"/>
    <w:rsid w:val="00EB3F20"/>
    <w:rsid w:val="00EB4B92"/>
    <w:rsid w:val="00EB4D87"/>
    <w:rsid w:val="00EB65FC"/>
    <w:rsid w:val="00EB777D"/>
    <w:rsid w:val="00EC277A"/>
    <w:rsid w:val="00ED0671"/>
    <w:rsid w:val="00ED0729"/>
    <w:rsid w:val="00ED1F1E"/>
    <w:rsid w:val="00ED2B9C"/>
    <w:rsid w:val="00ED3226"/>
    <w:rsid w:val="00ED3B91"/>
    <w:rsid w:val="00ED3C65"/>
    <w:rsid w:val="00ED42FB"/>
    <w:rsid w:val="00ED5535"/>
    <w:rsid w:val="00ED572E"/>
    <w:rsid w:val="00ED5D14"/>
    <w:rsid w:val="00ED616F"/>
    <w:rsid w:val="00ED70B5"/>
    <w:rsid w:val="00ED7F2C"/>
    <w:rsid w:val="00ED7F9F"/>
    <w:rsid w:val="00EE166D"/>
    <w:rsid w:val="00EE1C0A"/>
    <w:rsid w:val="00EE1D50"/>
    <w:rsid w:val="00EE4A1C"/>
    <w:rsid w:val="00EE68E0"/>
    <w:rsid w:val="00EE70AE"/>
    <w:rsid w:val="00EF0DE7"/>
    <w:rsid w:val="00EF1B27"/>
    <w:rsid w:val="00EF1C7F"/>
    <w:rsid w:val="00EF435D"/>
    <w:rsid w:val="00EF5208"/>
    <w:rsid w:val="00EF5E39"/>
    <w:rsid w:val="00EF5E62"/>
    <w:rsid w:val="00F01734"/>
    <w:rsid w:val="00F01E34"/>
    <w:rsid w:val="00F02464"/>
    <w:rsid w:val="00F02B32"/>
    <w:rsid w:val="00F031E9"/>
    <w:rsid w:val="00F0545E"/>
    <w:rsid w:val="00F06282"/>
    <w:rsid w:val="00F07F94"/>
    <w:rsid w:val="00F131CB"/>
    <w:rsid w:val="00F17DAE"/>
    <w:rsid w:val="00F21B06"/>
    <w:rsid w:val="00F22141"/>
    <w:rsid w:val="00F231B4"/>
    <w:rsid w:val="00F232FE"/>
    <w:rsid w:val="00F31325"/>
    <w:rsid w:val="00F31D68"/>
    <w:rsid w:val="00F32012"/>
    <w:rsid w:val="00F35649"/>
    <w:rsid w:val="00F35A03"/>
    <w:rsid w:val="00F35A8A"/>
    <w:rsid w:val="00F361ED"/>
    <w:rsid w:val="00F4039A"/>
    <w:rsid w:val="00F42576"/>
    <w:rsid w:val="00F42CFF"/>
    <w:rsid w:val="00F43E56"/>
    <w:rsid w:val="00F441B1"/>
    <w:rsid w:val="00F44D82"/>
    <w:rsid w:val="00F455C6"/>
    <w:rsid w:val="00F45FC7"/>
    <w:rsid w:val="00F46B03"/>
    <w:rsid w:val="00F47B7F"/>
    <w:rsid w:val="00F52198"/>
    <w:rsid w:val="00F53E92"/>
    <w:rsid w:val="00F53F89"/>
    <w:rsid w:val="00F60C69"/>
    <w:rsid w:val="00F62575"/>
    <w:rsid w:val="00F6280D"/>
    <w:rsid w:val="00F63B10"/>
    <w:rsid w:val="00F6627E"/>
    <w:rsid w:val="00F666EB"/>
    <w:rsid w:val="00F66ADB"/>
    <w:rsid w:val="00F66B80"/>
    <w:rsid w:val="00F671C9"/>
    <w:rsid w:val="00F6738C"/>
    <w:rsid w:val="00F701C7"/>
    <w:rsid w:val="00F70EF3"/>
    <w:rsid w:val="00F72E14"/>
    <w:rsid w:val="00F73A0F"/>
    <w:rsid w:val="00F74D79"/>
    <w:rsid w:val="00F74D82"/>
    <w:rsid w:val="00F76FF4"/>
    <w:rsid w:val="00F779EA"/>
    <w:rsid w:val="00F77A6D"/>
    <w:rsid w:val="00F8031D"/>
    <w:rsid w:val="00F80AB2"/>
    <w:rsid w:val="00F812DD"/>
    <w:rsid w:val="00F817AD"/>
    <w:rsid w:val="00F84609"/>
    <w:rsid w:val="00F84F13"/>
    <w:rsid w:val="00F862F6"/>
    <w:rsid w:val="00F86334"/>
    <w:rsid w:val="00F86AE4"/>
    <w:rsid w:val="00F87817"/>
    <w:rsid w:val="00F87F61"/>
    <w:rsid w:val="00F87FE7"/>
    <w:rsid w:val="00F91FCF"/>
    <w:rsid w:val="00FA0141"/>
    <w:rsid w:val="00FA04B6"/>
    <w:rsid w:val="00FA0BCB"/>
    <w:rsid w:val="00FA29EF"/>
    <w:rsid w:val="00FA399A"/>
    <w:rsid w:val="00FA775C"/>
    <w:rsid w:val="00FB1965"/>
    <w:rsid w:val="00FB365F"/>
    <w:rsid w:val="00FB4838"/>
    <w:rsid w:val="00FB4A7F"/>
    <w:rsid w:val="00FB668F"/>
    <w:rsid w:val="00FC06B2"/>
    <w:rsid w:val="00FC10B5"/>
    <w:rsid w:val="00FC121E"/>
    <w:rsid w:val="00FC3E06"/>
    <w:rsid w:val="00FC5D1C"/>
    <w:rsid w:val="00FC65CB"/>
    <w:rsid w:val="00FC6963"/>
    <w:rsid w:val="00FD041F"/>
    <w:rsid w:val="00FD0AF0"/>
    <w:rsid w:val="00FD1B09"/>
    <w:rsid w:val="00FD2108"/>
    <w:rsid w:val="00FD3D47"/>
    <w:rsid w:val="00FD45E6"/>
    <w:rsid w:val="00FD6FB4"/>
    <w:rsid w:val="00FD7BD9"/>
    <w:rsid w:val="00FE0EFB"/>
    <w:rsid w:val="00FE2590"/>
    <w:rsid w:val="00FE2965"/>
    <w:rsid w:val="00FE2F6B"/>
    <w:rsid w:val="00FE4467"/>
    <w:rsid w:val="00FF1D02"/>
    <w:rsid w:val="00FF2E2A"/>
    <w:rsid w:val="00FF4133"/>
    <w:rsid w:val="00FF4A60"/>
    <w:rsid w:val="00FF6382"/>
    <w:rsid w:val="00FF6774"/>
    <w:rsid w:val="00FF6B38"/>
    <w:rsid w:val="00FF7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FD0A9"/>
  <w15:docId w15:val="{6D448849-6124-FF4A-9318-EB505A92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4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D54BA"/>
    <w:rPr>
      <w:sz w:val="20"/>
      <w:szCs w:val="20"/>
    </w:rPr>
  </w:style>
  <w:style w:type="character" w:styleId="FootnoteReference">
    <w:name w:val="footnote reference"/>
    <w:uiPriority w:val="99"/>
    <w:rsid w:val="007D54BA"/>
    <w:rPr>
      <w:vertAlign w:val="superscript"/>
    </w:rPr>
  </w:style>
  <w:style w:type="paragraph" w:styleId="Footer">
    <w:name w:val="footer"/>
    <w:basedOn w:val="Normal"/>
    <w:link w:val="FooterChar"/>
    <w:uiPriority w:val="99"/>
    <w:rsid w:val="00FA29EF"/>
    <w:pPr>
      <w:tabs>
        <w:tab w:val="center" w:pos="4320"/>
        <w:tab w:val="right" w:pos="8640"/>
      </w:tabs>
    </w:pPr>
  </w:style>
  <w:style w:type="character" w:styleId="PageNumber">
    <w:name w:val="page number"/>
    <w:basedOn w:val="DefaultParagraphFont"/>
    <w:rsid w:val="00FA29EF"/>
  </w:style>
  <w:style w:type="character" w:customStyle="1" w:styleId="FootnoteTextChar">
    <w:name w:val="Footnote Text Char"/>
    <w:link w:val="FootnoteText"/>
    <w:uiPriority w:val="99"/>
    <w:rsid w:val="00825D26"/>
    <w:rPr>
      <w:lang w:val="en-US" w:eastAsia="en-US"/>
    </w:rPr>
  </w:style>
  <w:style w:type="paragraph" w:styleId="Header">
    <w:name w:val="header"/>
    <w:basedOn w:val="Normal"/>
    <w:link w:val="HeaderChar"/>
    <w:uiPriority w:val="99"/>
    <w:rsid w:val="00E25D4F"/>
    <w:pPr>
      <w:tabs>
        <w:tab w:val="center" w:pos="4680"/>
        <w:tab w:val="right" w:pos="9360"/>
      </w:tabs>
    </w:pPr>
    <w:rPr>
      <w:lang w:val="x-none" w:eastAsia="x-none"/>
    </w:rPr>
  </w:style>
  <w:style w:type="character" w:customStyle="1" w:styleId="HeaderChar">
    <w:name w:val="Header Char"/>
    <w:link w:val="Header"/>
    <w:uiPriority w:val="99"/>
    <w:rsid w:val="00E25D4F"/>
    <w:rPr>
      <w:sz w:val="24"/>
      <w:szCs w:val="24"/>
    </w:rPr>
  </w:style>
  <w:style w:type="paragraph" w:styleId="EndnoteText">
    <w:name w:val="endnote text"/>
    <w:basedOn w:val="Normal"/>
    <w:link w:val="EndnoteTextChar"/>
    <w:rsid w:val="00C11397"/>
    <w:rPr>
      <w:sz w:val="20"/>
      <w:szCs w:val="20"/>
    </w:rPr>
  </w:style>
  <w:style w:type="character" w:customStyle="1" w:styleId="EndnoteTextChar">
    <w:name w:val="Endnote Text Char"/>
    <w:basedOn w:val="DefaultParagraphFont"/>
    <w:link w:val="EndnoteText"/>
    <w:rsid w:val="00C11397"/>
  </w:style>
  <w:style w:type="character" w:styleId="EndnoteReference">
    <w:name w:val="endnote reference"/>
    <w:rsid w:val="00C11397"/>
    <w:rPr>
      <w:vertAlign w:val="superscript"/>
    </w:rPr>
  </w:style>
  <w:style w:type="paragraph" w:styleId="ListParagraph">
    <w:name w:val="List Paragraph"/>
    <w:basedOn w:val="Normal"/>
    <w:uiPriority w:val="34"/>
    <w:qFormat/>
    <w:rsid w:val="00AA6A16"/>
    <w:pPr>
      <w:spacing w:after="200" w:line="276" w:lineRule="auto"/>
      <w:ind w:left="720"/>
      <w:contextualSpacing/>
    </w:pPr>
    <w:rPr>
      <w:rFonts w:eastAsia="Calibri"/>
      <w:lang w:val="id-ID"/>
    </w:rPr>
  </w:style>
  <w:style w:type="table" w:styleId="TableGrid">
    <w:name w:val="Table Grid"/>
    <w:basedOn w:val="TableNormal"/>
    <w:uiPriority w:val="59"/>
    <w:rsid w:val="00AA6A16"/>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670"/>
    <w:pPr>
      <w:autoSpaceDE w:val="0"/>
      <w:autoSpaceDN w:val="0"/>
      <w:adjustRightInd w:val="0"/>
    </w:pPr>
    <w:rPr>
      <w:rFonts w:eastAsia="Calibri"/>
      <w:color w:val="000000"/>
      <w:sz w:val="24"/>
      <w:szCs w:val="24"/>
      <w:lang w:val="id-ID"/>
    </w:rPr>
  </w:style>
  <w:style w:type="character" w:styleId="Hyperlink">
    <w:name w:val="Hyperlink"/>
    <w:rsid w:val="00A00772"/>
    <w:rPr>
      <w:color w:val="0000FF"/>
      <w:u w:val="single"/>
    </w:rPr>
  </w:style>
  <w:style w:type="character" w:customStyle="1" w:styleId="FooterChar">
    <w:name w:val="Footer Char"/>
    <w:link w:val="Footer"/>
    <w:uiPriority w:val="99"/>
    <w:rsid w:val="00C203AF"/>
    <w:rPr>
      <w:sz w:val="24"/>
      <w:szCs w:val="24"/>
    </w:rPr>
  </w:style>
  <w:style w:type="paragraph" w:styleId="NormalWeb">
    <w:name w:val="Normal (Web)"/>
    <w:basedOn w:val="Normal"/>
    <w:uiPriority w:val="99"/>
    <w:unhideWhenUsed/>
    <w:rsid w:val="00854260"/>
    <w:pPr>
      <w:spacing w:before="100" w:beforeAutospacing="1" w:after="100" w:afterAutospacing="1"/>
    </w:pPr>
  </w:style>
  <w:style w:type="character" w:styleId="Strong">
    <w:name w:val="Strong"/>
    <w:uiPriority w:val="22"/>
    <w:qFormat/>
    <w:rsid w:val="00854260"/>
    <w:rPr>
      <w:b/>
      <w:bCs/>
    </w:rPr>
  </w:style>
  <w:style w:type="character" w:customStyle="1" w:styleId="SebutanYangBelumTerselesaikan1">
    <w:name w:val="Sebutan Yang Belum Terselesaikan1"/>
    <w:uiPriority w:val="99"/>
    <w:semiHidden/>
    <w:unhideWhenUsed/>
    <w:rsid w:val="007B1A4F"/>
    <w:rPr>
      <w:color w:val="605E5C"/>
      <w:shd w:val="clear" w:color="auto" w:fill="E1DFDD"/>
    </w:rPr>
  </w:style>
  <w:style w:type="character" w:styleId="CommentReference">
    <w:name w:val="annotation reference"/>
    <w:basedOn w:val="DefaultParagraphFont"/>
    <w:semiHidden/>
    <w:unhideWhenUsed/>
    <w:rsid w:val="00584A50"/>
    <w:rPr>
      <w:sz w:val="16"/>
      <w:szCs w:val="16"/>
    </w:rPr>
  </w:style>
  <w:style w:type="paragraph" w:styleId="CommentText">
    <w:name w:val="annotation text"/>
    <w:basedOn w:val="Normal"/>
    <w:link w:val="CommentTextChar"/>
    <w:semiHidden/>
    <w:unhideWhenUsed/>
    <w:rsid w:val="00584A50"/>
    <w:rPr>
      <w:sz w:val="20"/>
      <w:szCs w:val="20"/>
    </w:rPr>
  </w:style>
  <w:style w:type="character" w:customStyle="1" w:styleId="CommentTextChar">
    <w:name w:val="Comment Text Char"/>
    <w:basedOn w:val="DefaultParagraphFont"/>
    <w:link w:val="CommentText"/>
    <w:semiHidden/>
    <w:rsid w:val="00584A50"/>
  </w:style>
  <w:style w:type="paragraph" w:styleId="CommentSubject">
    <w:name w:val="annotation subject"/>
    <w:basedOn w:val="CommentText"/>
    <w:next w:val="CommentText"/>
    <w:link w:val="CommentSubjectChar"/>
    <w:semiHidden/>
    <w:unhideWhenUsed/>
    <w:rsid w:val="00584A50"/>
    <w:rPr>
      <w:b/>
      <w:bCs/>
    </w:rPr>
  </w:style>
  <w:style w:type="character" w:customStyle="1" w:styleId="CommentSubjectChar">
    <w:name w:val="Comment Subject Char"/>
    <w:basedOn w:val="CommentTextChar"/>
    <w:link w:val="CommentSubject"/>
    <w:semiHidden/>
    <w:rsid w:val="00584A50"/>
    <w:rPr>
      <w:b/>
      <w:bCs/>
    </w:rPr>
  </w:style>
  <w:style w:type="paragraph" w:styleId="HTMLPreformatted">
    <w:name w:val="HTML Preformatted"/>
    <w:basedOn w:val="Normal"/>
    <w:link w:val="HTMLPreformattedChar"/>
    <w:uiPriority w:val="99"/>
    <w:semiHidden/>
    <w:unhideWhenUsed/>
    <w:rsid w:val="00E4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47ABD"/>
    <w:rPr>
      <w:rFonts w:ascii="Courier New" w:hAnsi="Courier New" w:cs="Courier New"/>
    </w:rPr>
  </w:style>
  <w:style w:type="character" w:customStyle="1" w:styleId="y2iqfc">
    <w:name w:val="y2iqfc"/>
    <w:basedOn w:val="DefaultParagraphFont"/>
    <w:rsid w:val="00E47ABD"/>
  </w:style>
  <w:style w:type="character" w:styleId="UnresolvedMention">
    <w:name w:val="Unresolved Mention"/>
    <w:basedOn w:val="DefaultParagraphFont"/>
    <w:uiPriority w:val="99"/>
    <w:semiHidden/>
    <w:unhideWhenUsed/>
    <w:rsid w:val="00B63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0096">
      <w:bodyDiv w:val="1"/>
      <w:marLeft w:val="0"/>
      <w:marRight w:val="0"/>
      <w:marTop w:val="0"/>
      <w:marBottom w:val="0"/>
      <w:divBdr>
        <w:top w:val="none" w:sz="0" w:space="0" w:color="auto"/>
        <w:left w:val="none" w:sz="0" w:space="0" w:color="auto"/>
        <w:bottom w:val="none" w:sz="0" w:space="0" w:color="auto"/>
        <w:right w:val="none" w:sz="0" w:space="0" w:color="auto"/>
      </w:divBdr>
    </w:div>
    <w:div w:id="505291623">
      <w:bodyDiv w:val="1"/>
      <w:marLeft w:val="0"/>
      <w:marRight w:val="0"/>
      <w:marTop w:val="0"/>
      <w:marBottom w:val="0"/>
      <w:divBdr>
        <w:top w:val="none" w:sz="0" w:space="0" w:color="auto"/>
        <w:left w:val="none" w:sz="0" w:space="0" w:color="auto"/>
        <w:bottom w:val="none" w:sz="0" w:space="0" w:color="auto"/>
        <w:right w:val="none" w:sz="0" w:space="0" w:color="auto"/>
      </w:divBdr>
    </w:div>
    <w:div w:id="823013380">
      <w:bodyDiv w:val="1"/>
      <w:marLeft w:val="0"/>
      <w:marRight w:val="0"/>
      <w:marTop w:val="0"/>
      <w:marBottom w:val="0"/>
      <w:divBdr>
        <w:top w:val="none" w:sz="0" w:space="0" w:color="auto"/>
        <w:left w:val="none" w:sz="0" w:space="0" w:color="auto"/>
        <w:bottom w:val="none" w:sz="0" w:space="0" w:color="auto"/>
        <w:right w:val="none" w:sz="0" w:space="0" w:color="auto"/>
      </w:divBdr>
      <w:divsChild>
        <w:div w:id="933435877">
          <w:marLeft w:val="0"/>
          <w:marRight w:val="0"/>
          <w:marTop w:val="0"/>
          <w:marBottom w:val="0"/>
          <w:divBdr>
            <w:top w:val="none" w:sz="0" w:space="0" w:color="auto"/>
            <w:left w:val="none" w:sz="0" w:space="0" w:color="auto"/>
            <w:bottom w:val="none" w:sz="0" w:space="0" w:color="auto"/>
            <w:right w:val="none" w:sz="0" w:space="0" w:color="auto"/>
          </w:divBdr>
        </w:div>
        <w:div w:id="37169953">
          <w:marLeft w:val="0"/>
          <w:marRight w:val="0"/>
          <w:marTop w:val="0"/>
          <w:marBottom w:val="0"/>
          <w:divBdr>
            <w:top w:val="none" w:sz="0" w:space="0" w:color="auto"/>
            <w:left w:val="none" w:sz="0" w:space="0" w:color="auto"/>
            <w:bottom w:val="none" w:sz="0" w:space="0" w:color="auto"/>
            <w:right w:val="none" w:sz="0" w:space="0" w:color="auto"/>
          </w:divBdr>
        </w:div>
      </w:divsChild>
    </w:div>
    <w:div w:id="924873551">
      <w:bodyDiv w:val="1"/>
      <w:marLeft w:val="0"/>
      <w:marRight w:val="0"/>
      <w:marTop w:val="0"/>
      <w:marBottom w:val="0"/>
      <w:divBdr>
        <w:top w:val="none" w:sz="0" w:space="0" w:color="auto"/>
        <w:left w:val="none" w:sz="0" w:space="0" w:color="auto"/>
        <w:bottom w:val="none" w:sz="0" w:space="0" w:color="auto"/>
        <w:right w:val="none" w:sz="0" w:space="0" w:color="auto"/>
      </w:divBdr>
      <w:divsChild>
        <w:div w:id="1265377669">
          <w:marLeft w:val="0"/>
          <w:marRight w:val="0"/>
          <w:marTop w:val="0"/>
          <w:marBottom w:val="0"/>
          <w:divBdr>
            <w:top w:val="none" w:sz="0" w:space="0" w:color="auto"/>
            <w:left w:val="none" w:sz="0" w:space="0" w:color="auto"/>
            <w:bottom w:val="none" w:sz="0" w:space="0" w:color="auto"/>
            <w:right w:val="none" w:sz="0" w:space="0" w:color="auto"/>
          </w:divBdr>
        </w:div>
        <w:div w:id="1873181647">
          <w:marLeft w:val="0"/>
          <w:marRight w:val="0"/>
          <w:marTop w:val="0"/>
          <w:marBottom w:val="0"/>
          <w:divBdr>
            <w:top w:val="none" w:sz="0" w:space="0" w:color="auto"/>
            <w:left w:val="none" w:sz="0" w:space="0" w:color="auto"/>
            <w:bottom w:val="none" w:sz="0" w:space="0" w:color="auto"/>
            <w:right w:val="none" w:sz="0" w:space="0" w:color="auto"/>
          </w:divBdr>
        </w:div>
        <w:div w:id="1784300401">
          <w:marLeft w:val="0"/>
          <w:marRight w:val="0"/>
          <w:marTop w:val="0"/>
          <w:marBottom w:val="0"/>
          <w:divBdr>
            <w:top w:val="none" w:sz="0" w:space="0" w:color="auto"/>
            <w:left w:val="none" w:sz="0" w:space="0" w:color="auto"/>
            <w:bottom w:val="none" w:sz="0" w:space="0" w:color="auto"/>
            <w:right w:val="none" w:sz="0" w:space="0" w:color="auto"/>
          </w:divBdr>
        </w:div>
        <w:div w:id="1810390794">
          <w:marLeft w:val="0"/>
          <w:marRight w:val="0"/>
          <w:marTop w:val="0"/>
          <w:marBottom w:val="0"/>
          <w:divBdr>
            <w:top w:val="none" w:sz="0" w:space="0" w:color="auto"/>
            <w:left w:val="none" w:sz="0" w:space="0" w:color="auto"/>
            <w:bottom w:val="none" w:sz="0" w:space="0" w:color="auto"/>
            <w:right w:val="none" w:sz="0" w:space="0" w:color="auto"/>
          </w:divBdr>
        </w:div>
      </w:divsChild>
    </w:div>
    <w:div w:id="1403092486">
      <w:bodyDiv w:val="1"/>
      <w:marLeft w:val="0"/>
      <w:marRight w:val="0"/>
      <w:marTop w:val="0"/>
      <w:marBottom w:val="0"/>
      <w:divBdr>
        <w:top w:val="none" w:sz="0" w:space="0" w:color="auto"/>
        <w:left w:val="none" w:sz="0" w:space="0" w:color="auto"/>
        <w:bottom w:val="none" w:sz="0" w:space="0" w:color="auto"/>
        <w:right w:val="none" w:sz="0" w:space="0" w:color="auto"/>
      </w:divBdr>
      <w:divsChild>
        <w:div w:id="319307683">
          <w:marLeft w:val="0"/>
          <w:marRight w:val="0"/>
          <w:marTop w:val="0"/>
          <w:marBottom w:val="0"/>
          <w:divBdr>
            <w:top w:val="none" w:sz="0" w:space="0" w:color="auto"/>
            <w:left w:val="none" w:sz="0" w:space="0" w:color="auto"/>
            <w:bottom w:val="none" w:sz="0" w:space="0" w:color="auto"/>
            <w:right w:val="none" w:sz="0" w:space="0" w:color="auto"/>
          </w:divBdr>
        </w:div>
        <w:div w:id="1674143952">
          <w:marLeft w:val="0"/>
          <w:marRight w:val="0"/>
          <w:marTop w:val="0"/>
          <w:marBottom w:val="0"/>
          <w:divBdr>
            <w:top w:val="none" w:sz="0" w:space="0" w:color="auto"/>
            <w:left w:val="none" w:sz="0" w:space="0" w:color="auto"/>
            <w:bottom w:val="none" w:sz="0" w:space="0" w:color="auto"/>
            <w:right w:val="none" w:sz="0" w:space="0" w:color="auto"/>
          </w:divBdr>
        </w:div>
        <w:div w:id="171771613">
          <w:marLeft w:val="0"/>
          <w:marRight w:val="0"/>
          <w:marTop w:val="0"/>
          <w:marBottom w:val="0"/>
          <w:divBdr>
            <w:top w:val="none" w:sz="0" w:space="0" w:color="auto"/>
            <w:left w:val="none" w:sz="0" w:space="0" w:color="auto"/>
            <w:bottom w:val="none" w:sz="0" w:space="0" w:color="auto"/>
            <w:right w:val="none" w:sz="0" w:space="0" w:color="auto"/>
          </w:divBdr>
        </w:div>
        <w:div w:id="1272663147">
          <w:marLeft w:val="0"/>
          <w:marRight w:val="0"/>
          <w:marTop w:val="0"/>
          <w:marBottom w:val="0"/>
          <w:divBdr>
            <w:top w:val="none" w:sz="0" w:space="0" w:color="auto"/>
            <w:left w:val="none" w:sz="0" w:space="0" w:color="auto"/>
            <w:bottom w:val="none" w:sz="0" w:space="0" w:color="auto"/>
            <w:right w:val="none" w:sz="0" w:space="0" w:color="auto"/>
          </w:divBdr>
        </w:div>
      </w:divsChild>
    </w:div>
    <w:div w:id="1810171210">
      <w:bodyDiv w:val="1"/>
      <w:marLeft w:val="0"/>
      <w:marRight w:val="0"/>
      <w:marTop w:val="0"/>
      <w:marBottom w:val="0"/>
      <w:divBdr>
        <w:top w:val="none" w:sz="0" w:space="0" w:color="auto"/>
        <w:left w:val="none" w:sz="0" w:space="0" w:color="auto"/>
        <w:bottom w:val="none" w:sz="0" w:space="0" w:color="auto"/>
        <w:right w:val="none" w:sz="0" w:space="0" w:color="auto"/>
      </w:divBdr>
    </w:div>
    <w:div w:id="20510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6F43B-0205-4487-ACA2-B1BFCFAD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4573</TotalTime>
  <Pages>22</Pages>
  <Words>6750</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PROPOSAL PENELITIAN</vt:lpstr>
    </vt:vector>
  </TitlesOfParts>
  <Company/>
  <LinksUpToDate>false</LinksUpToDate>
  <CharactersWithSpaces>45141</CharactersWithSpaces>
  <SharedDoc>false</SharedDoc>
  <HLinks>
    <vt:vector size="6" baseType="variant">
      <vt:variant>
        <vt:i4>7798793</vt:i4>
      </vt:variant>
      <vt:variant>
        <vt:i4>0</vt:i4>
      </vt:variant>
      <vt:variant>
        <vt:i4>0</vt:i4>
      </vt:variant>
      <vt:variant>
        <vt:i4>5</vt:i4>
      </vt:variant>
      <vt:variant>
        <vt:lpwstr>mailto:nofiardi@uinbukittinggi.ac.id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PENELITIAN</dc:title>
  <dc:creator>AMANAH.COM</dc:creator>
  <cp:lastModifiedBy>Dell</cp:lastModifiedBy>
  <cp:revision>456</cp:revision>
  <cp:lastPrinted>2019-12-02T10:55:00Z</cp:lastPrinted>
  <dcterms:created xsi:type="dcterms:W3CDTF">2023-03-16T08:07:00Z</dcterms:created>
  <dcterms:modified xsi:type="dcterms:W3CDTF">2024-02-06T12:16:00Z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616a75b2-bb71-352b-bc7d-b1424be565cb</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