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EEEC" w14:textId="77777777" w:rsidR="00D4500C" w:rsidRPr="007E2939" w:rsidRDefault="00D4500C" w:rsidP="00D4500C">
      <w:pPr>
        <w:spacing w:line="360" w:lineRule="auto"/>
        <w:jc w:val="center"/>
        <w:rPr>
          <w:rFonts w:ascii="Arial" w:hAnsi="Arial" w:cs="Arial"/>
        </w:rPr>
      </w:pPr>
      <w:r w:rsidRPr="007E2939">
        <w:rPr>
          <w:rFonts w:ascii="Arial" w:hAnsi="Arial" w:cs="Arial"/>
        </w:rPr>
        <w:t xml:space="preserve">Table 1. Comparison among the results of processing the </w:t>
      </w:r>
      <w:proofErr w:type="spellStart"/>
      <w:r w:rsidRPr="007E2939">
        <w:rPr>
          <w:rFonts w:ascii="Arial" w:hAnsi="Arial" w:cs="Arial"/>
        </w:rPr>
        <w:t>VOSviewer</w:t>
      </w:r>
      <w:proofErr w:type="spellEnd"/>
      <w:r w:rsidRPr="007E2939">
        <w:rPr>
          <w:rFonts w:ascii="Arial" w:hAnsi="Arial" w:cs="Arial"/>
        </w:rPr>
        <w:t xml:space="preserve"> circular business model for green, purple, and turquoise clusters</w:t>
      </w:r>
    </w:p>
    <w:tbl>
      <w:tblPr>
        <w:tblStyle w:val="TableGrid"/>
        <w:tblW w:w="5000" w:type="pct"/>
        <w:jc w:val="center"/>
        <w:tblLook w:val="04A0" w:firstRow="1" w:lastRow="0" w:firstColumn="1" w:lastColumn="0" w:noHBand="0" w:noVBand="1"/>
      </w:tblPr>
      <w:tblGrid>
        <w:gridCol w:w="590"/>
        <w:gridCol w:w="1777"/>
        <w:gridCol w:w="2103"/>
        <w:gridCol w:w="1844"/>
        <w:gridCol w:w="2175"/>
        <w:gridCol w:w="1777"/>
        <w:gridCol w:w="2595"/>
      </w:tblGrid>
      <w:tr w:rsidR="00D4500C" w:rsidRPr="007E2939" w14:paraId="7CD2BF4B" w14:textId="77777777" w:rsidTr="001E626E">
        <w:trPr>
          <w:jc w:val="center"/>
        </w:trPr>
        <w:tc>
          <w:tcPr>
            <w:tcW w:w="228" w:type="pct"/>
            <w:vMerge w:val="restart"/>
            <w:vAlign w:val="center"/>
          </w:tcPr>
          <w:p w14:paraId="1EF6AAE1" w14:textId="77777777" w:rsidR="00D4500C" w:rsidRPr="007E2939" w:rsidRDefault="00D4500C" w:rsidP="001E626E">
            <w:pPr>
              <w:spacing w:line="360" w:lineRule="auto"/>
              <w:jc w:val="center"/>
              <w:rPr>
                <w:rFonts w:ascii="Arial" w:hAnsi="Arial" w:cs="Arial"/>
              </w:rPr>
            </w:pPr>
            <w:r w:rsidRPr="007E2939">
              <w:rPr>
                <w:rFonts w:ascii="Arial" w:hAnsi="Arial" w:cs="Arial"/>
              </w:rPr>
              <w:t>No.</w:t>
            </w:r>
          </w:p>
        </w:tc>
        <w:tc>
          <w:tcPr>
            <w:tcW w:w="1509" w:type="pct"/>
            <w:gridSpan w:val="2"/>
            <w:vAlign w:val="center"/>
          </w:tcPr>
          <w:p w14:paraId="780636BA" w14:textId="77777777" w:rsidR="00D4500C" w:rsidRPr="007E2939" w:rsidRDefault="00D4500C" w:rsidP="001E626E">
            <w:pPr>
              <w:spacing w:line="360" w:lineRule="auto"/>
              <w:jc w:val="center"/>
              <w:rPr>
                <w:rFonts w:ascii="Arial" w:hAnsi="Arial" w:cs="Arial"/>
              </w:rPr>
            </w:pPr>
            <w:r w:rsidRPr="007E2939">
              <w:rPr>
                <w:rFonts w:ascii="Arial" w:hAnsi="Arial" w:cs="Arial"/>
              </w:rPr>
              <w:t>Green clusters associated with</w:t>
            </w:r>
          </w:p>
        </w:tc>
        <w:tc>
          <w:tcPr>
            <w:tcW w:w="1563" w:type="pct"/>
            <w:gridSpan w:val="2"/>
            <w:vAlign w:val="center"/>
          </w:tcPr>
          <w:p w14:paraId="216E783B" w14:textId="77777777" w:rsidR="00D4500C" w:rsidRPr="007E2939" w:rsidRDefault="00D4500C" w:rsidP="001E626E">
            <w:pPr>
              <w:spacing w:line="360" w:lineRule="auto"/>
              <w:jc w:val="center"/>
              <w:rPr>
                <w:rFonts w:ascii="Arial" w:hAnsi="Arial" w:cs="Arial"/>
              </w:rPr>
            </w:pPr>
            <w:r w:rsidRPr="007E2939">
              <w:rPr>
                <w:rFonts w:ascii="Arial" w:hAnsi="Arial" w:cs="Arial"/>
              </w:rPr>
              <w:t>Purple clusters associated with</w:t>
            </w:r>
          </w:p>
        </w:tc>
        <w:tc>
          <w:tcPr>
            <w:tcW w:w="1700" w:type="pct"/>
            <w:gridSpan w:val="2"/>
            <w:vAlign w:val="center"/>
          </w:tcPr>
          <w:p w14:paraId="26073040" w14:textId="77777777" w:rsidR="00D4500C" w:rsidRPr="007E2939" w:rsidRDefault="00D4500C" w:rsidP="001E626E">
            <w:pPr>
              <w:spacing w:line="360" w:lineRule="auto"/>
              <w:jc w:val="center"/>
              <w:rPr>
                <w:rFonts w:ascii="Arial" w:hAnsi="Arial" w:cs="Arial"/>
              </w:rPr>
            </w:pPr>
            <w:r w:rsidRPr="007E2939">
              <w:rPr>
                <w:rFonts w:ascii="Arial" w:hAnsi="Arial" w:cs="Arial"/>
              </w:rPr>
              <w:t>Turquoise clusters associated with</w:t>
            </w:r>
          </w:p>
        </w:tc>
      </w:tr>
      <w:tr w:rsidR="00D4500C" w:rsidRPr="007E2939" w14:paraId="7600A538" w14:textId="77777777" w:rsidTr="001E626E">
        <w:trPr>
          <w:jc w:val="center"/>
        </w:trPr>
        <w:tc>
          <w:tcPr>
            <w:tcW w:w="228" w:type="pct"/>
            <w:vMerge/>
            <w:vAlign w:val="center"/>
          </w:tcPr>
          <w:p w14:paraId="3C019B5B" w14:textId="77777777" w:rsidR="00D4500C" w:rsidRPr="007E2939" w:rsidRDefault="00D4500C" w:rsidP="001E626E">
            <w:pPr>
              <w:spacing w:line="360" w:lineRule="auto"/>
              <w:jc w:val="center"/>
              <w:rPr>
                <w:rFonts w:ascii="Arial" w:hAnsi="Arial" w:cs="Arial"/>
              </w:rPr>
            </w:pPr>
          </w:p>
        </w:tc>
        <w:tc>
          <w:tcPr>
            <w:tcW w:w="687" w:type="pct"/>
            <w:vAlign w:val="center"/>
          </w:tcPr>
          <w:p w14:paraId="24B1B652" w14:textId="77777777" w:rsidR="00D4500C" w:rsidRPr="007E2939" w:rsidRDefault="00D4500C" w:rsidP="001E626E">
            <w:pPr>
              <w:spacing w:line="360" w:lineRule="auto"/>
              <w:jc w:val="center"/>
              <w:rPr>
                <w:rFonts w:ascii="Arial" w:hAnsi="Arial" w:cs="Arial"/>
              </w:rPr>
            </w:pPr>
            <w:r w:rsidRPr="007E2939">
              <w:rPr>
                <w:rFonts w:ascii="Arial" w:hAnsi="Arial" w:cs="Arial"/>
              </w:rPr>
              <w:t>Topic</w:t>
            </w:r>
          </w:p>
        </w:tc>
        <w:tc>
          <w:tcPr>
            <w:tcW w:w="822" w:type="pct"/>
            <w:vAlign w:val="center"/>
          </w:tcPr>
          <w:p w14:paraId="50AC2D79" w14:textId="77777777" w:rsidR="00D4500C" w:rsidRPr="007E2939" w:rsidRDefault="00D4500C" w:rsidP="001E626E">
            <w:pPr>
              <w:spacing w:line="360" w:lineRule="auto"/>
              <w:jc w:val="center"/>
              <w:rPr>
                <w:rFonts w:ascii="Arial" w:hAnsi="Arial" w:cs="Arial"/>
              </w:rPr>
            </w:pPr>
            <w:r w:rsidRPr="007E2939">
              <w:rPr>
                <w:rFonts w:ascii="Arial" w:hAnsi="Arial" w:cs="Arial"/>
              </w:rPr>
              <w:t>Cluster</w:t>
            </w:r>
          </w:p>
        </w:tc>
        <w:tc>
          <w:tcPr>
            <w:tcW w:w="713" w:type="pct"/>
            <w:vAlign w:val="center"/>
          </w:tcPr>
          <w:p w14:paraId="785951F2" w14:textId="77777777" w:rsidR="00D4500C" w:rsidRPr="007E2939" w:rsidRDefault="00D4500C" w:rsidP="001E626E">
            <w:pPr>
              <w:spacing w:line="360" w:lineRule="auto"/>
              <w:jc w:val="center"/>
              <w:rPr>
                <w:rFonts w:ascii="Arial" w:hAnsi="Arial" w:cs="Arial"/>
              </w:rPr>
            </w:pPr>
            <w:r w:rsidRPr="007E2939">
              <w:rPr>
                <w:rFonts w:ascii="Arial" w:hAnsi="Arial" w:cs="Arial"/>
              </w:rPr>
              <w:t>Topic</w:t>
            </w:r>
          </w:p>
        </w:tc>
        <w:tc>
          <w:tcPr>
            <w:tcW w:w="850" w:type="pct"/>
            <w:vAlign w:val="center"/>
          </w:tcPr>
          <w:p w14:paraId="15A9ACB3" w14:textId="77777777" w:rsidR="00D4500C" w:rsidRPr="007E2939" w:rsidRDefault="00D4500C" w:rsidP="001E626E">
            <w:pPr>
              <w:spacing w:line="360" w:lineRule="auto"/>
              <w:jc w:val="center"/>
              <w:rPr>
                <w:rFonts w:ascii="Arial" w:hAnsi="Arial" w:cs="Arial"/>
              </w:rPr>
            </w:pPr>
            <w:r w:rsidRPr="007E2939">
              <w:rPr>
                <w:rFonts w:ascii="Arial" w:hAnsi="Arial" w:cs="Arial"/>
              </w:rPr>
              <w:t>Cluster</w:t>
            </w:r>
          </w:p>
        </w:tc>
        <w:tc>
          <w:tcPr>
            <w:tcW w:w="687" w:type="pct"/>
            <w:vAlign w:val="center"/>
          </w:tcPr>
          <w:p w14:paraId="29530534" w14:textId="77777777" w:rsidR="00D4500C" w:rsidRPr="007E2939" w:rsidRDefault="00D4500C" w:rsidP="001E626E">
            <w:pPr>
              <w:spacing w:line="360" w:lineRule="auto"/>
              <w:jc w:val="center"/>
              <w:rPr>
                <w:rFonts w:ascii="Arial" w:hAnsi="Arial" w:cs="Arial"/>
              </w:rPr>
            </w:pPr>
            <w:r w:rsidRPr="007E2939">
              <w:rPr>
                <w:rFonts w:ascii="Arial" w:hAnsi="Arial" w:cs="Arial"/>
              </w:rPr>
              <w:t>Topic</w:t>
            </w:r>
          </w:p>
        </w:tc>
        <w:tc>
          <w:tcPr>
            <w:tcW w:w="1013" w:type="pct"/>
            <w:vAlign w:val="center"/>
          </w:tcPr>
          <w:p w14:paraId="70FB5BE0" w14:textId="77777777" w:rsidR="00D4500C" w:rsidRPr="007E2939" w:rsidRDefault="00D4500C" w:rsidP="001E626E">
            <w:pPr>
              <w:spacing w:line="360" w:lineRule="auto"/>
              <w:jc w:val="center"/>
              <w:rPr>
                <w:rFonts w:ascii="Arial" w:hAnsi="Arial" w:cs="Arial"/>
              </w:rPr>
            </w:pPr>
            <w:r w:rsidRPr="007E2939">
              <w:rPr>
                <w:rFonts w:ascii="Arial" w:hAnsi="Arial" w:cs="Arial"/>
              </w:rPr>
              <w:t>Cluster</w:t>
            </w:r>
          </w:p>
        </w:tc>
      </w:tr>
      <w:tr w:rsidR="00D4500C" w:rsidRPr="007E2939" w14:paraId="19BC8243" w14:textId="77777777" w:rsidTr="001E626E">
        <w:trPr>
          <w:jc w:val="center"/>
        </w:trPr>
        <w:tc>
          <w:tcPr>
            <w:tcW w:w="228" w:type="pct"/>
            <w:vAlign w:val="center"/>
          </w:tcPr>
          <w:p w14:paraId="11CF577F" w14:textId="77777777" w:rsidR="00D4500C" w:rsidRPr="007E2939" w:rsidRDefault="00D4500C" w:rsidP="001E626E">
            <w:pPr>
              <w:spacing w:line="360" w:lineRule="auto"/>
              <w:jc w:val="center"/>
              <w:rPr>
                <w:rFonts w:ascii="Arial" w:hAnsi="Arial" w:cs="Arial"/>
              </w:rPr>
            </w:pPr>
            <w:r w:rsidRPr="007E2939">
              <w:rPr>
                <w:rFonts w:ascii="Arial" w:hAnsi="Arial" w:cs="Arial"/>
              </w:rPr>
              <w:t>1</w:t>
            </w:r>
          </w:p>
        </w:tc>
        <w:tc>
          <w:tcPr>
            <w:tcW w:w="687" w:type="pct"/>
            <w:vAlign w:val="center"/>
          </w:tcPr>
          <w:p w14:paraId="5A5C6A3E" w14:textId="77777777" w:rsidR="00D4500C" w:rsidRPr="007E2939" w:rsidRDefault="00D4500C" w:rsidP="001E626E">
            <w:pPr>
              <w:spacing w:line="360" w:lineRule="auto"/>
              <w:jc w:val="center"/>
              <w:rPr>
                <w:rFonts w:ascii="Arial" w:hAnsi="Arial" w:cs="Arial"/>
              </w:rPr>
            </w:pPr>
            <w:r w:rsidRPr="007E2939">
              <w:rPr>
                <w:rFonts w:ascii="Arial" w:hAnsi="Arial" w:cs="Arial"/>
              </w:rPr>
              <w:t>Buildings</w:t>
            </w:r>
          </w:p>
        </w:tc>
        <w:tc>
          <w:tcPr>
            <w:tcW w:w="822" w:type="pct"/>
            <w:vMerge w:val="restart"/>
            <w:vAlign w:val="center"/>
          </w:tcPr>
          <w:p w14:paraId="2664B4D3" w14:textId="77777777" w:rsidR="00D4500C" w:rsidRPr="007E2939" w:rsidRDefault="00D4500C" w:rsidP="001E626E">
            <w:pPr>
              <w:spacing w:line="360" w:lineRule="auto"/>
              <w:jc w:val="center"/>
              <w:rPr>
                <w:rFonts w:ascii="Arial" w:hAnsi="Arial" w:cs="Arial"/>
              </w:rPr>
            </w:pPr>
            <w:r w:rsidRPr="007E2939">
              <w:rPr>
                <w:rFonts w:ascii="Arial" w:hAnsi="Arial" w:cs="Arial"/>
              </w:rPr>
              <w:t>Green</w:t>
            </w:r>
          </w:p>
        </w:tc>
        <w:tc>
          <w:tcPr>
            <w:tcW w:w="713" w:type="pct"/>
            <w:vAlign w:val="center"/>
          </w:tcPr>
          <w:p w14:paraId="0079D680" w14:textId="77777777" w:rsidR="00D4500C" w:rsidRPr="007E2939" w:rsidRDefault="00D4500C" w:rsidP="001E626E">
            <w:pPr>
              <w:spacing w:line="360" w:lineRule="auto"/>
              <w:jc w:val="center"/>
              <w:rPr>
                <w:rFonts w:ascii="Arial" w:hAnsi="Arial" w:cs="Arial"/>
              </w:rPr>
            </w:pPr>
            <w:r w:rsidRPr="007E2939">
              <w:rPr>
                <w:rFonts w:ascii="Arial" w:hAnsi="Arial" w:cs="Arial"/>
              </w:rPr>
              <w:t>Waste management</w:t>
            </w:r>
          </w:p>
        </w:tc>
        <w:tc>
          <w:tcPr>
            <w:tcW w:w="850" w:type="pct"/>
            <w:vMerge w:val="restart"/>
            <w:vAlign w:val="center"/>
          </w:tcPr>
          <w:p w14:paraId="5D26A9CA" w14:textId="77777777" w:rsidR="00D4500C" w:rsidRPr="007E2939" w:rsidRDefault="00D4500C" w:rsidP="001E626E">
            <w:pPr>
              <w:spacing w:line="360" w:lineRule="auto"/>
              <w:jc w:val="center"/>
              <w:rPr>
                <w:rFonts w:ascii="Arial" w:hAnsi="Arial" w:cs="Arial"/>
              </w:rPr>
            </w:pPr>
            <w:r w:rsidRPr="007E2939">
              <w:rPr>
                <w:rFonts w:ascii="Arial" w:hAnsi="Arial" w:cs="Arial"/>
              </w:rPr>
              <w:t>Green</w:t>
            </w:r>
          </w:p>
        </w:tc>
        <w:tc>
          <w:tcPr>
            <w:tcW w:w="687" w:type="pct"/>
            <w:vAlign w:val="center"/>
          </w:tcPr>
          <w:p w14:paraId="2F4C9A8E" w14:textId="77777777" w:rsidR="00D4500C" w:rsidRPr="007E2939" w:rsidRDefault="00D4500C" w:rsidP="001E626E">
            <w:pPr>
              <w:spacing w:line="360" w:lineRule="auto"/>
              <w:jc w:val="center"/>
              <w:rPr>
                <w:rFonts w:ascii="Arial" w:hAnsi="Arial" w:cs="Arial"/>
              </w:rPr>
            </w:pPr>
            <w:r w:rsidRPr="007E2939">
              <w:rPr>
                <w:rFonts w:ascii="Arial" w:hAnsi="Arial" w:cs="Arial"/>
                <w:b/>
              </w:rPr>
              <w:t>Value creation</w:t>
            </w:r>
          </w:p>
        </w:tc>
        <w:tc>
          <w:tcPr>
            <w:tcW w:w="1013" w:type="pct"/>
            <w:vMerge w:val="restart"/>
            <w:vAlign w:val="center"/>
          </w:tcPr>
          <w:p w14:paraId="28D1F54E" w14:textId="77777777" w:rsidR="00D4500C" w:rsidRPr="007E2939" w:rsidRDefault="00D4500C" w:rsidP="001E626E">
            <w:pPr>
              <w:spacing w:line="360" w:lineRule="auto"/>
              <w:jc w:val="center"/>
              <w:rPr>
                <w:rFonts w:ascii="Arial" w:hAnsi="Arial" w:cs="Arial"/>
              </w:rPr>
            </w:pPr>
            <w:r w:rsidRPr="007E2939">
              <w:rPr>
                <w:rFonts w:ascii="Arial" w:hAnsi="Arial" w:cs="Arial"/>
              </w:rPr>
              <w:t>Green</w:t>
            </w:r>
          </w:p>
        </w:tc>
      </w:tr>
      <w:tr w:rsidR="00D4500C" w:rsidRPr="007E2939" w14:paraId="4CE79800" w14:textId="77777777" w:rsidTr="001E626E">
        <w:trPr>
          <w:jc w:val="center"/>
        </w:trPr>
        <w:tc>
          <w:tcPr>
            <w:tcW w:w="228" w:type="pct"/>
            <w:vAlign w:val="center"/>
          </w:tcPr>
          <w:p w14:paraId="6FDDFE68" w14:textId="77777777" w:rsidR="00D4500C" w:rsidRPr="007E2939" w:rsidRDefault="00D4500C" w:rsidP="001E626E">
            <w:pPr>
              <w:spacing w:line="360" w:lineRule="auto"/>
              <w:jc w:val="center"/>
              <w:rPr>
                <w:rFonts w:ascii="Arial" w:hAnsi="Arial" w:cs="Arial"/>
              </w:rPr>
            </w:pPr>
            <w:r w:rsidRPr="007E2939">
              <w:rPr>
                <w:rFonts w:ascii="Arial" w:hAnsi="Arial" w:cs="Arial"/>
              </w:rPr>
              <w:t>2</w:t>
            </w:r>
          </w:p>
        </w:tc>
        <w:tc>
          <w:tcPr>
            <w:tcW w:w="687" w:type="pct"/>
            <w:vAlign w:val="center"/>
          </w:tcPr>
          <w:p w14:paraId="3275D338" w14:textId="77777777" w:rsidR="00D4500C" w:rsidRPr="007E2939" w:rsidRDefault="00D4500C" w:rsidP="001E626E">
            <w:pPr>
              <w:spacing w:line="360" w:lineRule="auto"/>
              <w:jc w:val="center"/>
              <w:rPr>
                <w:rFonts w:ascii="Arial" w:hAnsi="Arial" w:cs="Arial"/>
              </w:rPr>
            </w:pPr>
            <w:r w:rsidRPr="007E2939">
              <w:rPr>
                <w:rFonts w:ascii="Arial" w:hAnsi="Arial" w:cs="Arial"/>
              </w:rPr>
              <w:t>Manager</w:t>
            </w:r>
          </w:p>
        </w:tc>
        <w:tc>
          <w:tcPr>
            <w:tcW w:w="822" w:type="pct"/>
            <w:vMerge/>
            <w:vAlign w:val="center"/>
          </w:tcPr>
          <w:p w14:paraId="6D34D37F" w14:textId="77777777" w:rsidR="00D4500C" w:rsidRPr="007E2939" w:rsidRDefault="00D4500C" w:rsidP="001E626E">
            <w:pPr>
              <w:spacing w:line="360" w:lineRule="auto"/>
              <w:jc w:val="center"/>
              <w:rPr>
                <w:rFonts w:ascii="Arial" w:hAnsi="Arial" w:cs="Arial"/>
              </w:rPr>
            </w:pPr>
          </w:p>
        </w:tc>
        <w:tc>
          <w:tcPr>
            <w:tcW w:w="713" w:type="pct"/>
            <w:vAlign w:val="center"/>
          </w:tcPr>
          <w:p w14:paraId="1EA2AC45" w14:textId="77777777" w:rsidR="00D4500C" w:rsidRPr="007E2939" w:rsidRDefault="00D4500C" w:rsidP="001E626E">
            <w:pPr>
              <w:spacing w:line="360" w:lineRule="auto"/>
              <w:jc w:val="center"/>
              <w:rPr>
                <w:rFonts w:ascii="Arial" w:hAnsi="Arial" w:cs="Arial"/>
              </w:rPr>
            </w:pPr>
            <w:r w:rsidRPr="007E2939">
              <w:rPr>
                <w:rFonts w:ascii="Arial" w:hAnsi="Arial" w:cs="Arial"/>
              </w:rPr>
              <w:t>CE practices</w:t>
            </w:r>
          </w:p>
        </w:tc>
        <w:tc>
          <w:tcPr>
            <w:tcW w:w="850" w:type="pct"/>
            <w:vMerge/>
            <w:vAlign w:val="center"/>
          </w:tcPr>
          <w:p w14:paraId="61B793BA" w14:textId="77777777" w:rsidR="00D4500C" w:rsidRPr="007E2939" w:rsidRDefault="00D4500C" w:rsidP="001E626E">
            <w:pPr>
              <w:spacing w:line="360" w:lineRule="auto"/>
              <w:jc w:val="center"/>
              <w:rPr>
                <w:rFonts w:ascii="Arial" w:hAnsi="Arial" w:cs="Arial"/>
              </w:rPr>
            </w:pPr>
          </w:p>
        </w:tc>
        <w:tc>
          <w:tcPr>
            <w:tcW w:w="687" w:type="pct"/>
            <w:vAlign w:val="center"/>
          </w:tcPr>
          <w:p w14:paraId="5AAB3D68" w14:textId="77777777" w:rsidR="00D4500C" w:rsidRPr="007E2939" w:rsidRDefault="00D4500C" w:rsidP="001E626E">
            <w:pPr>
              <w:spacing w:line="360" w:lineRule="auto"/>
              <w:jc w:val="center"/>
              <w:rPr>
                <w:rFonts w:ascii="Arial" w:hAnsi="Arial" w:cs="Arial"/>
              </w:rPr>
            </w:pPr>
            <w:r w:rsidRPr="007E2939">
              <w:rPr>
                <w:rFonts w:ascii="Arial" w:hAnsi="Arial" w:cs="Arial"/>
              </w:rPr>
              <w:t>Manager</w:t>
            </w:r>
          </w:p>
        </w:tc>
        <w:tc>
          <w:tcPr>
            <w:tcW w:w="1013" w:type="pct"/>
            <w:vMerge/>
            <w:vAlign w:val="center"/>
          </w:tcPr>
          <w:p w14:paraId="765F9BC4" w14:textId="77777777" w:rsidR="00D4500C" w:rsidRPr="007E2939" w:rsidRDefault="00D4500C" w:rsidP="001E626E">
            <w:pPr>
              <w:spacing w:line="360" w:lineRule="auto"/>
              <w:jc w:val="center"/>
              <w:rPr>
                <w:rFonts w:ascii="Arial" w:hAnsi="Arial" w:cs="Arial"/>
              </w:rPr>
            </w:pPr>
          </w:p>
        </w:tc>
      </w:tr>
      <w:tr w:rsidR="00D4500C" w:rsidRPr="007E2939" w14:paraId="1D5B5418" w14:textId="77777777" w:rsidTr="001E626E">
        <w:trPr>
          <w:jc w:val="center"/>
        </w:trPr>
        <w:tc>
          <w:tcPr>
            <w:tcW w:w="228" w:type="pct"/>
            <w:vAlign w:val="center"/>
          </w:tcPr>
          <w:p w14:paraId="6BBF241F" w14:textId="77777777" w:rsidR="00D4500C" w:rsidRPr="007E2939" w:rsidRDefault="00D4500C" w:rsidP="001E626E">
            <w:pPr>
              <w:spacing w:line="360" w:lineRule="auto"/>
              <w:jc w:val="center"/>
              <w:rPr>
                <w:rFonts w:ascii="Arial" w:hAnsi="Arial" w:cs="Arial"/>
              </w:rPr>
            </w:pPr>
            <w:r w:rsidRPr="007E2939">
              <w:rPr>
                <w:rFonts w:ascii="Arial" w:hAnsi="Arial" w:cs="Arial"/>
              </w:rPr>
              <w:t>3</w:t>
            </w:r>
          </w:p>
        </w:tc>
        <w:tc>
          <w:tcPr>
            <w:tcW w:w="687" w:type="pct"/>
            <w:vAlign w:val="center"/>
          </w:tcPr>
          <w:p w14:paraId="1ED99739" w14:textId="77777777" w:rsidR="00D4500C" w:rsidRPr="007E2939" w:rsidRDefault="00D4500C" w:rsidP="001E626E">
            <w:pPr>
              <w:spacing w:line="360" w:lineRule="auto"/>
              <w:jc w:val="center"/>
              <w:rPr>
                <w:rFonts w:ascii="Arial" w:hAnsi="Arial" w:cs="Arial"/>
                <w:b/>
              </w:rPr>
            </w:pPr>
            <w:r w:rsidRPr="007E2939">
              <w:rPr>
                <w:rFonts w:ascii="Arial" w:hAnsi="Arial" w:cs="Arial"/>
                <w:b/>
              </w:rPr>
              <w:t>Value creation</w:t>
            </w:r>
          </w:p>
        </w:tc>
        <w:tc>
          <w:tcPr>
            <w:tcW w:w="822" w:type="pct"/>
            <w:vMerge/>
            <w:vAlign w:val="center"/>
          </w:tcPr>
          <w:p w14:paraId="1C8B3728" w14:textId="77777777" w:rsidR="00D4500C" w:rsidRPr="007E2939" w:rsidRDefault="00D4500C" w:rsidP="001E626E">
            <w:pPr>
              <w:spacing w:line="360" w:lineRule="auto"/>
              <w:jc w:val="center"/>
              <w:rPr>
                <w:rFonts w:ascii="Arial" w:hAnsi="Arial" w:cs="Arial"/>
              </w:rPr>
            </w:pPr>
          </w:p>
        </w:tc>
        <w:tc>
          <w:tcPr>
            <w:tcW w:w="713" w:type="pct"/>
            <w:vAlign w:val="center"/>
          </w:tcPr>
          <w:p w14:paraId="23CFBE05" w14:textId="77777777" w:rsidR="00D4500C" w:rsidRPr="007E2939" w:rsidRDefault="00D4500C" w:rsidP="001E626E">
            <w:pPr>
              <w:spacing w:line="360" w:lineRule="auto"/>
              <w:jc w:val="center"/>
              <w:rPr>
                <w:rFonts w:ascii="Arial" w:hAnsi="Arial" w:cs="Arial"/>
                <w:b/>
              </w:rPr>
            </w:pPr>
            <w:r w:rsidRPr="007E2939">
              <w:rPr>
                <w:rFonts w:ascii="Arial" w:hAnsi="Arial" w:cs="Arial"/>
                <w:b/>
              </w:rPr>
              <w:t>Value creation</w:t>
            </w:r>
          </w:p>
        </w:tc>
        <w:tc>
          <w:tcPr>
            <w:tcW w:w="850" w:type="pct"/>
            <w:vMerge/>
            <w:vAlign w:val="center"/>
          </w:tcPr>
          <w:p w14:paraId="73B97A0A" w14:textId="77777777" w:rsidR="00D4500C" w:rsidRPr="007E2939" w:rsidRDefault="00D4500C" w:rsidP="001E626E">
            <w:pPr>
              <w:spacing w:line="360" w:lineRule="auto"/>
              <w:jc w:val="center"/>
              <w:rPr>
                <w:rFonts w:ascii="Arial" w:hAnsi="Arial" w:cs="Arial"/>
              </w:rPr>
            </w:pPr>
          </w:p>
        </w:tc>
        <w:tc>
          <w:tcPr>
            <w:tcW w:w="687" w:type="pct"/>
            <w:vAlign w:val="center"/>
          </w:tcPr>
          <w:p w14:paraId="2D8BC2A0" w14:textId="77777777" w:rsidR="00D4500C" w:rsidRPr="007E2939" w:rsidRDefault="00D4500C" w:rsidP="001E626E">
            <w:pPr>
              <w:spacing w:line="360" w:lineRule="auto"/>
              <w:jc w:val="center"/>
              <w:rPr>
                <w:rFonts w:ascii="Arial" w:hAnsi="Arial" w:cs="Arial"/>
              </w:rPr>
            </w:pPr>
            <w:r w:rsidRPr="007E2939">
              <w:rPr>
                <w:rFonts w:ascii="Arial" w:hAnsi="Arial" w:cs="Arial"/>
                <w:b/>
              </w:rPr>
              <w:t>Sustainability</w:t>
            </w:r>
          </w:p>
        </w:tc>
        <w:tc>
          <w:tcPr>
            <w:tcW w:w="1013" w:type="pct"/>
            <w:vMerge w:val="restart"/>
            <w:vAlign w:val="center"/>
          </w:tcPr>
          <w:p w14:paraId="65B64AAA" w14:textId="77777777" w:rsidR="00D4500C" w:rsidRPr="007E2939" w:rsidRDefault="00D4500C" w:rsidP="001E626E">
            <w:pPr>
              <w:spacing w:line="360" w:lineRule="auto"/>
              <w:jc w:val="center"/>
              <w:rPr>
                <w:rFonts w:ascii="Arial" w:hAnsi="Arial" w:cs="Arial"/>
              </w:rPr>
            </w:pPr>
            <w:r w:rsidRPr="007E2939">
              <w:rPr>
                <w:rFonts w:ascii="Arial" w:hAnsi="Arial" w:cs="Arial"/>
              </w:rPr>
              <w:t>Blue</w:t>
            </w:r>
          </w:p>
        </w:tc>
      </w:tr>
      <w:tr w:rsidR="00D4500C" w:rsidRPr="007E2939" w14:paraId="3E82E95D" w14:textId="77777777" w:rsidTr="001E626E">
        <w:trPr>
          <w:jc w:val="center"/>
        </w:trPr>
        <w:tc>
          <w:tcPr>
            <w:tcW w:w="228" w:type="pct"/>
            <w:vAlign w:val="center"/>
          </w:tcPr>
          <w:p w14:paraId="53B5EB9E" w14:textId="77777777" w:rsidR="00D4500C" w:rsidRPr="007E2939" w:rsidRDefault="00D4500C" w:rsidP="001E626E">
            <w:pPr>
              <w:spacing w:line="360" w:lineRule="auto"/>
              <w:jc w:val="center"/>
              <w:rPr>
                <w:rFonts w:ascii="Arial" w:hAnsi="Arial" w:cs="Arial"/>
              </w:rPr>
            </w:pPr>
            <w:r w:rsidRPr="007E2939">
              <w:rPr>
                <w:rFonts w:ascii="Arial" w:hAnsi="Arial" w:cs="Arial"/>
              </w:rPr>
              <w:t>4</w:t>
            </w:r>
          </w:p>
        </w:tc>
        <w:tc>
          <w:tcPr>
            <w:tcW w:w="687" w:type="pct"/>
            <w:vAlign w:val="center"/>
          </w:tcPr>
          <w:p w14:paraId="051CF082" w14:textId="77777777" w:rsidR="00D4500C" w:rsidRPr="007E2939" w:rsidRDefault="00D4500C" w:rsidP="001E626E">
            <w:pPr>
              <w:spacing w:line="360" w:lineRule="auto"/>
              <w:jc w:val="center"/>
              <w:rPr>
                <w:rFonts w:ascii="Arial" w:hAnsi="Arial" w:cs="Arial"/>
              </w:rPr>
            </w:pPr>
            <w:r w:rsidRPr="007E2939">
              <w:rPr>
                <w:rFonts w:ascii="Arial" w:hAnsi="Arial" w:cs="Arial"/>
              </w:rPr>
              <w:t>Supply chains</w:t>
            </w:r>
          </w:p>
        </w:tc>
        <w:tc>
          <w:tcPr>
            <w:tcW w:w="822" w:type="pct"/>
            <w:vMerge/>
            <w:vAlign w:val="center"/>
          </w:tcPr>
          <w:p w14:paraId="4243521D" w14:textId="77777777" w:rsidR="00D4500C" w:rsidRPr="007E2939" w:rsidRDefault="00D4500C" w:rsidP="001E626E">
            <w:pPr>
              <w:spacing w:line="360" w:lineRule="auto"/>
              <w:jc w:val="center"/>
              <w:rPr>
                <w:rFonts w:ascii="Arial" w:hAnsi="Arial" w:cs="Arial"/>
              </w:rPr>
            </w:pPr>
          </w:p>
        </w:tc>
        <w:tc>
          <w:tcPr>
            <w:tcW w:w="713" w:type="pct"/>
            <w:vAlign w:val="center"/>
          </w:tcPr>
          <w:p w14:paraId="2BB206CA" w14:textId="77777777" w:rsidR="00D4500C" w:rsidRPr="007E2939" w:rsidRDefault="00D4500C" w:rsidP="001E626E">
            <w:pPr>
              <w:spacing w:line="360" w:lineRule="auto"/>
              <w:jc w:val="center"/>
              <w:rPr>
                <w:rFonts w:ascii="Arial" w:hAnsi="Arial" w:cs="Arial"/>
              </w:rPr>
            </w:pPr>
            <w:r w:rsidRPr="007E2939">
              <w:rPr>
                <w:rFonts w:ascii="Arial" w:hAnsi="Arial" w:cs="Arial"/>
              </w:rPr>
              <w:t>Economics</w:t>
            </w:r>
          </w:p>
        </w:tc>
        <w:tc>
          <w:tcPr>
            <w:tcW w:w="850" w:type="pct"/>
            <w:vMerge/>
            <w:vAlign w:val="center"/>
          </w:tcPr>
          <w:p w14:paraId="67BB4E92" w14:textId="77777777" w:rsidR="00D4500C" w:rsidRPr="007E2939" w:rsidRDefault="00D4500C" w:rsidP="001E626E">
            <w:pPr>
              <w:spacing w:line="360" w:lineRule="auto"/>
              <w:jc w:val="center"/>
              <w:rPr>
                <w:rFonts w:ascii="Arial" w:hAnsi="Arial" w:cs="Arial"/>
              </w:rPr>
            </w:pPr>
          </w:p>
        </w:tc>
        <w:tc>
          <w:tcPr>
            <w:tcW w:w="687" w:type="pct"/>
            <w:vAlign w:val="center"/>
          </w:tcPr>
          <w:p w14:paraId="17C2130E" w14:textId="77777777" w:rsidR="00D4500C" w:rsidRPr="007E2939" w:rsidRDefault="00D4500C" w:rsidP="001E626E">
            <w:pPr>
              <w:spacing w:line="360" w:lineRule="auto"/>
              <w:jc w:val="center"/>
              <w:rPr>
                <w:rFonts w:ascii="Arial" w:hAnsi="Arial" w:cs="Arial"/>
              </w:rPr>
            </w:pPr>
            <w:r w:rsidRPr="007E2939">
              <w:rPr>
                <w:rFonts w:ascii="Arial" w:hAnsi="Arial" w:cs="Arial"/>
              </w:rPr>
              <w:t>Sustainable development</w:t>
            </w:r>
          </w:p>
        </w:tc>
        <w:tc>
          <w:tcPr>
            <w:tcW w:w="1013" w:type="pct"/>
            <w:vMerge/>
            <w:vAlign w:val="center"/>
          </w:tcPr>
          <w:p w14:paraId="0B61B5AA" w14:textId="77777777" w:rsidR="00D4500C" w:rsidRPr="007E2939" w:rsidRDefault="00D4500C" w:rsidP="001E626E">
            <w:pPr>
              <w:spacing w:line="360" w:lineRule="auto"/>
              <w:jc w:val="center"/>
              <w:rPr>
                <w:rFonts w:ascii="Arial" w:hAnsi="Arial" w:cs="Arial"/>
              </w:rPr>
            </w:pPr>
          </w:p>
        </w:tc>
      </w:tr>
      <w:tr w:rsidR="00D4500C" w:rsidRPr="007E2939" w14:paraId="254BB6AC" w14:textId="77777777" w:rsidTr="001E626E">
        <w:trPr>
          <w:jc w:val="center"/>
        </w:trPr>
        <w:tc>
          <w:tcPr>
            <w:tcW w:w="228" w:type="pct"/>
            <w:vAlign w:val="center"/>
          </w:tcPr>
          <w:p w14:paraId="3F3F6DE0" w14:textId="77777777" w:rsidR="00D4500C" w:rsidRPr="007E2939" w:rsidRDefault="00D4500C" w:rsidP="001E626E">
            <w:pPr>
              <w:spacing w:line="360" w:lineRule="auto"/>
              <w:jc w:val="center"/>
              <w:rPr>
                <w:rFonts w:ascii="Arial" w:hAnsi="Arial" w:cs="Arial"/>
              </w:rPr>
            </w:pPr>
            <w:r w:rsidRPr="007E2939">
              <w:rPr>
                <w:rFonts w:ascii="Arial" w:hAnsi="Arial" w:cs="Arial"/>
              </w:rPr>
              <w:t>5</w:t>
            </w:r>
          </w:p>
        </w:tc>
        <w:tc>
          <w:tcPr>
            <w:tcW w:w="687" w:type="pct"/>
            <w:vAlign w:val="center"/>
          </w:tcPr>
          <w:p w14:paraId="7F670316" w14:textId="77777777" w:rsidR="00D4500C" w:rsidRPr="007E2939" w:rsidRDefault="00D4500C" w:rsidP="001E626E">
            <w:pPr>
              <w:spacing w:line="360" w:lineRule="auto"/>
              <w:jc w:val="center"/>
              <w:rPr>
                <w:rFonts w:ascii="Arial" w:hAnsi="Arial" w:cs="Arial"/>
              </w:rPr>
            </w:pPr>
            <w:r w:rsidRPr="007E2939">
              <w:rPr>
                <w:rFonts w:ascii="Arial" w:hAnsi="Arial" w:cs="Arial"/>
              </w:rPr>
              <w:t>Business</w:t>
            </w:r>
          </w:p>
        </w:tc>
        <w:tc>
          <w:tcPr>
            <w:tcW w:w="822" w:type="pct"/>
            <w:vMerge/>
            <w:vAlign w:val="center"/>
          </w:tcPr>
          <w:p w14:paraId="2DEE6598" w14:textId="77777777" w:rsidR="00D4500C" w:rsidRPr="007E2939" w:rsidRDefault="00D4500C" w:rsidP="001E626E">
            <w:pPr>
              <w:spacing w:line="360" w:lineRule="auto"/>
              <w:jc w:val="center"/>
              <w:rPr>
                <w:rFonts w:ascii="Arial" w:hAnsi="Arial" w:cs="Arial"/>
              </w:rPr>
            </w:pPr>
          </w:p>
        </w:tc>
        <w:tc>
          <w:tcPr>
            <w:tcW w:w="713" w:type="pct"/>
            <w:vAlign w:val="center"/>
          </w:tcPr>
          <w:p w14:paraId="2DBC42C6" w14:textId="77777777" w:rsidR="00D4500C" w:rsidRPr="007E2939" w:rsidRDefault="00D4500C" w:rsidP="001E626E">
            <w:pPr>
              <w:spacing w:line="360" w:lineRule="auto"/>
              <w:jc w:val="center"/>
              <w:rPr>
                <w:rFonts w:ascii="Arial" w:hAnsi="Arial" w:cs="Arial"/>
              </w:rPr>
            </w:pPr>
            <w:r w:rsidRPr="007E2939">
              <w:rPr>
                <w:rFonts w:ascii="Arial" w:hAnsi="Arial" w:cs="Arial"/>
              </w:rPr>
              <w:t>Business</w:t>
            </w:r>
          </w:p>
        </w:tc>
        <w:tc>
          <w:tcPr>
            <w:tcW w:w="850" w:type="pct"/>
            <w:vMerge/>
            <w:vAlign w:val="center"/>
          </w:tcPr>
          <w:p w14:paraId="2A5A7581" w14:textId="77777777" w:rsidR="00D4500C" w:rsidRPr="007E2939" w:rsidRDefault="00D4500C" w:rsidP="001E626E">
            <w:pPr>
              <w:spacing w:line="360" w:lineRule="auto"/>
              <w:jc w:val="center"/>
              <w:rPr>
                <w:rFonts w:ascii="Arial" w:hAnsi="Arial" w:cs="Arial"/>
              </w:rPr>
            </w:pPr>
          </w:p>
        </w:tc>
        <w:tc>
          <w:tcPr>
            <w:tcW w:w="687" w:type="pct"/>
            <w:vAlign w:val="center"/>
          </w:tcPr>
          <w:p w14:paraId="6B5AABF4" w14:textId="77777777" w:rsidR="00D4500C" w:rsidRPr="007E2939" w:rsidRDefault="00D4500C" w:rsidP="001E626E">
            <w:pPr>
              <w:spacing w:line="360" w:lineRule="auto"/>
              <w:jc w:val="center"/>
              <w:rPr>
                <w:rFonts w:ascii="Arial" w:hAnsi="Arial" w:cs="Arial"/>
              </w:rPr>
            </w:pPr>
            <w:r w:rsidRPr="007E2939">
              <w:rPr>
                <w:rFonts w:ascii="Arial" w:hAnsi="Arial" w:cs="Arial"/>
                <w:b/>
              </w:rPr>
              <w:t>Business modeling</w:t>
            </w:r>
          </w:p>
        </w:tc>
        <w:tc>
          <w:tcPr>
            <w:tcW w:w="1013" w:type="pct"/>
            <w:vMerge w:val="restart"/>
            <w:vAlign w:val="center"/>
          </w:tcPr>
          <w:p w14:paraId="1083A488" w14:textId="77777777" w:rsidR="00D4500C" w:rsidRPr="007E2939" w:rsidRDefault="00D4500C" w:rsidP="001E626E">
            <w:pPr>
              <w:spacing w:line="360" w:lineRule="auto"/>
              <w:jc w:val="center"/>
              <w:rPr>
                <w:rFonts w:ascii="Arial" w:hAnsi="Arial" w:cs="Arial"/>
              </w:rPr>
            </w:pPr>
            <w:r w:rsidRPr="007E2939">
              <w:rPr>
                <w:rFonts w:ascii="Arial" w:hAnsi="Arial" w:cs="Arial"/>
              </w:rPr>
              <w:t>Purple</w:t>
            </w:r>
          </w:p>
        </w:tc>
      </w:tr>
      <w:tr w:rsidR="00D4500C" w:rsidRPr="007E2939" w14:paraId="5075D55B" w14:textId="77777777" w:rsidTr="001E626E">
        <w:trPr>
          <w:jc w:val="center"/>
        </w:trPr>
        <w:tc>
          <w:tcPr>
            <w:tcW w:w="228" w:type="pct"/>
            <w:vAlign w:val="center"/>
          </w:tcPr>
          <w:p w14:paraId="64AB9FFA" w14:textId="77777777" w:rsidR="00D4500C" w:rsidRPr="007E2939" w:rsidRDefault="00D4500C" w:rsidP="001E626E">
            <w:pPr>
              <w:spacing w:line="360" w:lineRule="auto"/>
              <w:jc w:val="center"/>
              <w:rPr>
                <w:rFonts w:ascii="Arial" w:hAnsi="Arial" w:cs="Arial"/>
              </w:rPr>
            </w:pPr>
            <w:r w:rsidRPr="007E2939">
              <w:rPr>
                <w:rFonts w:ascii="Arial" w:hAnsi="Arial" w:cs="Arial"/>
              </w:rPr>
              <w:t>6</w:t>
            </w:r>
          </w:p>
        </w:tc>
        <w:tc>
          <w:tcPr>
            <w:tcW w:w="687" w:type="pct"/>
            <w:vAlign w:val="center"/>
          </w:tcPr>
          <w:p w14:paraId="27251C34" w14:textId="77777777" w:rsidR="00D4500C" w:rsidRPr="007E2939" w:rsidRDefault="00D4500C" w:rsidP="001E626E">
            <w:pPr>
              <w:spacing w:line="360" w:lineRule="auto"/>
              <w:jc w:val="center"/>
              <w:rPr>
                <w:rFonts w:ascii="Arial" w:hAnsi="Arial" w:cs="Arial"/>
              </w:rPr>
            </w:pPr>
            <w:r w:rsidRPr="007E2939">
              <w:rPr>
                <w:rFonts w:ascii="Arial" w:hAnsi="Arial" w:cs="Arial"/>
              </w:rPr>
              <w:t>Human</w:t>
            </w:r>
          </w:p>
        </w:tc>
        <w:tc>
          <w:tcPr>
            <w:tcW w:w="822" w:type="pct"/>
            <w:vMerge/>
            <w:vAlign w:val="center"/>
          </w:tcPr>
          <w:p w14:paraId="55B7BD52" w14:textId="77777777" w:rsidR="00D4500C" w:rsidRPr="007E2939" w:rsidRDefault="00D4500C" w:rsidP="001E626E">
            <w:pPr>
              <w:spacing w:line="360" w:lineRule="auto"/>
              <w:jc w:val="center"/>
              <w:rPr>
                <w:rFonts w:ascii="Arial" w:hAnsi="Arial" w:cs="Arial"/>
              </w:rPr>
            </w:pPr>
          </w:p>
        </w:tc>
        <w:tc>
          <w:tcPr>
            <w:tcW w:w="713" w:type="pct"/>
            <w:vAlign w:val="center"/>
          </w:tcPr>
          <w:p w14:paraId="04E6E91B" w14:textId="77777777" w:rsidR="00D4500C" w:rsidRPr="007E2939" w:rsidRDefault="00D4500C" w:rsidP="001E626E">
            <w:pPr>
              <w:spacing w:line="360" w:lineRule="auto"/>
              <w:jc w:val="center"/>
              <w:rPr>
                <w:rFonts w:ascii="Arial" w:hAnsi="Arial" w:cs="Arial"/>
              </w:rPr>
            </w:pPr>
            <w:r w:rsidRPr="007E2939">
              <w:rPr>
                <w:rFonts w:ascii="Arial" w:hAnsi="Arial" w:cs="Arial"/>
              </w:rPr>
              <w:t>Human</w:t>
            </w:r>
          </w:p>
        </w:tc>
        <w:tc>
          <w:tcPr>
            <w:tcW w:w="850" w:type="pct"/>
            <w:vMerge/>
            <w:vAlign w:val="center"/>
          </w:tcPr>
          <w:p w14:paraId="29895D05" w14:textId="77777777" w:rsidR="00D4500C" w:rsidRPr="007E2939" w:rsidRDefault="00D4500C" w:rsidP="001E626E">
            <w:pPr>
              <w:spacing w:line="360" w:lineRule="auto"/>
              <w:jc w:val="center"/>
              <w:rPr>
                <w:rFonts w:ascii="Arial" w:hAnsi="Arial" w:cs="Arial"/>
              </w:rPr>
            </w:pPr>
          </w:p>
        </w:tc>
        <w:tc>
          <w:tcPr>
            <w:tcW w:w="687" w:type="pct"/>
            <w:vAlign w:val="center"/>
          </w:tcPr>
          <w:p w14:paraId="15C242BD" w14:textId="77777777" w:rsidR="00D4500C" w:rsidRPr="007E2939" w:rsidRDefault="00D4500C" w:rsidP="001E626E">
            <w:pPr>
              <w:spacing w:line="360" w:lineRule="auto"/>
              <w:jc w:val="center"/>
              <w:rPr>
                <w:rFonts w:ascii="Arial" w:hAnsi="Arial" w:cs="Arial"/>
              </w:rPr>
            </w:pPr>
            <w:r w:rsidRPr="007E2939">
              <w:rPr>
                <w:rFonts w:ascii="Arial" w:hAnsi="Arial" w:cs="Arial"/>
              </w:rPr>
              <w:t>Commerce</w:t>
            </w:r>
          </w:p>
        </w:tc>
        <w:tc>
          <w:tcPr>
            <w:tcW w:w="1013" w:type="pct"/>
            <w:vMerge/>
            <w:vAlign w:val="center"/>
          </w:tcPr>
          <w:p w14:paraId="58870FCB" w14:textId="77777777" w:rsidR="00D4500C" w:rsidRPr="007E2939" w:rsidRDefault="00D4500C" w:rsidP="001E626E">
            <w:pPr>
              <w:spacing w:line="360" w:lineRule="auto"/>
              <w:jc w:val="center"/>
              <w:rPr>
                <w:rFonts w:ascii="Arial" w:hAnsi="Arial" w:cs="Arial"/>
              </w:rPr>
            </w:pPr>
          </w:p>
        </w:tc>
      </w:tr>
      <w:tr w:rsidR="00D4500C" w:rsidRPr="007E2939" w14:paraId="40A32D12" w14:textId="77777777" w:rsidTr="001E626E">
        <w:trPr>
          <w:jc w:val="center"/>
        </w:trPr>
        <w:tc>
          <w:tcPr>
            <w:tcW w:w="228" w:type="pct"/>
            <w:vAlign w:val="center"/>
          </w:tcPr>
          <w:p w14:paraId="5386F281" w14:textId="77777777" w:rsidR="00D4500C" w:rsidRPr="007E2939" w:rsidRDefault="00D4500C" w:rsidP="001E626E">
            <w:pPr>
              <w:spacing w:line="360" w:lineRule="auto"/>
              <w:jc w:val="center"/>
              <w:rPr>
                <w:rFonts w:ascii="Arial" w:hAnsi="Arial" w:cs="Arial"/>
              </w:rPr>
            </w:pPr>
            <w:r w:rsidRPr="007E2939">
              <w:rPr>
                <w:rFonts w:ascii="Arial" w:hAnsi="Arial" w:cs="Arial"/>
              </w:rPr>
              <w:t>7</w:t>
            </w:r>
          </w:p>
        </w:tc>
        <w:tc>
          <w:tcPr>
            <w:tcW w:w="687" w:type="pct"/>
            <w:vAlign w:val="center"/>
          </w:tcPr>
          <w:p w14:paraId="7B120EA9" w14:textId="77777777" w:rsidR="00D4500C" w:rsidRPr="007E2939" w:rsidRDefault="00D4500C" w:rsidP="001E626E">
            <w:pPr>
              <w:spacing w:line="360" w:lineRule="auto"/>
              <w:jc w:val="center"/>
              <w:rPr>
                <w:rFonts w:ascii="Arial" w:hAnsi="Arial" w:cs="Arial"/>
              </w:rPr>
            </w:pPr>
            <w:r w:rsidRPr="007E2939">
              <w:rPr>
                <w:rFonts w:ascii="Arial" w:hAnsi="Arial" w:cs="Arial"/>
              </w:rPr>
              <w:t>Economic aspect</w:t>
            </w:r>
          </w:p>
        </w:tc>
        <w:tc>
          <w:tcPr>
            <w:tcW w:w="822" w:type="pct"/>
            <w:vMerge/>
            <w:vAlign w:val="center"/>
          </w:tcPr>
          <w:p w14:paraId="7EC95463" w14:textId="77777777" w:rsidR="00D4500C" w:rsidRPr="007E2939" w:rsidRDefault="00D4500C" w:rsidP="001E626E">
            <w:pPr>
              <w:spacing w:line="360" w:lineRule="auto"/>
              <w:jc w:val="center"/>
              <w:rPr>
                <w:rFonts w:ascii="Arial" w:hAnsi="Arial" w:cs="Arial"/>
              </w:rPr>
            </w:pPr>
          </w:p>
        </w:tc>
        <w:tc>
          <w:tcPr>
            <w:tcW w:w="713" w:type="pct"/>
            <w:vAlign w:val="center"/>
          </w:tcPr>
          <w:p w14:paraId="0CB768DB" w14:textId="77777777" w:rsidR="00D4500C" w:rsidRPr="007E2939" w:rsidRDefault="00D4500C" w:rsidP="001E626E">
            <w:pPr>
              <w:spacing w:line="360" w:lineRule="auto"/>
              <w:jc w:val="center"/>
              <w:rPr>
                <w:rFonts w:ascii="Arial" w:hAnsi="Arial" w:cs="Arial"/>
              </w:rPr>
            </w:pPr>
            <w:r w:rsidRPr="007E2939">
              <w:rPr>
                <w:rFonts w:ascii="Arial" w:hAnsi="Arial" w:cs="Arial"/>
              </w:rPr>
              <w:t>Economic aspect</w:t>
            </w:r>
          </w:p>
        </w:tc>
        <w:tc>
          <w:tcPr>
            <w:tcW w:w="850" w:type="pct"/>
            <w:vMerge/>
            <w:vAlign w:val="center"/>
          </w:tcPr>
          <w:p w14:paraId="733E5C04" w14:textId="77777777" w:rsidR="00D4500C" w:rsidRPr="007E2939" w:rsidRDefault="00D4500C" w:rsidP="001E626E">
            <w:pPr>
              <w:spacing w:line="360" w:lineRule="auto"/>
              <w:jc w:val="center"/>
              <w:rPr>
                <w:rFonts w:ascii="Arial" w:hAnsi="Arial" w:cs="Arial"/>
              </w:rPr>
            </w:pPr>
          </w:p>
        </w:tc>
        <w:tc>
          <w:tcPr>
            <w:tcW w:w="687" w:type="pct"/>
            <w:vAlign w:val="center"/>
          </w:tcPr>
          <w:p w14:paraId="3A5D0A14" w14:textId="77777777" w:rsidR="00D4500C" w:rsidRPr="007E2939" w:rsidRDefault="00D4500C" w:rsidP="001E626E">
            <w:pPr>
              <w:spacing w:line="360" w:lineRule="auto"/>
              <w:jc w:val="center"/>
              <w:rPr>
                <w:rFonts w:ascii="Arial" w:hAnsi="Arial" w:cs="Arial"/>
              </w:rPr>
            </w:pPr>
            <w:r w:rsidRPr="007E2939">
              <w:rPr>
                <w:rFonts w:ascii="Arial" w:hAnsi="Arial" w:cs="Arial"/>
              </w:rPr>
              <w:t>Competition</w:t>
            </w:r>
          </w:p>
        </w:tc>
        <w:tc>
          <w:tcPr>
            <w:tcW w:w="1013" w:type="pct"/>
            <w:vMerge/>
            <w:vAlign w:val="center"/>
          </w:tcPr>
          <w:p w14:paraId="1E58683A" w14:textId="77777777" w:rsidR="00D4500C" w:rsidRPr="007E2939" w:rsidRDefault="00D4500C" w:rsidP="001E626E">
            <w:pPr>
              <w:spacing w:line="360" w:lineRule="auto"/>
              <w:jc w:val="center"/>
              <w:rPr>
                <w:rFonts w:ascii="Arial" w:hAnsi="Arial" w:cs="Arial"/>
              </w:rPr>
            </w:pPr>
          </w:p>
        </w:tc>
      </w:tr>
      <w:tr w:rsidR="00D4500C" w:rsidRPr="007E2939" w14:paraId="640ED176" w14:textId="77777777" w:rsidTr="001E626E">
        <w:trPr>
          <w:jc w:val="center"/>
        </w:trPr>
        <w:tc>
          <w:tcPr>
            <w:tcW w:w="228" w:type="pct"/>
            <w:vAlign w:val="center"/>
          </w:tcPr>
          <w:p w14:paraId="4F04E7A0" w14:textId="77777777" w:rsidR="00D4500C" w:rsidRPr="007E2939" w:rsidRDefault="00D4500C" w:rsidP="001E626E">
            <w:pPr>
              <w:spacing w:line="360" w:lineRule="auto"/>
              <w:jc w:val="center"/>
              <w:rPr>
                <w:rFonts w:ascii="Arial" w:hAnsi="Arial" w:cs="Arial"/>
              </w:rPr>
            </w:pPr>
            <w:r w:rsidRPr="007E2939">
              <w:rPr>
                <w:rFonts w:ascii="Arial" w:hAnsi="Arial" w:cs="Arial"/>
              </w:rPr>
              <w:t>8</w:t>
            </w:r>
          </w:p>
        </w:tc>
        <w:tc>
          <w:tcPr>
            <w:tcW w:w="687" w:type="pct"/>
            <w:vAlign w:val="center"/>
          </w:tcPr>
          <w:p w14:paraId="0A36C809" w14:textId="77777777" w:rsidR="00D4500C" w:rsidRPr="007E2939" w:rsidRDefault="00D4500C" w:rsidP="001E626E">
            <w:pPr>
              <w:spacing w:line="360" w:lineRule="auto"/>
              <w:jc w:val="center"/>
              <w:rPr>
                <w:rFonts w:ascii="Arial" w:hAnsi="Arial" w:cs="Arial"/>
              </w:rPr>
            </w:pPr>
            <w:r w:rsidRPr="007E2939">
              <w:rPr>
                <w:rFonts w:ascii="Arial" w:hAnsi="Arial" w:cs="Arial"/>
              </w:rPr>
              <w:t>Article</w:t>
            </w:r>
          </w:p>
        </w:tc>
        <w:tc>
          <w:tcPr>
            <w:tcW w:w="822" w:type="pct"/>
            <w:vMerge/>
            <w:vAlign w:val="center"/>
          </w:tcPr>
          <w:p w14:paraId="72A4ABC0" w14:textId="77777777" w:rsidR="00D4500C" w:rsidRPr="007E2939" w:rsidRDefault="00D4500C" w:rsidP="001E626E">
            <w:pPr>
              <w:spacing w:line="360" w:lineRule="auto"/>
              <w:jc w:val="center"/>
              <w:rPr>
                <w:rFonts w:ascii="Arial" w:hAnsi="Arial" w:cs="Arial"/>
              </w:rPr>
            </w:pPr>
          </w:p>
        </w:tc>
        <w:tc>
          <w:tcPr>
            <w:tcW w:w="713" w:type="pct"/>
            <w:vAlign w:val="center"/>
          </w:tcPr>
          <w:p w14:paraId="325DE494" w14:textId="77777777" w:rsidR="00D4500C" w:rsidRPr="007E2939" w:rsidRDefault="00D4500C" w:rsidP="001E626E">
            <w:pPr>
              <w:spacing w:line="360" w:lineRule="auto"/>
              <w:jc w:val="center"/>
              <w:rPr>
                <w:rFonts w:ascii="Arial" w:hAnsi="Arial" w:cs="Arial"/>
              </w:rPr>
            </w:pPr>
            <w:r w:rsidRPr="007E2939">
              <w:rPr>
                <w:rFonts w:ascii="Arial" w:hAnsi="Arial" w:cs="Arial"/>
              </w:rPr>
              <w:t>Article</w:t>
            </w:r>
          </w:p>
        </w:tc>
        <w:tc>
          <w:tcPr>
            <w:tcW w:w="850" w:type="pct"/>
            <w:vMerge/>
            <w:vAlign w:val="center"/>
          </w:tcPr>
          <w:p w14:paraId="5716D71C" w14:textId="77777777" w:rsidR="00D4500C" w:rsidRPr="007E2939" w:rsidRDefault="00D4500C" w:rsidP="001E626E">
            <w:pPr>
              <w:spacing w:line="360" w:lineRule="auto"/>
              <w:jc w:val="center"/>
              <w:rPr>
                <w:rFonts w:ascii="Arial" w:hAnsi="Arial" w:cs="Arial"/>
              </w:rPr>
            </w:pPr>
          </w:p>
        </w:tc>
        <w:tc>
          <w:tcPr>
            <w:tcW w:w="687" w:type="pct"/>
            <w:vAlign w:val="center"/>
          </w:tcPr>
          <w:p w14:paraId="224722BE" w14:textId="77777777" w:rsidR="00D4500C" w:rsidRPr="007E2939" w:rsidRDefault="00D4500C" w:rsidP="001E626E">
            <w:pPr>
              <w:spacing w:line="360" w:lineRule="auto"/>
              <w:jc w:val="center"/>
              <w:rPr>
                <w:rFonts w:ascii="Arial" w:hAnsi="Arial" w:cs="Arial"/>
              </w:rPr>
            </w:pPr>
            <w:r w:rsidRPr="007E2939">
              <w:rPr>
                <w:rFonts w:ascii="Arial" w:hAnsi="Arial" w:cs="Arial"/>
                <w:b/>
              </w:rPr>
              <w:t>SMEs</w:t>
            </w:r>
          </w:p>
        </w:tc>
        <w:tc>
          <w:tcPr>
            <w:tcW w:w="1013" w:type="pct"/>
            <w:vMerge w:val="restart"/>
            <w:vAlign w:val="center"/>
          </w:tcPr>
          <w:p w14:paraId="1E0C9723" w14:textId="77777777" w:rsidR="00D4500C" w:rsidRPr="007E2939" w:rsidRDefault="00D4500C" w:rsidP="001E626E">
            <w:pPr>
              <w:spacing w:line="360" w:lineRule="auto"/>
              <w:jc w:val="center"/>
              <w:rPr>
                <w:rFonts w:ascii="Arial" w:hAnsi="Arial" w:cs="Arial"/>
              </w:rPr>
            </w:pPr>
            <w:r w:rsidRPr="007E2939">
              <w:rPr>
                <w:rFonts w:ascii="Arial" w:hAnsi="Arial" w:cs="Arial"/>
              </w:rPr>
              <w:t>Yellow</w:t>
            </w:r>
          </w:p>
        </w:tc>
      </w:tr>
      <w:tr w:rsidR="00D4500C" w:rsidRPr="007E2939" w14:paraId="4F452698" w14:textId="77777777" w:rsidTr="001E626E">
        <w:trPr>
          <w:jc w:val="center"/>
        </w:trPr>
        <w:tc>
          <w:tcPr>
            <w:tcW w:w="228" w:type="pct"/>
            <w:vAlign w:val="center"/>
          </w:tcPr>
          <w:p w14:paraId="27867B1A" w14:textId="77777777" w:rsidR="00D4500C" w:rsidRPr="007E2939" w:rsidRDefault="00D4500C" w:rsidP="001E626E">
            <w:pPr>
              <w:spacing w:line="360" w:lineRule="auto"/>
              <w:jc w:val="center"/>
              <w:rPr>
                <w:rFonts w:ascii="Arial" w:hAnsi="Arial" w:cs="Arial"/>
              </w:rPr>
            </w:pPr>
            <w:r w:rsidRPr="007E2939">
              <w:rPr>
                <w:rFonts w:ascii="Arial" w:hAnsi="Arial" w:cs="Arial"/>
              </w:rPr>
              <w:t>9</w:t>
            </w:r>
          </w:p>
        </w:tc>
        <w:tc>
          <w:tcPr>
            <w:tcW w:w="687" w:type="pct"/>
            <w:vAlign w:val="center"/>
          </w:tcPr>
          <w:p w14:paraId="6D2D691D" w14:textId="77777777" w:rsidR="00D4500C" w:rsidRPr="007E2939" w:rsidRDefault="00D4500C" w:rsidP="001E626E">
            <w:pPr>
              <w:spacing w:line="360" w:lineRule="auto"/>
              <w:jc w:val="center"/>
              <w:rPr>
                <w:rFonts w:ascii="Arial" w:hAnsi="Arial" w:cs="Arial"/>
                <w:b/>
              </w:rPr>
            </w:pPr>
            <w:r w:rsidRPr="007E2939">
              <w:rPr>
                <w:rFonts w:ascii="Arial" w:hAnsi="Arial" w:cs="Arial"/>
                <w:b/>
              </w:rPr>
              <w:t>Sustainability</w:t>
            </w:r>
          </w:p>
        </w:tc>
        <w:tc>
          <w:tcPr>
            <w:tcW w:w="822" w:type="pct"/>
            <w:vMerge w:val="restart"/>
            <w:vAlign w:val="center"/>
          </w:tcPr>
          <w:p w14:paraId="0226611E" w14:textId="77777777" w:rsidR="00D4500C" w:rsidRPr="007E2939" w:rsidRDefault="00D4500C" w:rsidP="001E626E">
            <w:pPr>
              <w:spacing w:line="360" w:lineRule="auto"/>
              <w:jc w:val="center"/>
              <w:rPr>
                <w:rFonts w:ascii="Arial" w:hAnsi="Arial" w:cs="Arial"/>
              </w:rPr>
            </w:pPr>
            <w:r w:rsidRPr="007E2939">
              <w:rPr>
                <w:rFonts w:ascii="Arial" w:hAnsi="Arial" w:cs="Arial"/>
              </w:rPr>
              <w:t>Blue</w:t>
            </w:r>
          </w:p>
        </w:tc>
        <w:tc>
          <w:tcPr>
            <w:tcW w:w="713" w:type="pct"/>
            <w:vAlign w:val="center"/>
          </w:tcPr>
          <w:p w14:paraId="15687ED0" w14:textId="77777777" w:rsidR="00D4500C" w:rsidRPr="007E2939" w:rsidRDefault="00D4500C" w:rsidP="001E626E">
            <w:pPr>
              <w:spacing w:line="360" w:lineRule="auto"/>
              <w:jc w:val="center"/>
              <w:rPr>
                <w:rFonts w:ascii="Arial" w:hAnsi="Arial" w:cs="Arial"/>
                <w:b/>
              </w:rPr>
            </w:pPr>
            <w:r w:rsidRPr="007E2939">
              <w:rPr>
                <w:rFonts w:ascii="Arial" w:hAnsi="Arial" w:cs="Arial"/>
                <w:b/>
              </w:rPr>
              <w:t>Sustainability</w:t>
            </w:r>
          </w:p>
        </w:tc>
        <w:tc>
          <w:tcPr>
            <w:tcW w:w="850" w:type="pct"/>
            <w:vMerge w:val="restart"/>
            <w:vAlign w:val="center"/>
          </w:tcPr>
          <w:p w14:paraId="64D5ACE8" w14:textId="77777777" w:rsidR="00D4500C" w:rsidRPr="007E2939" w:rsidRDefault="00D4500C" w:rsidP="001E626E">
            <w:pPr>
              <w:spacing w:line="360" w:lineRule="auto"/>
              <w:jc w:val="center"/>
              <w:rPr>
                <w:rFonts w:ascii="Arial" w:hAnsi="Arial" w:cs="Arial"/>
              </w:rPr>
            </w:pPr>
            <w:r w:rsidRPr="007E2939">
              <w:rPr>
                <w:rFonts w:ascii="Arial" w:hAnsi="Arial" w:cs="Arial"/>
              </w:rPr>
              <w:t>Blue</w:t>
            </w:r>
          </w:p>
        </w:tc>
        <w:tc>
          <w:tcPr>
            <w:tcW w:w="687" w:type="pct"/>
            <w:vAlign w:val="center"/>
          </w:tcPr>
          <w:p w14:paraId="74572BBA" w14:textId="77777777" w:rsidR="00D4500C" w:rsidRPr="007E2939" w:rsidRDefault="00D4500C" w:rsidP="001E626E">
            <w:pPr>
              <w:spacing w:line="360" w:lineRule="auto"/>
              <w:jc w:val="center"/>
              <w:rPr>
                <w:rFonts w:ascii="Arial" w:hAnsi="Arial" w:cs="Arial"/>
              </w:rPr>
            </w:pPr>
            <w:r w:rsidRPr="007E2939">
              <w:rPr>
                <w:rFonts w:ascii="Arial" w:hAnsi="Arial" w:cs="Arial"/>
              </w:rPr>
              <w:t xml:space="preserve">Environmental </w:t>
            </w:r>
            <w:r w:rsidRPr="007E2939">
              <w:rPr>
                <w:rFonts w:ascii="Arial" w:hAnsi="Arial" w:cs="Arial"/>
              </w:rPr>
              <w:lastRenderedPageBreak/>
              <w:t>policy</w:t>
            </w:r>
          </w:p>
        </w:tc>
        <w:tc>
          <w:tcPr>
            <w:tcW w:w="1013" w:type="pct"/>
            <w:vMerge/>
            <w:vAlign w:val="center"/>
          </w:tcPr>
          <w:p w14:paraId="4F356A8B" w14:textId="77777777" w:rsidR="00D4500C" w:rsidRPr="007E2939" w:rsidRDefault="00D4500C" w:rsidP="001E626E">
            <w:pPr>
              <w:spacing w:line="360" w:lineRule="auto"/>
              <w:jc w:val="center"/>
              <w:rPr>
                <w:rFonts w:ascii="Arial" w:hAnsi="Arial" w:cs="Arial"/>
              </w:rPr>
            </w:pPr>
          </w:p>
        </w:tc>
      </w:tr>
      <w:tr w:rsidR="00D4500C" w:rsidRPr="007E2939" w14:paraId="0212E8AB" w14:textId="77777777" w:rsidTr="001E626E">
        <w:trPr>
          <w:jc w:val="center"/>
        </w:trPr>
        <w:tc>
          <w:tcPr>
            <w:tcW w:w="228" w:type="pct"/>
            <w:vAlign w:val="center"/>
          </w:tcPr>
          <w:p w14:paraId="2AE675BA" w14:textId="77777777" w:rsidR="00D4500C" w:rsidRPr="007E2939" w:rsidRDefault="00D4500C" w:rsidP="001E626E">
            <w:pPr>
              <w:spacing w:line="360" w:lineRule="auto"/>
              <w:jc w:val="center"/>
              <w:rPr>
                <w:rFonts w:ascii="Arial" w:hAnsi="Arial" w:cs="Arial"/>
              </w:rPr>
            </w:pPr>
            <w:r w:rsidRPr="007E2939">
              <w:rPr>
                <w:rFonts w:ascii="Arial" w:hAnsi="Arial" w:cs="Arial"/>
              </w:rPr>
              <w:t>10</w:t>
            </w:r>
          </w:p>
        </w:tc>
        <w:tc>
          <w:tcPr>
            <w:tcW w:w="687" w:type="pct"/>
            <w:vAlign w:val="center"/>
          </w:tcPr>
          <w:p w14:paraId="663F389C" w14:textId="77777777" w:rsidR="00D4500C" w:rsidRPr="007E2939" w:rsidRDefault="00D4500C" w:rsidP="001E626E">
            <w:pPr>
              <w:spacing w:line="360" w:lineRule="auto"/>
              <w:jc w:val="center"/>
              <w:rPr>
                <w:rFonts w:ascii="Arial" w:hAnsi="Arial" w:cs="Arial"/>
              </w:rPr>
            </w:pPr>
            <w:r w:rsidRPr="007E2939">
              <w:rPr>
                <w:rFonts w:ascii="Arial" w:hAnsi="Arial" w:cs="Arial"/>
              </w:rPr>
              <w:t>Sustainable development</w:t>
            </w:r>
          </w:p>
        </w:tc>
        <w:tc>
          <w:tcPr>
            <w:tcW w:w="822" w:type="pct"/>
            <w:vMerge/>
            <w:vAlign w:val="center"/>
          </w:tcPr>
          <w:p w14:paraId="226BA2EC" w14:textId="77777777" w:rsidR="00D4500C" w:rsidRPr="007E2939" w:rsidRDefault="00D4500C" w:rsidP="001E626E">
            <w:pPr>
              <w:spacing w:line="360" w:lineRule="auto"/>
              <w:jc w:val="center"/>
              <w:rPr>
                <w:rFonts w:ascii="Arial" w:hAnsi="Arial" w:cs="Arial"/>
              </w:rPr>
            </w:pPr>
          </w:p>
        </w:tc>
        <w:tc>
          <w:tcPr>
            <w:tcW w:w="713" w:type="pct"/>
            <w:vAlign w:val="center"/>
          </w:tcPr>
          <w:p w14:paraId="165600F1" w14:textId="77777777" w:rsidR="00D4500C" w:rsidRPr="007E2939" w:rsidRDefault="00D4500C" w:rsidP="001E626E">
            <w:pPr>
              <w:spacing w:line="360" w:lineRule="auto"/>
              <w:jc w:val="center"/>
              <w:rPr>
                <w:rFonts w:ascii="Arial" w:hAnsi="Arial" w:cs="Arial"/>
              </w:rPr>
            </w:pPr>
            <w:r w:rsidRPr="007E2939">
              <w:rPr>
                <w:rFonts w:ascii="Arial" w:hAnsi="Arial" w:cs="Arial"/>
              </w:rPr>
              <w:t>Policy implementation</w:t>
            </w:r>
          </w:p>
        </w:tc>
        <w:tc>
          <w:tcPr>
            <w:tcW w:w="850" w:type="pct"/>
            <w:vMerge/>
            <w:vAlign w:val="center"/>
          </w:tcPr>
          <w:p w14:paraId="7C6EE2C8" w14:textId="77777777" w:rsidR="00D4500C" w:rsidRPr="007E2939" w:rsidRDefault="00D4500C" w:rsidP="001E626E">
            <w:pPr>
              <w:spacing w:line="360" w:lineRule="auto"/>
              <w:jc w:val="center"/>
              <w:rPr>
                <w:rFonts w:ascii="Arial" w:hAnsi="Arial" w:cs="Arial"/>
              </w:rPr>
            </w:pPr>
          </w:p>
        </w:tc>
        <w:tc>
          <w:tcPr>
            <w:tcW w:w="687" w:type="pct"/>
            <w:vAlign w:val="center"/>
          </w:tcPr>
          <w:p w14:paraId="44FF0C91" w14:textId="77777777" w:rsidR="00D4500C" w:rsidRPr="007E2939" w:rsidRDefault="00D4500C" w:rsidP="001E626E">
            <w:pPr>
              <w:spacing w:line="360" w:lineRule="auto"/>
              <w:jc w:val="center"/>
              <w:rPr>
                <w:rFonts w:ascii="Arial" w:hAnsi="Arial" w:cs="Arial"/>
              </w:rPr>
            </w:pPr>
            <w:r w:rsidRPr="007E2939">
              <w:rPr>
                <w:rFonts w:ascii="Arial" w:hAnsi="Arial" w:cs="Arial"/>
              </w:rPr>
              <w:t>SME</w:t>
            </w:r>
          </w:p>
        </w:tc>
        <w:tc>
          <w:tcPr>
            <w:tcW w:w="1013" w:type="pct"/>
            <w:vMerge/>
            <w:vAlign w:val="center"/>
          </w:tcPr>
          <w:p w14:paraId="0791DE89" w14:textId="77777777" w:rsidR="00D4500C" w:rsidRPr="007E2939" w:rsidRDefault="00D4500C" w:rsidP="001E626E">
            <w:pPr>
              <w:spacing w:line="360" w:lineRule="auto"/>
              <w:jc w:val="center"/>
              <w:rPr>
                <w:rFonts w:ascii="Arial" w:hAnsi="Arial" w:cs="Arial"/>
              </w:rPr>
            </w:pPr>
          </w:p>
        </w:tc>
      </w:tr>
      <w:tr w:rsidR="00D4500C" w:rsidRPr="007E2939" w14:paraId="16E46B8F" w14:textId="77777777" w:rsidTr="001E626E">
        <w:trPr>
          <w:jc w:val="center"/>
        </w:trPr>
        <w:tc>
          <w:tcPr>
            <w:tcW w:w="228" w:type="pct"/>
            <w:vAlign w:val="center"/>
          </w:tcPr>
          <w:p w14:paraId="2A7492C2" w14:textId="77777777" w:rsidR="00D4500C" w:rsidRPr="007E2939" w:rsidRDefault="00D4500C" w:rsidP="001E626E">
            <w:pPr>
              <w:spacing w:line="360" w:lineRule="auto"/>
              <w:jc w:val="center"/>
              <w:rPr>
                <w:rFonts w:ascii="Arial" w:hAnsi="Arial" w:cs="Arial"/>
              </w:rPr>
            </w:pPr>
            <w:r w:rsidRPr="007E2939">
              <w:rPr>
                <w:rFonts w:ascii="Arial" w:hAnsi="Arial" w:cs="Arial"/>
              </w:rPr>
              <w:t>11</w:t>
            </w:r>
          </w:p>
        </w:tc>
        <w:tc>
          <w:tcPr>
            <w:tcW w:w="687" w:type="pct"/>
            <w:vAlign w:val="center"/>
          </w:tcPr>
          <w:p w14:paraId="552EDD84" w14:textId="77777777" w:rsidR="00D4500C" w:rsidRPr="007E2939" w:rsidRDefault="00D4500C" w:rsidP="001E626E">
            <w:pPr>
              <w:spacing w:line="360" w:lineRule="auto"/>
              <w:jc w:val="center"/>
              <w:rPr>
                <w:rFonts w:ascii="Arial" w:hAnsi="Arial" w:cs="Arial"/>
                <w:b/>
              </w:rPr>
            </w:pPr>
            <w:r w:rsidRPr="007E2939">
              <w:rPr>
                <w:rFonts w:ascii="Arial" w:hAnsi="Arial" w:cs="Arial"/>
                <w:b/>
              </w:rPr>
              <w:t>Business modeling</w:t>
            </w:r>
          </w:p>
        </w:tc>
        <w:tc>
          <w:tcPr>
            <w:tcW w:w="822" w:type="pct"/>
            <w:vAlign w:val="center"/>
          </w:tcPr>
          <w:p w14:paraId="01F4F4E9" w14:textId="77777777" w:rsidR="00D4500C" w:rsidRPr="007E2939" w:rsidRDefault="00D4500C" w:rsidP="001E626E">
            <w:pPr>
              <w:spacing w:line="360" w:lineRule="auto"/>
              <w:jc w:val="center"/>
              <w:rPr>
                <w:rFonts w:ascii="Arial" w:hAnsi="Arial" w:cs="Arial"/>
              </w:rPr>
            </w:pPr>
            <w:r w:rsidRPr="007E2939">
              <w:rPr>
                <w:rFonts w:ascii="Arial" w:hAnsi="Arial" w:cs="Arial"/>
              </w:rPr>
              <w:t>Purple</w:t>
            </w:r>
          </w:p>
        </w:tc>
        <w:tc>
          <w:tcPr>
            <w:tcW w:w="713" w:type="pct"/>
            <w:vAlign w:val="center"/>
          </w:tcPr>
          <w:p w14:paraId="2D644DF6" w14:textId="77777777" w:rsidR="00D4500C" w:rsidRPr="007E2939" w:rsidRDefault="00D4500C" w:rsidP="001E626E">
            <w:pPr>
              <w:spacing w:line="360" w:lineRule="auto"/>
              <w:jc w:val="center"/>
              <w:rPr>
                <w:rFonts w:ascii="Arial" w:hAnsi="Arial" w:cs="Arial"/>
                <w:b/>
              </w:rPr>
            </w:pPr>
            <w:r w:rsidRPr="007E2939">
              <w:rPr>
                <w:rFonts w:ascii="Arial" w:hAnsi="Arial" w:cs="Arial"/>
                <w:b/>
              </w:rPr>
              <w:t>Business modeling</w:t>
            </w:r>
          </w:p>
        </w:tc>
        <w:tc>
          <w:tcPr>
            <w:tcW w:w="850" w:type="pct"/>
            <w:vMerge w:val="restart"/>
            <w:vAlign w:val="center"/>
          </w:tcPr>
          <w:p w14:paraId="7C0F9C80" w14:textId="77777777" w:rsidR="00D4500C" w:rsidRPr="007E2939" w:rsidRDefault="00D4500C" w:rsidP="001E626E">
            <w:pPr>
              <w:spacing w:line="360" w:lineRule="auto"/>
              <w:jc w:val="center"/>
              <w:rPr>
                <w:rFonts w:ascii="Arial" w:hAnsi="Arial" w:cs="Arial"/>
              </w:rPr>
            </w:pPr>
            <w:r w:rsidRPr="007E2939">
              <w:rPr>
                <w:rFonts w:ascii="Arial" w:hAnsi="Arial" w:cs="Arial"/>
              </w:rPr>
              <w:t>Purple</w:t>
            </w:r>
          </w:p>
        </w:tc>
        <w:tc>
          <w:tcPr>
            <w:tcW w:w="687" w:type="pct"/>
            <w:vAlign w:val="center"/>
          </w:tcPr>
          <w:p w14:paraId="7DF3CBF0" w14:textId="77777777" w:rsidR="00D4500C" w:rsidRPr="007E2939" w:rsidRDefault="00D4500C" w:rsidP="001E626E">
            <w:pPr>
              <w:spacing w:line="360" w:lineRule="auto"/>
              <w:jc w:val="center"/>
              <w:rPr>
                <w:rFonts w:ascii="Arial" w:hAnsi="Arial" w:cs="Arial"/>
              </w:rPr>
            </w:pPr>
            <w:r w:rsidRPr="007E2939">
              <w:rPr>
                <w:rFonts w:ascii="Arial" w:hAnsi="Arial" w:cs="Arial"/>
              </w:rPr>
              <w:t>Resource efficiency</w:t>
            </w:r>
          </w:p>
        </w:tc>
        <w:tc>
          <w:tcPr>
            <w:tcW w:w="1013" w:type="pct"/>
            <w:vMerge/>
            <w:vAlign w:val="center"/>
          </w:tcPr>
          <w:p w14:paraId="0CE3B6B1" w14:textId="77777777" w:rsidR="00D4500C" w:rsidRPr="007E2939" w:rsidRDefault="00D4500C" w:rsidP="001E626E">
            <w:pPr>
              <w:spacing w:line="360" w:lineRule="auto"/>
              <w:jc w:val="center"/>
              <w:rPr>
                <w:rFonts w:ascii="Arial" w:hAnsi="Arial" w:cs="Arial"/>
              </w:rPr>
            </w:pPr>
          </w:p>
        </w:tc>
      </w:tr>
      <w:tr w:rsidR="00D4500C" w:rsidRPr="007E2939" w14:paraId="3AB1DB34" w14:textId="77777777" w:rsidTr="001E626E">
        <w:trPr>
          <w:jc w:val="center"/>
        </w:trPr>
        <w:tc>
          <w:tcPr>
            <w:tcW w:w="228" w:type="pct"/>
            <w:vAlign w:val="center"/>
          </w:tcPr>
          <w:p w14:paraId="53FF1CD2" w14:textId="77777777" w:rsidR="00D4500C" w:rsidRPr="007E2939" w:rsidRDefault="00D4500C" w:rsidP="001E626E">
            <w:pPr>
              <w:spacing w:line="360" w:lineRule="auto"/>
              <w:jc w:val="center"/>
              <w:rPr>
                <w:rFonts w:ascii="Arial" w:hAnsi="Arial" w:cs="Arial"/>
              </w:rPr>
            </w:pPr>
            <w:r w:rsidRPr="007E2939">
              <w:rPr>
                <w:rFonts w:ascii="Arial" w:hAnsi="Arial" w:cs="Arial"/>
              </w:rPr>
              <w:t>12</w:t>
            </w:r>
          </w:p>
        </w:tc>
        <w:tc>
          <w:tcPr>
            <w:tcW w:w="687" w:type="pct"/>
            <w:vAlign w:val="center"/>
          </w:tcPr>
          <w:p w14:paraId="7D019640" w14:textId="77777777" w:rsidR="00D4500C" w:rsidRPr="007E2939" w:rsidRDefault="00D4500C" w:rsidP="001E626E">
            <w:pPr>
              <w:spacing w:line="360" w:lineRule="auto"/>
              <w:jc w:val="center"/>
              <w:rPr>
                <w:rFonts w:ascii="Arial" w:hAnsi="Arial" w:cs="Arial"/>
                <w:b/>
              </w:rPr>
            </w:pPr>
            <w:r w:rsidRPr="007E2939">
              <w:rPr>
                <w:rFonts w:ascii="Arial" w:hAnsi="Arial" w:cs="Arial"/>
                <w:b/>
              </w:rPr>
              <w:t>SME</w:t>
            </w:r>
          </w:p>
        </w:tc>
        <w:tc>
          <w:tcPr>
            <w:tcW w:w="822" w:type="pct"/>
            <w:vAlign w:val="center"/>
          </w:tcPr>
          <w:p w14:paraId="40EE2004" w14:textId="77777777" w:rsidR="00D4500C" w:rsidRPr="007E2939" w:rsidRDefault="00D4500C" w:rsidP="001E626E">
            <w:pPr>
              <w:spacing w:line="360" w:lineRule="auto"/>
              <w:jc w:val="center"/>
              <w:rPr>
                <w:rFonts w:ascii="Arial" w:hAnsi="Arial" w:cs="Arial"/>
              </w:rPr>
            </w:pPr>
            <w:r w:rsidRPr="007E2939">
              <w:rPr>
                <w:rFonts w:ascii="Arial" w:hAnsi="Arial" w:cs="Arial"/>
              </w:rPr>
              <w:t>Yellow</w:t>
            </w:r>
          </w:p>
        </w:tc>
        <w:tc>
          <w:tcPr>
            <w:tcW w:w="713" w:type="pct"/>
            <w:vAlign w:val="center"/>
          </w:tcPr>
          <w:p w14:paraId="0A4F2295" w14:textId="77777777" w:rsidR="00D4500C" w:rsidRPr="007E2939" w:rsidRDefault="00D4500C" w:rsidP="001E626E">
            <w:pPr>
              <w:spacing w:line="360" w:lineRule="auto"/>
              <w:jc w:val="center"/>
              <w:rPr>
                <w:rFonts w:ascii="Arial" w:hAnsi="Arial" w:cs="Arial"/>
              </w:rPr>
            </w:pPr>
            <w:r w:rsidRPr="007E2939">
              <w:rPr>
                <w:rFonts w:ascii="Arial" w:hAnsi="Arial" w:cs="Arial"/>
              </w:rPr>
              <w:t>SME</w:t>
            </w:r>
          </w:p>
        </w:tc>
        <w:tc>
          <w:tcPr>
            <w:tcW w:w="850" w:type="pct"/>
            <w:vMerge/>
            <w:vAlign w:val="center"/>
          </w:tcPr>
          <w:p w14:paraId="18EE5B8A" w14:textId="77777777" w:rsidR="00D4500C" w:rsidRPr="007E2939" w:rsidRDefault="00D4500C" w:rsidP="001E626E">
            <w:pPr>
              <w:spacing w:line="360" w:lineRule="auto"/>
              <w:jc w:val="center"/>
              <w:rPr>
                <w:rFonts w:ascii="Arial" w:hAnsi="Arial" w:cs="Arial"/>
              </w:rPr>
            </w:pPr>
          </w:p>
        </w:tc>
        <w:tc>
          <w:tcPr>
            <w:tcW w:w="687" w:type="pct"/>
            <w:vAlign w:val="center"/>
          </w:tcPr>
          <w:p w14:paraId="0B3A7376" w14:textId="77777777" w:rsidR="00D4500C" w:rsidRPr="007E2939" w:rsidRDefault="00D4500C" w:rsidP="001E626E">
            <w:pPr>
              <w:spacing w:line="360" w:lineRule="auto"/>
              <w:jc w:val="center"/>
              <w:rPr>
                <w:rFonts w:ascii="Arial" w:hAnsi="Arial" w:cs="Arial"/>
              </w:rPr>
            </w:pPr>
            <w:r w:rsidRPr="007E2939">
              <w:rPr>
                <w:rFonts w:ascii="Arial" w:hAnsi="Arial" w:cs="Arial"/>
              </w:rPr>
              <w:t xml:space="preserve">Market conditions </w:t>
            </w:r>
          </w:p>
        </w:tc>
        <w:tc>
          <w:tcPr>
            <w:tcW w:w="1013" w:type="pct"/>
            <w:vMerge/>
            <w:vAlign w:val="center"/>
          </w:tcPr>
          <w:p w14:paraId="5C6C1D6E" w14:textId="77777777" w:rsidR="00D4500C" w:rsidRPr="007E2939" w:rsidRDefault="00D4500C" w:rsidP="001E626E">
            <w:pPr>
              <w:spacing w:line="360" w:lineRule="auto"/>
              <w:jc w:val="center"/>
              <w:rPr>
                <w:rFonts w:ascii="Arial" w:hAnsi="Arial" w:cs="Arial"/>
              </w:rPr>
            </w:pPr>
          </w:p>
        </w:tc>
      </w:tr>
      <w:tr w:rsidR="00D4500C" w:rsidRPr="007E2939" w14:paraId="22BEC50E" w14:textId="77777777" w:rsidTr="001E626E">
        <w:trPr>
          <w:jc w:val="center"/>
        </w:trPr>
        <w:tc>
          <w:tcPr>
            <w:tcW w:w="228" w:type="pct"/>
            <w:vAlign w:val="center"/>
          </w:tcPr>
          <w:p w14:paraId="5433365A" w14:textId="77777777" w:rsidR="00D4500C" w:rsidRPr="007E2939" w:rsidRDefault="00D4500C" w:rsidP="001E626E">
            <w:pPr>
              <w:spacing w:line="360" w:lineRule="auto"/>
              <w:jc w:val="center"/>
              <w:rPr>
                <w:rFonts w:ascii="Arial" w:hAnsi="Arial" w:cs="Arial"/>
              </w:rPr>
            </w:pPr>
            <w:r w:rsidRPr="007E2939">
              <w:rPr>
                <w:rFonts w:ascii="Arial" w:hAnsi="Arial" w:cs="Arial"/>
              </w:rPr>
              <w:t>13</w:t>
            </w:r>
          </w:p>
        </w:tc>
        <w:tc>
          <w:tcPr>
            <w:tcW w:w="687" w:type="pct"/>
            <w:vAlign w:val="center"/>
          </w:tcPr>
          <w:p w14:paraId="4BB8FA14" w14:textId="77777777" w:rsidR="00D4500C" w:rsidRPr="007E2939" w:rsidRDefault="00D4500C" w:rsidP="001E626E">
            <w:pPr>
              <w:spacing w:line="360" w:lineRule="auto"/>
              <w:jc w:val="center"/>
              <w:rPr>
                <w:rFonts w:ascii="Arial" w:hAnsi="Arial" w:cs="Arial"/>
                <w:b/>
              </w:rPr>
            </w:pPr>
            <w:r w:rsidRPr="007E2939">
              <w:rPr>
                <w:rFonts w:ascii="Arial" w:hAnsi="Arial" w:cs="Arial"/>
                <w:b/>
              </w:rPr>
              <w:t>CE</w:t>
            </w:r>
          </w:p>
        </w:tc>
        <w:tc>
          <w:tcPr>
            <w:tcW w:w="822" w:type="pct"/>
            <w:vAlign w:val="center"/>
          </w:tcPr>
          <w:p w14:paraId="125EB3E0" w14:textId="77777777" w:rsidR="00D4500C" w:rsidRPr="007E2939" w:rsidRDefault="00D4500C" w:rsidP="001E626E">
            <w:pPr>
              <w:spacing w:line="360" w:lineRule="auto"/>
              <w:jc w:val="center"/>
              <w:rPr>
                <w:rFonts w:ascii="Arial" w:hAnsi="Arial" w:cs="Arial"/>
              </w:rPr>
            </w:pPr>
            <w:r w:rsidRPr="007E2939">
              <w:rPr>
                <w:rFonts w:ascii="Arial" w:hAnsi="Arial" w:cs="Arial"/>
              </w:rPr>
              <w:t>Turquoise</w:t>
            </w:r>
          </w:p>
        </w:tc>
        <w:tc>
          <w:tcPr>
            <w:tcW w:w="713" w:type="pct"/>
            <w:vAlign w:val="center"/>
          </w:tcPr>
          <w:p w14:paraId="56274D59" w14:textId="77777777" w:rsidR="00D4500C" w:rsidRPr="007E2939" w:rsidRDefault="00D4500C" w:rsidP="001E626E">
            <w:pPr>
              <w:spacing w:line="360" w:lineRule="auto"/>
              <w:jc w:val="center"/>
              <w:rPr>
                <w:rFonts w:ascii="Arial" w:hAnsi="Arial" w:cs="Arial"/>
              </w:rPr>
            </w:pPr>
            <w:r w:rsidRPr="007E2939">
              <w:rPr>
                <w:rFonts w:ascii="Arial" w:hAnsi="Arial" w:cs="Arial"/>
              </w:rPr>
              <w:t>Commerce</w:t>
            </w:r>
          </w:p>
        </w:tc>
        <w:tc>
          <w:tcPr>
            <w:tcW w:w="850" w:type="pct"/>
            <w:vMerge/>
            <w:vAlign w:val="center"/>
          </w:tcPr>
          <w:p w14:paraId="3CCF3948" w14:textId="77777777" w:rsidR="00D4500C" w:rsidRPr="007E2939" w:rsidRDefault="00D4500C" w:rsidP="001E626E">
            <w:pPr>
              <w:spacing w:line="360" w:lineRule="auto"/>
              <w:jc w:val="center"/>
              <w:rPr>
                <w:rFonts w:ascii="Arial" w:hAnsi="Arial" w:cs="Arial"/>
              </w:rPr>
            </w:pPr>
          </w:p>
        </w:tc>
        <w:tc>
          <w:tcPr>
            <w:tcW w:w="687" w:type="pct"/>
            <w:vAlign w:val="center"/>
          </w:tcPr>
          <w:p w14:paraId="74D552D9" w14:textId="77777777" w:rsidR="00D4500C" w:rsidRPr="007E2939" w:rsidRDefault="00D4500C" w:rsidP="001E626E">
            <w:pPr>
              <w:spacing w:line="360" w:lineRule="auto"/>
              <w:jc w:val="center"/>
              <w:rPr>
                <w:rFonts w:ascii="Arial" w:hAnsi="Arial" w:cs="Arial"/>
              </w:rPr>
            </w:pPr>
            <w:r w:rsidRPr="007E2939">
              <w:rPr>
                <w:rFonts w:ascii="Arial" w:hAnsi="Arial" w:cs="Arial"/>
              </w:rPr>
              <w:t>Europe</w:t>
            </w:r>
          </w:p>
        </w:tc>
        <w:tc>
          <w:tcPr>
            <w:tcW w:w="1013" w:type="pct"/>
            <w:vMerge/>
            <w:vAlign w:val="center"/>
          </w:tcPr>
          <w:p w14:paraId="36D84AEA" w14:textId="77777777" w:rsidR="00D4500C" w:rsidRPr="007E2939" w:rsidRDefault="00D4500C" w:rsidP="001E626E">
            <w:pPr>
              <w:spacing w:line="360" w:lineRule="auto"/>
              <w:jc w:val="center"/>
              <w:rPr>
                <w:rFonts w:ascii="Arial" w:hAnsi="Arial" w:cs="Arial"/>
              </w:rPr>
            </w:pPr>
          </w:p>
        </w:tc>
      </w:tr>
      <w:tr w:rsidR="00D4500C" w:rsidRPr="007E2939" w14:paraId="43F571F2" w14:textId="77777777" w:rsidTr="001E626E">
        <w:trPr>
          <w:jc w:val="center"/>
        </w:trPr>
        <w:tc>
          <w:tcPr>
            <w:tcW w:w="228" w:type="pct"/>
            <w:vAlign w:val="center"/>
          </w:tcPr>
          <w:p w14:paraId="0B9A7FF5" w14:textId="77777777" w:rsidR="00D4500C" w:rsidRPr="007E2939" w:rsidRDefault="00D4500C" w:rsidP="001E626E">
            <w:pPr>
              <w:spacing w:line="360" w:lineRule="auto"/>
              <w:jc w:val="center"/>
              <w:rPr>
                <w:rFonts w:ascii="Arial" w:hAnsi="Arial" w:cs="Arial"/>
              </w:rPr>
            </w:pPr>
            <w:r w:rsidRPr="007E2939">
              <w:rPr>
                <w:rFonts w:ascii="Arial" w:hAnsi="Arial" w:cs="Arial"/>
              </w:rPr>
              <w:t>14</w:t>
            </w:r>
          </w:p>
        </w:tc>
        <w:tc>
          <w:tcPr>
            <w:tcW w:w="1509" w:type="pct"/>
            <w:gridSpan w:val="2"/>
            <w:vMerge w:val="restart"/>
            <w:vAlign w:val="center"/>
          </w:tcPr>
          <w:p w14:paraId="412B93A0" w14:textId="77777777" w:rsidR="00D4500C" w:rsidRPr="007E2939" w:rsidRDefault="00D4500C" w:rsidP="001E626E">
            <w:pPr>
              <w:spacing w:line="360" w:lineRule="auto"/>
              <w:jc w:val="center"/>
              <w:rPr>
                <w:rFonts w:ascii="Arial" w:hAnsi="Arial" w:cs="Arial"/>
              </w:rPr>
            </w:pPr>
          </w:p>
        </w:tc>
        <w:tc>
          <w:tcPr>
            <w:tcW w:w="713" w:type="pct"/>
            <w:vAlign w:val="center"/>
          </w:tcPr>
          <w:p w14:paraId="3FCB2EC0" w14:textId="77777777" w:rsidR="00D4500C" w:rsidRPr="007E2939" w:rsidRDefault="00D4500C" w:rsidP="001E626E">
            <w:pPr>
              <w:spacing w:line="360" w:lineRule="auto"/>
              <w:jc w:val="center"/>
              <w:rPr>
                <w:rFonts w:ascii="Arial" w:hAnsi="Arial" w:cs="Arial"/>
              </w:rPr>
            </w:pPr>
            <w:r w:rsidRPr="007E2939">
              <w:rPr>
                <w:rFonts w:ascii="Arial" w:hAnsi="Arial" w:cs="Arial"/>
              </w:rPr>
              <w:t>Sales</w:t>
            </w:r>
          </w:p>
        </w:tc>
        <w:tc>
          <w:tcPr>
            <w:tcW w:w="850" w:type="pct"/>
            <w:vMerge/>
            <w:vAlign w:val="center"/>
          </w:tcPr>
          <w:p w14:paraId="70CD5C7B" w14:textId="77777777" w:rsidR="00D4500C" w:rsidRPr="007E2939" w:rsidRDefault="00D4500C" w:rsidP="001E626E">
            <w:pPr>
              <w:spacing w:line="360" w:lineRule="auto"/>
              <w:jc w:val="center"/>
              <w:rPr>
                <w:rFonts w:ascii="Arial" w:hAnsi="Arial" w:cs="Arial"/>
              </w:rPr>
            </w:pPr>
          </w:p>
        </w:tc>
        <w:tc>
          <w:tcPr>
            <w:tcW w:w="687" w:type="pct"/>
            <w:vAlign w:val="center"/>
          </w:tcPr>
          <w:p w14:paraId="1161C7A2" w14:textId="77777777" w:rsidR="00D4500C" w:rsidRPr="007E2939" w:rsidRDefault="00D4500C" w:rsidP="001E626E">
            <w:pPr>
              <w:spacing w:line="360" w:lineRule="auto"/>
              <w:jc w:val="center"/>
              <w:rPr>
                <w:rFonts w:ascii="Arial" w:hAnsi="Arial" w:cs="Arial"/>
              </w:rPr>
            </w:pPr>
            <w:r w:rsidRPr="007E2939">
              <w:rPr>
                <w:rFonts w:ascii="Arial" w:hAnsi="Arial" w:cs="Arial"/>
                <w:b/>
              </w:rPr>
              <w:t>CE</w:t>
            </w:r>
          </w:p>
        </w:tc>
        <w:tc>
          <w:tcPr>
            <w:tcW w:w="1013" w:type="pct"/>
            <w:vMerge w:val="restart"/>
            <w:vAlign w:val="center"/>
          </w:tcPr>
          <w:p w14:paraId="6F344985" w14:textId="77777777" w:rsidR="00D4500C" w:rsidRPr="007E2939" w:rsidRDefault="00D4500C" w:rsidP="001E626E">
            <w:pPr>
              <w:spacing w:line="360" w:lineRule="auto"/>
              <w:jc w:val="center"/>
              <w:rPr>
                <w:rFonts w:ascii="Arial" w:hAnsi="Arial" w:cs="Arial"/>
              </w:rPr>
            </w:pPr>
            <w:r w:rsidRPr="007E2939">
              <w:rPr>
                <w:rFonts w:ascii="Arial" w:hAnsi="Arial" w:cs="Arial"/>
              </w:rPr>
              <w:t>Turquoise</w:t>
            </w:r>
          </w:p>
        </w:tc>
      </w:tr>
      <w:tr w:rsidR="00D4500C" w:rsidRPr="007E2939" w14:paraId="09190365" w14:textId="77777777" w:rsidTr="001E626E">
        <w:trPr>
          <w:jc w:val="center"/>
        </w:trPr>
        <w:tc>
          <w:tcPr>
            <w:tcW w:w="228" w:type="pct"/>
            <w:vAlign w:val="center"/>
          </w:tcPr>
          <w:p w14:paraId="3A2129DB" w14:textId="77777777" w:rsidR="00D4500C" w:rsidRPr="007E2939" w:rsidRDefault="00D4500C" w:rsidP="001E626E">
            <w:pPr>
              <w:spacing w:line="360" w:lineRule="auto"/>
              <w:jc w:val="center"/>
              <w:rPr>
                <w:rFonts w:ascii="Arial" w:hAnsi="Arial" w:cs="Arial"/>
              </w:rPr>
            </w:pPr>
            <w:r w:rsidRPr="007E2939">
              <w:rPr>
                <w:rFonts w:ascii="Arial" w:hAnsi="Arial" w:cs="Arial"/>
              </w:rPr>
              <w:t>15</w:t>
            </w:r>
          </w:p>
        </w:tc>
        <w:tc>
          <w:tcPr>
            <w:tcW w:w="1509" w:type="pct"/>
            <w:gridSpan w:val="2"/>
            <w:vMerge/>
            <w:vAlign w:val="center"/>
          </w:tcPr>
          <w:p w14:paraId="254F8157" w14:textId="77777777" w:rsidR="00D4500C" w:rsidRPr="007E2939" w:rsidRDefault="00D4500C" w:rsidP="001E626E">
            <w:pPr>
              <w:spacing w:line="360" w:lineRule="auto"/>
              <w:jc w:val="center"/>
              <w:rPr>
                <w:rFonts w:ascii="Arial" w:hAnsi="Arial" w:cs="Arial"/>
              </w:rPr>
            </w:pPr>
          </w:p>
        </w:tc>
        <w:tc>
          <w:tcPr>
            <w:tcW w:w="713" w:type="pct"/>
            <w:vAlign w:val="center"/>
          </w:tcPr>
          <w:p w14:paraId="7621A4B8" w14:textId="77777777" w:rsidR="00D4500C" w:rsidRPr="007E2939" w:rsidRDefault="00D4500C" w:rsidP="001E626E">
            <w:pPr>
              <w:spacing w:line="360" w:lineRule="auto"/>
              <w:jc w:val="center"/>
              <w:rPr>
                <w:rFonts w:ascii="Arial" w:hAnsi="Arial" w:cs="Arial"/>
              </w:rPr>
            </w:pPr>
            <w:r w:rsidRPr="007E2939">
              <w:rPr>
                <w:rFonts w:ascii="Arial" w:hAnsi="Arial" w:cs="Arial"/>
              </w:rPr>
              <w:t>Business development</w:t>
            </w:r>
          </w:p>
        </w:tc>
        <w:tc>
          <w:tcPr>
            <w:tcW w:w="850" w:type="pct"/>
            <w:vMerge/>
            <w:vAlign w:val="center"/>
          </w:tcPr>
          <w:p w14:paraId="03B916F1" w14:textId="77777777" w:rsidR="00D4500C" w:rsidRPr="007E2939" w:rsidRDefault="00D4500C" w:rsidP="001E626E">
            <w:pPr>
              <w:spacing w:line="360" w:lineRule="auto"/>
              <w:jc w:val="center"/>
              <w:rPr>
                <w:rFonts w:ascii="Arial" w:hAnsi="Arial" w:cs="Arial"/>
              </w:rPr>
            </w:pPr>
          </w:p>
        </w:tc>
        <w:tc>
          <w:tcPr>
            <w:tcW w:w="687" w:type="pct"/>
            <w:vAlign w:val="center"/>
          </w:tcPr>
          <w:p w14:paraId="6EB1C4D5" w14:textId="77777777" w:rsidR="00D4500C" w:rsidRPr="007E2939" w:rsidRDefault="00D4500C" w:rsidP="001E626E">
            <w:pPr>
              <w:spacing w:line="360" w:lineRule="auto"/>
              <w:jc w:val="center"/>
              <w:rPr>
                <w:rFonts w:ascii="Arial" w:hAnsi="Arial" w:cs="Arial"/>
              </w:rPr>
            </w:pPr>
            <w:r w:rsidRPr="007E2939">
              <w:rPr>
                <w:rFonts w:ascii="Arial" w:hAnsi="Arial" w:cs="Arial"/>
              </w:rPr>
              <w:t>Italy</w:t>
            </w:r>
          </w:p>
        </w:tc>
        <w:tc>
          <w:tcPr>
            <w:tcW w:w="1013" w:type="pct"/>
            <w:vMerge/>
            <w:vAlign w:val="center"/>
          </w:tcPr>
          <w:p w14:paraId="34D922CE" w14:textId="77777777" w:rsidR="00D4500C" w:rsidRPr="007E2939" w:rsidRDefault="00D4500C" w:rsidP="001E626E">
            <w:pPr>
              <w:spacing w:line="360" w:lineRule="auto"/>
              <w:jc w:val="center"/>
              <w:rPr>
                <w:rFonts w:ascii="Arial" w:hAnsi="Arial" w:cs="Arial"/>
              </w:rPr>
            </w:pPr>
          </w:p>
        </w:tc>
      </w:tr>
      <w:tr w:rsidR="00D4500C" w:rsidRPr="007E2939" w14:paraId="7F0AB62C" w14:textId="77777777" w:rsidTr="001E626E">
        <w:trPr>
          <w:jc w:val="center"/>
        </w:trPr>
        <w:tc>
          <w:tcPr>
            <w:tcW w:w="228" w:type="pct"/>
            <w:vAlign w:val="center"/>
          </w:tcPr>
          <w:p w14:paraId="1FA3E2E7" w14:textId="77777777" w:rsidR="00D4500C" w:rsidRPr="007E2939" w:rsidRDefault="00D4500C" w:rsidP="001E626E">
            <w:pPr>
              <w:spacing w:line="360" w:lineRule="auto"/>
              <w:jc w:val="center"/>
              <w:rPr>
                <w:rFonts w:ascii="Arial" w:hAnsi="Arial" w:cs="Arial"/>
              </w:rPr>
            </w:pPr>
            <w:r w:rsidRPr="007E2939">
              <w:rPr>
                <w:rFonts w:ascii="Arial" w:hAnsi="Arial" w:cs="Arial"/>
              </w:rPr>
              <w:t>16</w:t>
            </w:r>
          </w:p>
        </w:tc>
        <w:tc>
          <w:tcPr>
            <w:tcW w:w="1509" w:type="pct"/>
            <w:gridSpan w:val="2"/>
            <w:vMerge/>
            <w:vAlign w:val="center"/>
          </w:tcPr>
          <w:p w14:paraId="6D448E02" w14:textId="77777777" w:rsidR="00D4500C" w:rsidRPr="007E2939" w:rsidRDefault="00D4500C" w:rsidP="001E626E">
            <w:pPr>
              <w:spacing w:line="360" w:lineRule="auto"/>
              <w:jc w:val="center"/>
              <w:rPr>
                <w:rFonts w:ascii="Arial" w:hAnsi="Arial" w:cs="Arial"/>
              </w:rPr>
            </w:pPr>
          </w:p>
        </w:tc>
        <w:tc>
          <w:tcPr>
            <w:tcW w:w="713" w:type="pct"/>
            <w:vAlign w:val="center"/>
          </w:tcPr>
          <w:p w14:paraId="7A08D79D" w14:textId="77777777" w:rsidR="00D4500C" w:rsidRPr="007E2939" w:rsidRDefault="00D4500C" w:rsidP="001E626E">
            <w:pPr>
              <w:spacing w:line="360" w:lineRule="auto"/>
              <w:jc w:val="center"/>
              <w:rPr>
                <w:rFonts w:ascii="Arial" w:hAnsi="Arial" w:cs="Arial"/>
              </w:rPr>
            </w:pPr>
            <w:r w:rsidRPr="007E2939">
              <w:rPr>
                <w:rFonts w:ascii="Arial" w:hAnsi="Arial" w:cs="Arial"/>
              </w:rPr>
              <w:t>Competition</w:t>
            </w:r>
          </w:p>
        </w:tc>
        <w:tc>
          <w:tcPr>
            <w:tcW w:w="850" w:type="pct"/>
            <w:vMerge/>
            <w:vAlign w:val="center"/>
          </w:tcPr>
          <w:p w14:paraId="404489A9" w14:textId="77777777" w:rsidR="00D4500C" w:rsidRPr="007E2939" w:rsidRDefault="00D4500C" w:rsidP="001E626E">
            <w:pPr>
              <w:spacing w:line="360" w:lineRule="auto"/>
              <w:jc w:val="center"/>
              <w:rPr>
                <w:rFonts w:ascii="Arial" w:hAnsi="Arial" w:cs="Arial"/>
              </w:rPr>
            </w:pPr>
          </w:p>
        </w:tc>
        <w:tc>
          <w:tcPr>
            <w:tcW w:w="687" w:type="pct"/>
            <w:vAlign w:val="center"/>
          </w:tcPr>
          <w:p w14:paraId="2061FA54" w14:textId="77777777" w:rsidR="00D4500C" w:rsidRPr="007E2939" w:rsidRDefault="00D4500C" w:rsidP="001E626E">
            <w:pPr>
              <w:spacing w:line="360" w:lineRule="auto"/>
              <w:jc w:val="center"/>
              <w:rPr>
                <w:rFonts w:ascii="Arial" w:hAnsi="Arial" w:cs="Arial"/>
              </w:rPr>
            </w:pPr>
            <w:r w:rsidRPr="007E2939">
              <w:rPr>
                <w:rFonts w:ascii="Arial" w:hAnsi="Arial" w:cs="Arial"/>
              </w:rPr>
              <w:t>SME</w:t>
            </w:r>
          </w:p>
        </w:tc>
        <w:tc>
          <w:tcPr>
            <w:tcW w:w="1013" w:type="pct"/>
            <w:vMerge/>
            <w:vAlign w:val="center"/>
          </w:tcPr>
          <w:p w14:paraId="69CD2B80" w14:textId="77777777" w:rsidR="00D4500C" w:rsidRPr="007E2939" w:rsidRDefault="00D4500C" w:rsidP="001E626E">
            <w:pPr>
              <w:spacing w:line="360" w:lineRule="auto"/>
              <w:jc w:val="center"/>
              <w:rPr>
                <w:rFonts w:ascii="Arial" w:hAnsi="Arial" w:cs="Arial"/>
              </w:rPr>
            </w:pPr>
          </w:p>
        </w:tc>
      </w:tr>
      <w:tr w:rsidR="00D4500C" w:rsidRPr="007E2939" w14:paraId="38138DB4" w14:textId="77777777" w:rsidTr="001E626E">
        <w:trPr>
          <w:jc w:val="center"/>
        </w:trPr>
        <w:tc>
          <w:tcPr>
            <w:tcW w:w="228" w:type="pct"/>
            <w:vAlign w:val="center"/>
          </w:tcPr>
          <w:p w14:paraId="58FBACAB" w14:textId="77777777" w:rsidR="00D4500C" w:rsidRPr="007E2939" w:rsidRDefault="00D4500C" w:rsidP="001E626E">
            <w:pPr>
              <w:spacing w:line="360" w:lineRule="auto"/>
              <w:jc w:val="center"/>
              <w:rPr>
                <w:rFonts w:ascii="Arial" w:hAnsi="Arial" w:cs="Arial"/>
              </w:rPr>
            </w:pPr>
            <w:r w:rsidRPr="007E2939">
              <w:rPr>
                <w:rFonts w:ascii="Arial" w:hAnsi="Arial" w:cs="Arial"/>
              </w:rPr>
              <w:t>17</w:t>
            </w:r>
          </w:p>
        </w:tc>
        <w:tc>
          <w:tcPr>
            <w:tcW w:w="1509" w:type="pct"/>
            <w:gridSpan w:val="2"/>
            <w:vMerge/>
            <w:vAlign w:val="center"/>
          </w:tcPr>
          <w:p w14:paraId="4A1C1189" w14:textId="77777777" w:rsidR="00D4500C" w:rsidRPr="007E2939" w:rsidRDefault="00D4500C" w:rsidP="001E626E">
            <w:pPr>
              <w:spacing w:line="360" w:lineRule="auto"/>
              <w:jc w:val="center"/>
              <w:rPr>
                <w:rFonts w:ascii="Arial" w:hAnsi="Arial" w:cs="Arial"/>
              </w:rPr>
            </w:pPr>
          </w:p>
        </w:tc>
        <w:tc>
          <w:tcPr>
            <w:tcW w:w="713" w:type="pct"/>
            <w:vAlign w:val="center"/>
          </w:tcPr>
          <w:p w14:paraId="31D98073" w14:textId="77777777" w:rsidR="00D4500C" w:rsidRPr="007E2939" w:rsidRDefault="00D4500C" w:rsidP="001E626E">
            <w:pPr>
              <w:spacing w:line="360" w:lineRule="auto"/>
              <w:jc w:val="center"/>
              <w:rPr>
                <w:rFonts w:ascii="Arial" w:hAnsi="Arial" w:cs="Arial"/>
              </w:rPr>
            </w:pPr>
            <w:r w:rsidRPr="007E2939">
              <w:rPr>
                <w:rFonts w:ascii="Arial" w:hAnsi="Arial" w:cs="Arial"/>
              </w:rPr>
              <w:t>Manufacturing</w:t>
            </w:r>
          </w:p>
        </w:tc>
        <w:tc>
          <w:tcPr>
            <w:tcW w:w="850" w:type="pct"/>
            <w:vMerge/>
            <w:vAlign w:val="center"/>
          </w:tcPr>
          <w:p w14:paraId="002180CA" w14:textId="77777777" w:rsidR="00D4500C" w:rsidRPr="007E2939" w:rsidRDefault="00D4500C" w:rsidP="001E626E">
            <w:pPr>
              <w:spacing w:line="360" w:lineRule="auto"/>
              <w:jc w:val="center"/>
              <w:rPr>
                <w:rFonts w:ascii="Arial" w:hAnsi="Arial" w:cs="Arial"/>
              </w:rPr>
            </w:pPr>
          </w:p>
        </w:tc>
        <w:tc>
          <w:tcPr>
            <w:tcW w:w="687" w:type="pct"/>
            <w:vAlign w:val="center"/>
          </w:tcPr>
          <w:p w14:paraId="20568406" w14:textId="77777777" w:rsidR="00D4500C" w:rsidRPr="007E2939" w:rsidRDefault="00D4500C" w:rsidP="001E626E">
            <w:pPr>
              <w:spacing w:line="360" w:lineRule="auto"/>
              <w:jc w:val="center"/>
              <w:rPr>
                <w:rFonts w:ascii="Arial" w:hAnsi="Arial" w:cs="Arial"/>
              </w:rPr>
            </w:pPr>
            <w:r w:rsidRPr="007E2939">
              <w:rPr>
                <w:rFonts w:ascii="Arial" w:hAnsi="Arial" w:cs="Arial"/>
              </w:rPr>
              <w:t>Industrial economics</w:t>
            </w:r>
          </w:p>
        </w:tc>
        <w:tc>
          <w:tcPr>
            <w:tcW w:w="1013" w:type="pct"/>
            <w:vMerge w:val="restart"/>
            <w:vAlign w:val="center"/>
          </w:tcPr>
          <w:p w14:paraId="3213AE54" w14:textId="77777777" w:rsidR="00D4500C" w:rsidRPr="007E2939" w:rsidRDefault="00D4500C" w:rsidP="001E626E">
            <w:pPr>
              <w:spacing w:line="360" w:lineRule="auto"/>
              <w:jc w:val="center"/>
              <w:rPr>
                <w:rFonts w:ascii="Arial" w:hAnsi="Arial" w:cs="Arial"/>
              </w:rPr>
            </w:pPr>
            <w:r w:rsidRPr="007E2939">
              <w:rPr>
                <w:rFonts w:ascii="Arial" w:hAnsi="Arial" w:cs="Arial"/>
              </w:rPr>
              <w:t>Red</w:t>
            </w:r>
          </w:p>
        </w:tc>
      </w:tr>
      <w:tr w:rsidR="00D4500C" w:rsidRPr="007E2939" w14:paraId="29CA7FF4" w14:textId="77777777" w:rsidTr="001E626E">
        <w:trPr>
          <w:jc w:val="center"/>
        </w:trPr>
        <w:tc>
          <w:tcPr>
            <w:tcW w:w="228" w:type="pct"/>
            <w:vAlign w:val="center"/>
          </w:tcPr>
          <w:p w14:paraId="61300D47" w14:textId="77777777" w:rsidR="00D4500C" w:rsidRPr="007E2939" w:rsidRDefault="00D4500C" w:rsidP="001E626E">
            <w:pPr>
              <w:spacing w:line="360" w:lineRule="auto"/>
              <w:jc w:val="center"/>
              <w:rPr>
                <w:rFonts w:ascii="Arial" w:hAnsi="Arial" w:cs="Arial"/>
              </w:rPr>
            </w:pPr>
            <w:r w:rsidRPr="007E2939">
              <w:rPr>
                <w:rFonts w:ascii="Arial" w:hAnsi="Arial" w:cs="Arial"/>
              </w:rPr>
              <w:t>18</w:t>
            </w:r>
          </w:p>
        </w:tc>
        <w:tc>
          <w:tcPr>
            <w:tcW w:w="1509" w:type="pct"/>
            <w:gridSpan w:val="2"/>
            <w:vMerge/>
            <w:vAlign w:val="center"/>
          </w:tcPr>
          <w:p w14:paraId="0B7A434C" w14:textId="77777777" w:rsidR="00D4500C" w:rsidRPr="007E2939" w:rsidRDefault="00D4500C" w:rsidP="001E626E">
            <w:pPr>
              <w:spacing w:line="360" w:lineRule="auto"/>
              <w:jc w:val="center"/>
              <w:rPr>
                <w:rFonts w:ascii="Arial" w:hAnsi="Arial" w:cs="Arial"/>
              </w:rPr>
            </w:pPr>
          </w:p>
        </w:tc>
        <w:tc>
          <w:tcPr>
            <w:tcW w:w="713" w:type="pct"/>
            <w:vAlign w:val="center"/>
          </w:tcPr>
          <w:p w14:paraId="6C7480AA" w14:textId="77777777" w:rsidR="00D4500C" w:rsidRPr="007E2939" w:rsidRDefault="00D4500C" w:rsidP="001E626E">
            <w:pPr>
              <w:spacing w:line="360" w:lineRule="auto"/>
              <w:jc w:val="center"/>
              <w:rPr>
                <w:rFonts w:ascii="Arial" w:hAnsi="Arial" w:cs="Arial"/>
                <w:b/>
              </w:rPr>
            </w:pPr>
            <w:r w:rsidRPr="007E2939">
              <w:rPr>
                <w:rFonts w:ascii="Arial" w:hAnsi="Arial" w:cs="Arial"/>
                <w:b/>
              </w:rPr>
              <w:t>SME</w:t>
            </w:r>
          </w:p>
        </w:tc>
        <w:tc>
          <w:tcPr>
            <w:tcW w:w="850" w:type="pct"/>
            <w:vMerge w:val="restart"/>
            <w:vAlign w:val="center"/>
          </w:tcPr>
          <w:p w14:paraId="4C78F397" w14:textId="77777777" w:rsidR="00D4500C" w:rsidRPr="007E2939" w:rsidRDefault="00D4500C" w:rsidP="001E626E">
            <w:pPr>
              <w:spacing w:line="360" w:lineRule="auto"/>
              <w:jc w:val="center"/>
              <w:rPr>
                <w:rFonts w:ascii="Arial" w:hAnsi="Arial" w:cs="Arial"/>
              </w:rPr>
            </w:pPr>
            <w:r w:rsidRPr="007E2939">
              <w:rPr>
                <w:rFonts w:ascii="Arial" w:hAnsi="Arial" w:cs="Arial"/>
              </w:rPr>
              <w:t>Yellow</w:t>
            </w:r>
          </w:p>
        </w:tc>
        <w:tc>
          <w:tcPr>
            <w:tcW w:w="687" w:type="pct"/>
            <w:vAlign w:val="center"/>
          </w:tcPr>
          <w:p w14:paraId="5725CF2E" w14:textId="77777777" w:rsidR="00D4500C" w:rsidRPr="007E2939" w:rsidRDefault="00D4500C" w:rsidP="001E626E">
            <w:pPr>
              <w:spacing w:line="360" w:lineRule="auto"/>
              <w:jc w:val="center"/>
              <w:rPr>
                <w:rFonts w:ascii="Arial" w:hAnsi="Arial" w:cs="Arial"/>
              </w:rPr>
            </w:pPr>
            <w:r w:rsidRPr="007E2939">
              <w:rPr>
                <w:rFonts w:ascii="Arial" w:hAnsi="Arial" w:cs="Arial"/>
              </w:rPr>
              <w:t>SME</w:t>
            </w:r>
          </w:p>
        </w:tc>
        <w:tc>
          <w:tcPr>
            <w:tcW w:w="1013" w:type="pct"/>
            <w:vMerge/>
            <w:vAlign w:val="center"/>
          </w:tcPr>
          <w:p w14:paraId="608A040E" w14:textId="77777777" w:rsidR="00D4500C" w:rsidRPr="007E2939" w:rsidRDefault="00D4500C" w:rsidP="001E626E">
            <w:pPr>
              <w:spacing w:line="360" w:lineRule="auto"/>
              <w:jc w:val="center"/>
              <w:rPr>
                <w:rFonts w:ascii="Arial" w:hAnsi="Arial" w:cs="Arial"/>
              </w:rPr>
            </w:pPr>
          </w:p>
        </w:tc>
      </w:tr>
      <w:tr w:rsidR="00D4500C" w:rsidRPr="007E2939" w14:paraId="1E6B58FB" w14:textId="77777777" w:rsidTr="001E626E">
        <w:trPr>
          <w:jc w:val="center"/>
        </w:trPr>
        <w:tc>
          <w:tcPr>
            <w:tcW w:w="228" w:type="pct"/>
            <w:vAlign w:val="center"/>
          </w:tcPr>
          <w:p w14:paraId="589B7893" w14:textId="77777777" w:rsidR="00D4500C" w:rsidRPr="007E2939" w:rsidRDefault="00D4500C" w:rsidP="001E626E">
            <w:pPr>
              <w:spacing w:line="360" w:lineRule="auto"/>
              <w:jc w:val="center"/>
              <w:rPr>
                <w:rFonts w:ascii="Arial" w:hAnsi="Arial" w:cs="Arial"/>
              </w:rPr>
            </w:pPr>
            <w:r w:rsidRPr="007E2939">
              <w:rPr>
                <w:rFonts w:ascii="Arial" w:hAnsi="Arial" w:cs="Arial"/>
              </w:rPr>
              <w:t>19</w:t>
            </w:r>
          </w:p>
        </w:tc>
        <w:tc>
          <w:tcPr>
            <w:tcW w:w="1509" w:type="pct"/>
            <w:gridSpan w:val="2"/>
            <w:vMerge/>
            <w:vAlign w:val="center"/>
          </w:tcPr>
          <w:p w14:paraId="5F6D7D70" w14:textId="77777777" w:rsidR="00D4500C" w:rsidRPr="007E2939" w:rsidRDefault="00D4500C" w:rsidP="001E626E">
            <w:pPr>
              <w:spacing w:line="360" w:lineRule="auto"/>
              <w:jc w:val="center"/>
              <w:rPr>
                <w:rFonts w:ascii="Arial" w:hAnsi="Arial" w:cs="Arial"/>
              </w:rPr>
            </w:pPr>
          </w:p>
        </w:tc>
        <w:tc>
          <w:tcPr>
            <w:tcW w:w="713" w:type="pct"/>
            <w:vAlign w:val="center"/>
          </w:tcPr>
          <w:p w14:paraId="067209F5" w14:textId="77777777" w:rsidR="00D4500C" w:rsidRPr="007E2939" w:rsidRDefault="00D4500C" w:rsidP="001E626E">
            <w:pPr>
              <w:spacing w:line="360" w:lineRule="auto"/>
              <w:jc w:val="center"/>
              <w:rPr>
                <w:rFonts w:ascii="Arial" w:hAnsi="Arial" w:cs="Arial"/>
              </w:rPr>
            </w:pPr>
            <w:r w:rsidRPr="007E2939">
              <w:rPr>
                <w:rFonts w:ascii="Arial" w:hAnsi="Arial" w:cs="Arial"/>
              </w:rPr>
              <w:t>Environmental policy</w:t>
            </w:r>
          </w:p>
        </w:tc>
        <w:tc>
          <w:tcPr>
            <w:tcW w:w="850" w:type="pct"/>
            <w:vMerge/>
            <w:vAlign w:val="center"/>
          </w:tcPr>
          <w:p w14:paraId="5FF4AE6E" w14:textId="77777777" w:rsidR="00D4500C" w:rsidRPr="007E2939" w:rsidRDefault="00D4500C" w:rsidP="001E626E">
            <w:pPr>
              <w:spacing w:line="360" w:lineRule="auto"/>
              <w:jc w:val="center"/>
              <w:rPr>
                <w:rFonts w:ascii="Arial" w:hAnsi="Arial" w:cs="Arial"/>
              </w:rPr>
            </w:pPr>
          </w:p>
        </w:tc>
        <w:tc>
          <w:tcPr>
            <w:tcW w:w="1700" w:type="pct"/>
            <w:gridSpan w:val="2"/>
            <w:vMerge w:val="restart"/>
            <w:vAlign w:val="center"/>
          </w:tcPr>
          <w:p w14:paraId="48D4952A" w14:textId="77777777" w:rsidR="00D4500C" w:rsidRPr="007E2939" w:rsidRDefault="00D4500C" w:rsidP="001E626E">
            <w:pPr>
              <w:spacing w:line="360" w:lineRule="auto"/>
              <w:jc w:val="center"/>
              <w:rPr>
                <w:rFonts w:ascii="Arial" w:hAnsi="Arial" w:cs="Arial"/>
              </w:rPr>
            </w:pPr>
          </w:p>
        </w:tc>
      </w:tr>
      <w:tr w:rsidR="00D4500C" w:rsidRPr="007E2939" w14:paraId="4CAE377B" w14:textId="77777777" w:rsidTr="001E626E">
        <w:trPr>
          <w:jc w:val="center"/>
        </w:trPr>
        <w:tc>
          <w:tcPr>
            <w:tcW w:w="228" w:type="pct"/>
            <w:vAlign w:val="center"/>
          </w:tcPr>
          <w:p w14:paraId="17415E2B" w14:textId="77777777" w:rsidR="00D4500C" w:rsidRPr="007E2939" w:rsidRDefault="00D4500C" w:rsidP="001E626E">
            <w:pPr>
              <w:spacing w:line="360" w:lineRule="auto"/>
              <w:jc w:val="center"/>
              <w:rPr>
                <w:rFonts w:ascii="Arial" w:hAnsi="Arial" w:cs="Arial"/>
              </w:rPr>
            </w:pPr>
            <w:r w:rsidRPr="007E2939">
              <w:rPr>
                <w:rFonts w:ascii="Arial" w:hAnsi="Arial" w:cs="Arial"/>
              </w:rPr>
              <w:t>20</w:t>
            </w:r>
          </w:p>
        </w:tc>
        <w:tc>
          <w:tcPr>
            <w:tcW w:w="1509" w:type="pct"/>
            <w:gridSpan w:val="2"/>
            <w:vMerge/>
            <w:vAlign w:val="center"/>
          </w:tcPr>
          <w:p w14:paraId="41C647F3" w14:textId="77777777" w:rsidR="00D4500C" w:rsidRPr="007E2939" w:rsidRDefault="00D4500C" w:rsidP="001E626E">
            <w:pPr>
              <w:spacing w:line="360" w:lineRule="auto"/>
              <w:jc w:val="center"/>
              <w:rPr>
                <w:rFonts w:ascii="Arial" w:hAnsi="Arial" w:cs="Arial"/>
              </w:rPr>
            </w:pPr>
          </w:p>
        </w:tc>
        <w:tc>
          <w:tcPr>
            <w:tcW w:w="713" w:type="pct"/>
            <w:vAlign w:val="center"/>
          </w:tcPr>
          <w:p w14:paraId="6EC3152F" w14:textId="77777777" w:rsidR="00D4500C" w:rsidRPr="007E2939" w:rsidRDefault="00D4500C" w:rsidP="001E626E">
            <w:pPr>
              <w:spacing w:line="360" w:lineRule="auto"/>
              <w:jc w:val="center"/>
              <w:rPr>
                <w:rFonts w:ascii="Arial" w:hAnsi="Arial" w:cs="Arial"/>
                <w:b/>
              </w:rPr>
            </w:pPr>
            <w:r w:rsidRPr="007E2939">
              <w:rPr>
                <w:rFonts w:ascii="Arial" w:hAnsi="Arial" w:cs="Arial"/>
                <w:b/>
              </w:rPr>
              <w:t>CE</w:t>
            </w:r>
          </w:p>
        </w:tc>
        <w:tc>
          <w:tcPr>
            <w:tcW w:w="850" w:type="pct"/>
            <w:vAlign w:val="center"/>
          </w:tcPr>
          <w:p w14:paraId="4D109918" w14:textId="77777777" w:rsidR="00D4500C" w:rsidRPr="007E2939" w:rsidRDefault="00D4500C" w:rsidP="001E626E">
            <w:pPr>
              <w:spacing w:line="360" w:lineRule="auto"/>
              <w:jc w:val="center"/>
              <w:rPr>
                <w:rFonts w:ascii="Arial" w:hAnsi="Arial" w:cs="Arial"/>
              </w:rPr>
            </w:pPr>
            <w:r w:rsidRPr="007E2939">
              <w:rPr>
                <w:rFonts w:ascii="Arial" w:hAnsi="Arial" w:cs="Arial"/>
              </w:rPr>
              <w:t>Turquoise</w:t>
            </w:r>
          </w:p>
        </w:tc>
        <w:tc>
          <w:tcPr>
            <w:tcW w:w="1700" w:type="pct"/>
            <w:gridSpan w:val="2"/>
            <w:vMerge/>
            <w:vAlign w:val="center"/>
          </w:tcPr>
          <w:p w14:paraId="10CE12A6" w14:textId="77777777" w:rsidR="00D4500C" w:rsidRPr="007E2939" w:rsidRDefault="00D4500C" w:rsidP="001E626E">
            <w:pPr>
              <w:spacing w:line="360" w:lineRule="auto"/>
              <w:jc w:val="center"/>
              <w:rPr>
                <w:rFonts w:ascii="Arial" w:hAnsi="Arial" w:cs="Arial"/>
              </w:rPr>
            </w:pPr>
          </w:p>
        </w:tc>
      </w:tr>
      <w:tr w:rsidR="00D4500C" w:rsidRPr="007E2939" w14:paraId="51024FA5" w14:textId="77777777" w:rsidTr="001E626E">
        <w:trPr>
          <w:jc w:val="center"/>
        </w:trPr>
        <w:tc>
          <w:tcPr>
            <w:tcW w:w="228" w:type="pct"/>
            <w:vAlign w:val="center"/>
          </w:tcPr>
          <w:p w14:paraId="529346F8"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21</w:t>
            </w:r>
          </w:p>
        </w:tc>
        <w:tc>
          <w:tcPr>
            <w:tcW w:w="1509" w:type="pct"/>
            <w:gridSpan w:val="2"/>
            <w:vMerge/>
            <w:vAlign w:val="center"/>
          </w:tcPr>
          <w:p w14:paraId="77167766" w14:textId="77777777" w:rsidR="00D4500C" w:rsidRPr="007E2939" w:rsidRDefault="00D4500C" w:rsidP="001E626E">
            <w:pPr>
              <w:spacing w:line="360" w:lineRule="auto"/>
              <w:jc w:val="center"/>
              <w:rPr>
                <w:rFonts w:ascii="Arial" w:hAnsi="Arial" w:cs="Arial"/>
              </w:rPr>
            </w:pPr>
          </w:p>
        </w:tc>
        <w:tc>
          <w:tcPr>
            <w:tcW w:w="713" w:type="pct"/>
            <w:vAlign w:val="center"/>
          </w:tcPr>
          <w:p w14:paraId="33EF860E" w14:textId="77777777" w:rsidR="00D4500C" w:rsidRPr="007E2939" w:rsidRDefault="00D4500C" w:rsidP="001E626E">
            <w:pPr>
              <w:spacing w:line="360" w:lineRule="auto"/>
              <w:jc w:val="center"/>
              <w:rPr>
                <w:rFonts w:ascii="Arial" w:hAnsi="Arial" w:cs="Arial"/>
              </w:rPr>
            </w:pPr>
            <w:r w:rsidRPr="007E2939">
              <w:rPr>
                <w:rFonts w:ascii="Arial" w:hAnsi="Arial" w:cs="Arial"/>
              </w:rPr>
              <w:t>SME</w:t>
            </w:r>
          </w:p>
        </w:tc>
        <w:tc>
          <w:tcPr>
            <w:tcW w:w="850" w:type="pct"/>
            <w:vAlign w:val="center"/>
          </w:tcPr>
          <w:p w14:paraId="06F6A6A0" w14:textId="77777777" w:rsidR="00D4500C" w:rsidRPr="007E2939" w:rsidRDefault="00D4500C" w:rsidP="001E626E">
            <w:pPr>
              <w:spacing w:line="360" w:lineRule="auto"/>
              <w:jc w:val="center"/>
              <w:rPr>
                <w:rFonts w:ascii="Arial" w:hAnsi="Arial" w:cs="Arial"/>
              </w:rPr>
            </w:pPr>
            <w:r w:rsidRPr="007E2939">
              <w:rPr>
                <w:rFonts w:ascii="Arial" w:hAnsi="Arial" w:cs="Arial"/>
              </w:rPr>
              <w:t>Red</w:t>
            </w:r>
          </w:p>
        </w:tc>
        <w:tc>
          <w:tcPr>
            <w:tcW w:w="1700" w:type="pct"/>
            <w:gridSpan w:val="2"/>
            <w:vMerge/>
            <w:vAlign w:val="center"/>
          </w:tcPr>
          <w:p w14:paraId="3F62EBF1" w14:textId="77777777" w:rsidR="00D4500C" w:rsidRPr="007E2939" w:rsidRDefault="00D4500C" w:rsidP="001E626E">
            <w:pPr>
              <w:spacing w:line="360" w:lineRule="auto"/>
              <w:jc w:val="center"/>
              <w:rPr>
                <w:rFonts w:ascii="Arial" w:hAnsi="Arial" w:cs="Arial"/>
              </w:rPr>
            </w:pPr>
          </w:p>
        </w:tc>
      </w:tr>
    </w:tbl>
    <w:p w14:paraId="60B657A3" w14:textId="77777777" w:rsidR="00D4500C" w:rsidRPr="007E2939" w:rsidRDefault="00D4500C" w:rsidP="00D4500C">
      <w:pPr>
        <w:spacing w:line="360" w:lineRule="auto"/>
        <w:jc w:val="both"/>
        <w:rPr>
          <w:rFonts w:ascii="Arial" w:hAnsi="Arial" w:cs="Arial"/>
        </w:rPr>
      </w:pPr>
    </w:p>
    <w:p w14:paraId="4E4CFB3B" w14:textId="77777777" w:rsidR="00D4500C" w:rsidRPr="007E2939" w:rsidRDefault="00D4500C" w:rsidP="00D4500C">
      <w:pPr>
        <w:spacing w:line="360" w:lineRule="auto"/>
        <w:jc w:val="both"/>
        <w:rPr>
          <w:rFonts w:ascii="Arial" w:hAnsi="Arial" w:cs="Arial"/>
        </w:rPr>
      </w:pPr>
    </w:p>
    <w:p w14:paraId="7A4ED94D" w14:textId="77777777" w:rsidR="00D4500C" w:rsidRPr="007E2939" w:rsidRDefault="00D4500C" w:rsidP="00D4500C">
      <w:pPr>
        <w:spacing w:line="360" w:lineRule="auto"/>
        <w:jc w:val="both"/>
        <w:rPr>
          <w:rFonts w:ascii="Arial" w:hAnsi="Arial" w:cs="Arial"/>
        </w:rPr>
      </w:pPr>
    </w:p>
    <w:p w14:paraId="543AF6CA" w14:textId="77777777" w:rsidR="00D4500C" w:rsidRPr="007E2939" w:rsidRDefault="00D4500C" w:rsidP="00D4500C">
      <w:pPr>
        <w:spacing w:line="360" w:lineRule="auto"/>
        <w:ind w:firstLine="567"/>
        <w:jc w:val="center"/>
        <w:rPr>
          <w:rFonts w:ascii="Arial" w:hAnsi="Arial" w:cs="Arial"/>
        </w:rPr>
      </w:pPr>
      <w:r w:rsidRPr="007E2939">
        <w:rPr>
          <w:rFonts w:ascii="Arial" w:hAnsi="Arial" w:cs="Arial"/>
        </w:rPr>
        <w:t xml:space="preserve">Table 2. Journal information for 13 </w:t>
      </w:r>
      <w:r>
        <w:rPr>
          <w:rFonts w:ascii="Arial" w:hAnsi="Arial" w:cs="Arial"/>
        </w:rPr>
        <w:t>s</w:t>
      </w:r>
      <w:r w:rsidRPr="007E2939">
        <w:rPr>
          <w:rFonts w:ascii="Arial" w:hAnsi="Arial" w:cs="Arial"/>
        </w:rPr>
        <w:t>ystematic literature review documents</w:t>
      </w:r>
    </w:p>
    <w:tbl>
      <w:tblPr>
        <w:tblStyle w:val="TableGrid"/>
        <w:tblW w:w="5000" w:type="pct"/>
        <w:jc w:val="center"/>
        <w:tblLook w:val="04A0" w:firstRow="1" w:lastRow="0" w:firstColumn="1" w:lastColumn="0" w:noHBand="0" w:noVBand="1"/>
      </w:tblPr>
      <w:tblGrid>
        <w:gridCol w:w="590"/>
        <w:gridCol w:w="4131"/>
        <w:gridCol w:w="2905"/>
        <w:gridCol w:w="1413"/>
        <w:gridCol w:w="1763"/>
        <w:gridCol w:w="2059"/>
      </w:tblGrid>
      <w:tr w:rsidR="00D4500C" w:rsidRPr="007E2939" w14:paraId="02515AE3" w14:textId="77777777" w:rsidTr="001E626E">
        <w:trPr>
          <w:jc w:val="center"/>
        </w:trPr>
        <w:tc>
          <w:tcPr>
            <w:tcW w:w="249" w:type="pct"/>
            <w:vAlign w:val="center"/>
          </w:tcPr>
          <w:p w14:paraId="751A8982" w14:textId="77777777" w:rsidR="00D4500C" w:rsidRPr="007E2939" w:rsidRDefault="00D4500C" w:rsidP="001E626E">
            <w:pPr>
              <w:spacing w:line="360" w:lineRule="auto"/>
              <w:jc w:val="center"/>
              <w:rPr>
                <w:rFonts w:ascii="Arial" w:hAnsi="Arial" w:cs="Arial"/>
              </w:rPr>
            </w:pPr>
            <w:r w:rsidRPr="007E2939">
              <w:rPr>
                <w:rFonts w:ascii="Arial" w:hAnsi="Arial" w:cs="Arial"/>
              </w:rPr>
              <w:t>No.</w:t>
            </w:r>
          </w:p>
        </w:tc>
        <w:tc>
          <w:tcPr>
            <w:tcW w:w="1632" w:type="pct"/>
            <w:vAlign w:val="center"/>
          </w:tcPr>
          <w:p w14:paraId="161A302C" w14:textId="77777777" w:rsidR="00D4500C" w:rsidRPr="007E2939" w:rsidRDefault="00D4500C" w:rsidP="001E626E">
            <w:pPr>
              <w:spacing w:line="360" w:lineRule="auto"/>
              <w:jc w:val="center"/>
              <w:rPr>
                <w:rFonts w:ascii="Arial" w:hAnsi="Arial" w:cs="Arial"/>
              </w:rPr>
            </w:pPr>
            <w:r w:rsidRPr="007E2939">
              <w:rPr>
                <w:rFonts w:ascii="Arial" w:hAnsi="Arial" w:cs="Arial"/>
              </w:rPr>
              <w:t>Author/s</w:t>
            </w:r>
          </w:p>
        </w:tc>
        <w:tc>
          <w:tcPr>
            <w:tcW w:w="1152" w:type="pct"/>
            <w:vAlign w:val="center"/>
          </w:tcPr>
          <w:p w14:paraId="05B6C9DA" w14:textId="77777777" w:rsidR="00D4500C" w:rsidRPr="007E2939" w:rsidRDefault="00D4500C" w:rsidP="001E626E">
            <w:pPr>
              <w:spacing w:line="360" w:lineRule="auto"/>
              <w:jc w:val="center"/>
              <w:rPr>
                <w:rFonts w:ascii="Arial" w:hAnsi="Arial" w:cs="Arial"/>
              </w:rPr>
            </w:pPr>
            <w:r w:rsidRPr="007E2939">
              <w:rPr>
                <w:rFonts w:ascii="Arial" w:hAnsi="Arial" w:cs="Arial"/>
              </w:rPr>
              <w:t>Journal name</w:t>
            </w:r>
          </w:p>
        </w:tc>
        <w:tc>
          <w:tcPr>
            <w:tcW w:w="572" w:type="pct"/>
            <w:vAlign w:val="center"/>
          </w:tcPr>
          <w:p w14:paraId="506A56B5" w14:textId="77777777" w:rsidR="00D4500C" w:rsidRPr="007E2939" w:rsidRDefault="00D4500C" w:rsidP="001E626E">
            <w:pPr>
              <w:spacing w:line="360" w:lineRule="auto"/>
              <w:jc w:val="center"/>
              <w:rPr>
                <w:rFonts w:ascii="Arial" w:hAnsi="Arial" w:cs="Arial"/>
              </w:rPr>
            </w:pPr>
            <w:r w:rsidRPr="007E2939">
              <w:rPr>
                <w:rFonts w:ascii="Arial" w:hAnsi="Arial" w:cs="Arial"/>
              </w:rPr>
              <w:t>Publisher</w:t>
            </w:r>
          </w:p>
        </w:tc>
        <w:tc>
          <w:tcPr>
            <w:tcW w:w="572" w:type="pct"/>
            <w:vAlign w:val="center"/>
          </w:tcPr>
          <w:p w14:paraId="1A8D4588" w14:textId="77777777" w:rsidR="00D4500C" w:rsidRPr="007E2939" w:rsidRDefault="00D4500C" w:rsidP="001E626E">
            <w:pPr>
              <w:spacing w:line="360" w:lineRule="auto"/>
              <w:jc w:val="center"/>
              <w:rPr>
                <w:rFonts w:ascii="Arial" w:hAnsi="Arial" w:cs="Arial"/>
              </w:rPr>
            </w:pPr>
            <w:r w:rsidRPr="007E2939">
              <w:rPr>
                <w:rFonts w:ascii="Arial" w:hAnsi="Arial" w:cs="Arial"/>
              </w:rPr>
              <w:t>Scopus Quartile by scimagojr.com year 2020</w:t>
            </w:r>
          </w:p>
        </w:tc>
        <w:tc>
          <w:tcPr>
            <w:tcW w:w="824" w:type="pct"/>
            <w:vAlign w:val="center"/>
          </w:tcPr>
          <w:p w14:paraId="38B13BD6" w14:textId="77777777" w:rsidR="00D4500C" w:rsidRPr="007E2939" w:rsidRDefault="00D4500C" w:rsidP="001E626E">
            <w:pPr>
              <w:spacing w:line="360" w:lineRule="auto"/>
              <w:jc w:val="center"/>
              <w:rPr>
                <w:rFonts w:ascii="Arial" w:hAnsi="Arial" w:cs="Arial"/>
              </w:rPr>
            </w:pPr>
            <w:proofErr w:type="spellStart"/>
            <w:r w:rsidRPr="007E2939">
              <w:rPr>
                <w:rFonts w:ascii="Arial" w:hAnsi="Arial" w:cs="Arial"/>
              </w:rPr>
              <w:t>WoS</w:t>
            </w:r>
            <w:proofErr w:type="spellEnd"/>
            <w:r w:rsidRPr="007E2939">
              <w:rPr>
                <w:rFonts w:ascii="Arial" w:hAnsi="Arial" w:cs="Arial"/>
              </w:rPr>
              <w:t xml:space="preserve"> Index (SCIE and SSCI show journals with impact factor)</w:t>
            </w:r>
          </w:p>
        </w:tc>
      </w:tr>
      <w:tr w:rsidR="00D4500C" w:rsidRPr="007E2939" w14:paraId="1D72E7A0" w14:textId="77777777" w:rsidTr="001E626E">
        <w:trPr>
          <w:jc w:val="center"/>
        </w:trPr>
        <w:tc>
          <w:tcPr>
            <w:tcW w:w="249" w:type="pct"/>
            <w:vAlign w:val="center"/>
          </w:tcPr>
          <w:p w14:paraId="0618574A" w14:textId="77777777" w:rsidR="00D4500C" w:rsidRPr="007E2939" w:rsidRDefault="00D4500C" w:rsidP="001E626E">
            <w:pPr>
              <w:spacing w:line="360" w:lineRule="auto"/>
              <w:jc w:val="center"/>
              <w:rPr>
                <w:rFonts w:ascii="Arial" w:hAnsi="Arial" w:cs="Arial"/>
              </w:rPr>
            </w:pPr>
            <w:r w:rsidRPr="007E2939">
              <w:rPr>
                <w:rFonts w:ascii="Arial" w:hAnsi="Arial" w:cs="Arial"/>
              </w:rPr>
              <w:t>1</w:t>
            </w:r>
          </w:p>
        </w:tc>
        <w:tc>
          <w:tcPr>
            <w:tcW w:w="1632" w:type="pct"/>
            <w:vAlign w:val="center"/>
          </w:tcPr>
          <w:p w14:paraId="6ED9546D"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{"citationItems":[{"id":"ITEM-1","itemData":{"DOI":"10.3390/su8111212","ISSN":"20711050","abstract":"Small and medium-sized enterprises (SMEs) are increasingly aware of the benefits of closing loops and improving resource efficiency, such as saving material costs, creating competitive advantages, and accessing new markets. At the same time, however, various barriers pose challenges to small businesses in their transition to a circular economy, namely a lack of financial resources and lack of technical skills. The aim of this paper is to increase knowledge and understanding about the barriers and enablers experienced by SMEs when implementing circular economy business models. Looking first at the barriers that prevent SMEs from realising the benefits of the circular economy, an investigation is carried out in the form of a literature review and an analysis of a sample of SME case studies that are featured on the GreenEcoNet EU-funded web platform. Several enabling factors that help SMEs adopt circular economy practices are then identified. The paper concludes that although various policy instruments are available to help SMEs incorporate circular economy principles into their business models, several barriers remain. The authors recommend that European and national policies strengthen their focus on greening consumer preferences, market value chains and company cultures, and support the recognition of SMEs' green business models. This can be achieved through the creation of dedicated marketplaces and communities of practice, for example..","author":[{"dropping-particle":"","family":"Rizos","given":"Vasileios","non-dropping-particle":"","parse-names":false,"suffix":""},{"dropping-particle":"","family":"Behrens","given":"Arno","non-dropping-particle":"","parse-names":false,"suffix":""},{"dropping-particle":"","family":"Gaast","given":"Wytze","non-dropping-particle":"van der","parse-names":false,"suffix":""},{"dropping-particle":"","family":"Hofman","given":"Erwin","non-dropping-particle":"","parse-names":false,"suffix":""},{"dropping-particle":"","family":"Ioannou","given":"Anastasia","non-dropping-particle":"","parse-names":false,"suffix":""},{"dropping-particle":"","family":"Kafyeke","given":"Terri","non-dropping-particle":"","parse-names":false,"suffix":""},{"dropping-particle":"","family":"Flamos","given":"Alexandros","non-dropping-particle":"","parse-names":false,"suffix":""},{"dropping-particle":"","family":"Rinaldi","given":"Roberto","non-dropping-particle":"","parse-names":false,"suffix":""},{"dropping-particle":"","family":"Papadelis","given":"Sotiris","non-dropping-particle":"","parse-names":false,"suffix":""},{"dropping-particle":"","family":"Hirschnitz-Garbers","given":"Martin","non-dropping-particle":"","parse-names":false,"suffix":""},{"dropping-particle":"","family":"Topi","given":"Corrado","non-dropping-particle":"","parse-names":false,"suffix":""}],"container-title":"Sustainability","id":"ITEM-1","issue":"11","issued":{"date-parts":[["2016"]]},"title":"Implementation of circular economy business models by small and medium-sized enterprises (SMEs): Barriers and enablers","type":"article-journal","volume":"8"},"uris":["http://www.mendeley.com/documents/?uuid=44d025ea-cc6a-4608-9f9f-0a02f648154c"]}],"mendeley":{"formattedCitation":"(Rizos et al., 2016)","manualFormatting":"Rizos et al. (2016)","plainTextFormattedCitation":"(Rizos et al., 2016)","previouslyFormattedCitation":"(Rizos et al., 2016)"},"properties":{"noteIndex":0},"schema":"https://github.com/citation-style-language/schema/raw/master/csl-citation.json"}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Rizos et al. (2016)</w:t>
            </w:r>
            <w:r w:rsidRPr="007E2939">
              <w:rPr>
                <w:rFonts w:ascii="Arial" w:hAnsi="Arial" w:cs="Arial"/>
              </w:rPr>
              <w:fldChar w:fldCharType="end"/>
            </w:r>
          </w:p>
        </w:tc>
        <w:tc>
          <w:tcPr>
            <w:tcW w:w="1152" w:type="pct"/>
            <w:vAlign w:val="center"/>
          </w:tcPr>
          <w:p w14:paraId="2288C051" w14:textId="77777777" w:rsidR="00D4500C" w:rsidRPr="0094266B" w:rsidRDefault="00D4500C" w:rsidP="001E626E">
            <w:pPr>
              <w:spacing w:line="360" w:lineRule="auto"/>
              <w:jc w:val="center"/>
              <w:rPr>
                <w:rFonts w:ascii="Arial" w:hAnsi="Arial" w:cs="Arial"/>
                <w:i/>
              </w:rPr>
            </w:pPr>
            <w:r w:rsidRPr="0094266B">
              <w:rPr>
                <w:rFonts w:ascii="Arial" w:hAnsi="Arial" w:cs="Arial"/>
                <w:i/>
              </w:rPr>
              <w:t>Sustainability</w:t>
            </w:r>
          </w:p>
        </w:tc>
        <w:tc>
          <w:tcPr>
            <w:tcW w:w="572" w:type="pct"/>
            <w:vAlign w:val="center"/>
          </w:tcPr>
          <w:p w14:paraId="7346AF2D" w14:textId="77777777" w:rsidR="00D4500C" w:rsidRPr="007E2939" w:rsidRDefault="00D4500C" w:rsidP="001E626E">
            <w:pPr>
              <w:spacing w:line="360" w:lineRule="auto"/>
              <w:jc w:val="center"/>
              <w:rPr>
                <w:rFonts w:ascii="Arial" w:hAnsi="Arial" w:cs="Arial"/>
              </w:rPr>
            </w:pPr>
            <w:r w:rsidRPr="007E2939">
              <w:rPr>
                <w:rFonts w:ascii="Arial" w:hAnsi="Arial" w:cs="Arial"/>
              </w:rPr>
              <w:t>MDPI</w:t>
            </w:r>
          </w:p>
        </w:tc>
        <w:tc>
          <w:tcPr>
            <w:tcW w:w="572" w:type="pct"/>
            <w:vAlign w:val="center"/>
          </w:tcPr>
          <w:p w14:paraId="79BB43AF" w14:textId="77777777" w:rsidR="00D4500C" w:rsidRPr="007E2939" w:rsidRDefault="00D4500C" w:rsidP="001E626E">
            <w:pPr>
              <w:spacing w:line="360" w:lineRule="auto"/>
              <w:jc w:val="center"/>
              <w:rPr>
                <w:rFonts w:ascii="Arial" w:hAnsi="Arial" w:cs="Arial"/>
              </w:rPr>
            </w:pPr>
            <w:r w:rsidRPr="007E2939">
              <w:rPr>
                <w:rFonts w:ascii="Arial" w:hAnsi="Arial" w:cs="Arial"/>
              </w:rPr>
              <w:t>Q1</w:t>
            </w:r>
          </w:p>
        </w:tc>
        <w:tc>
          <w:tcPr>
            <w:tcW w:w="824" w:type="pct"/>
            <w:vAlign w:val="center"/>
          </w:tcPr>
          <w:p w14:paraId="202097F9" w14:textId="77777777" w:rsidR="00D4500C" w:rsidRPr="007E2939" w:rsidRDefault="00D4500C" w:rsidP="001E626E">
            <w:pPr>
              <w:spacing w:line="360" w:lineRule="auto"/>
              <w:jc w:val="center"/>
              <w:rPr>
                <w:rFonts w:ascii="Arial" w:hAnsi="Arial" w:cs="Arial"/>
              </w:rPr>
            </w:pPr>
            <w:r w:rsidRPr="007E2939">
              <w:rPr>
                <w:rFonts w:ascii="Arial" w:hAnsi="Arial" w:cs="Arial"/>
              </w:rPr>
              <w:t>SCIE &amp; SSCI</w:t>
            </w:r>
          </w:p>
        </w:tc>
      </w:tr>
      <w:tr w:rsidR="00D4500C" w:rsidRPr="007E2939" w14:paraId="78C29317" w14:textId="77777777" w:rsidTr="001E626E">
        <w:trPr>
          <w:jc w:val="center"/>
        </w:trPr>
        <w:tc>
          <w:tcPr>
            <w:tcW w:w="249" w:type="pct"/>
            <w:vAlign w:val="center"/>
          </w:tcPr>
          <w:p w14:paraId="5C2CB97E" w14:textId="77777777" w:rsidR="00D4500C" w:rsidRPr="007E2939" w:rsidRDefault="00D4500C" w:rsidP="001E626E">
            <w:pPr>
              <w:spacing w:line="360" w:lineRule="auto"/>
              <w:jc w:val="center"/>
              <w:rPr>
                <w:rFonts w:ascii="Arial" w:hAnsi="Arial" w:cs="Arial"/>
              </w:rPr>
            </w:pPr>
            <w:r w:rsidRPr="007E2939">
              <w:rPr>
                <w:rFonts w:ascii="Arial" w:hAnsi="Arial" w:cs="Arial"/>
              </w:rPr>
              <w:t>2</w:t>
            </w:r>
          </w:p>
        </w:tc>
        <w:tc>
          <w:tcPr>
            <w:tcW w:w="1632" w:type="pct"/>
            <w:vAlign w:val="center"/>
          </w:tcPr>
          <w:p w14:paraId="3AD504D8"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{"citationItems":[{"id":"ITEM-1","itemData":{"DOI":"10.1108/JMTM-02-2018-0061","ISSN":"1741038X","abstract":"Purpose: The purpose of this paper is to investigate the managerial practices that companies can implement in order to design a circular economy business model and how companies can create and capture value from a circular economy business model. Design/methodology/approach: The paper adopts a single case study methodology with semi-structured interviews and company, supplier, and manufacturing site visits, conducted in a small-to-medium-size Italian company operating in the office supply industry. Findings: The theoretical setting maps a set of managerial practices for a circular economy business model and sets the research gaps and questions in a research framework designed along three main dimensions: value network, customer value proposition and interface, and managerial commitment. Then, through an empirical analysis, the findings reveal that the proposed dimensions are interdependent and reinforce each other. Moreover, the managerial commitment as moderating factor between the value network and the customer value proposition and interface dimensions is identified as essential for reaching the intended goals of circular economy business models. Research limitations/implications: This study maximizes the depth of the phenomenon under investigation by leveraging a single case study methodology, which ideally helps in a theory-testing approach as in the present case. Future research opportunities could be found in qualitative and quantitative studies to increase the generalizability of the findings of this paper. Practical implications: The paper presents a set of relevant managerial practices for circular economy business models that can be used by managers who have the will to embrace in practice circular economy principles to support the design, change, or upgrade of the business model of companies within which they operate. Originality/value: An interdisciplinary approach that integrates the research streams of circular economy, social psychology, organizational behavior, and business model design has been pursued to test the theoretical setting and the research framework for circular economy business models in a real-world context.","author":[{"dropping-particle":"","family":"Ünal","given":"Enes","non-dropping-particle":"","parse-names":false,"suffix":""},{"dropping-particle":"","family":"Urbinati","given":"Andrea","non-dropping-particle":"","parse-names":false,"suffix":""},{"dropping-particle":"","family":"Chiaroni","given":"Davide","non-dropping-particle":"","parse-names":false,"suffix":""}],"container-title":"Journal of Manufacturing Technology Management","id":"ITEM-1","issue":"3","issued":{"date-parts":[["2019"]]},"page":"561-589","title":"Managerial practices for designing circular economy business models: The case of an Italian SME in the office supply industry","type":"article-journal","volume":"30"},"uris":["http://www.mendeley.com/documents/?uuid=3fd6cdc2-cd0e-4eb1-ade8-c7c3f57b95c0"]}],"mendeley":{"formattedCitation":"(Ünal, Urbinati, &amp; Chiaroni, 2019)","manualFormatting":"Ünal, Urbinati, &amp; Chiaroni (2019)","plainTextFormattedCitation":"(Ünal, Urbinati, &amp; Chiaroni, 2019)","previouslyFormattedCitation":"(Ünal, Urbinati, &amp; Chiaroni, 2019)"},"properties":{"noteIndex":0},"schema":"https://github.com/citation-style-language/schema/raw/master/csl-citation.json"}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Ünal, Urbinati, and Chiaroni (2019)</w:t>
            </w:r>
            <w:r w:rsidRPr="007E2939">
              <w:rPr>
                <w:rFonts w:ascii="Arial" w:hAnsi="Arial" w:cs="Arial"/>
              </w:rPr>
              <w:fldChar w:fldCharType="end"/>
            </w:r>
          </w:p>
        </w:tc>
        <w:tc>
          <w:tcPr>
            <w:tcW w:w="1152" w:type="pct"/>
            <w:vAlign w:val="center"/>
          </w:tcPr>
          <w:p w14:paraId="1927A5CB" w14:textId="77777777" w:rsidR="00D4500C" w:rsidRPr="0094266B" w:rsidRDefault="00D4500C" w:rsidP="001E626E">
            <w:pPr>
              <w:spacing w:line="360" w:lineRule="auto"/>
              <w:jc w:val="center"/>
              <w:rPr>
                <w:rFonts w:ascii="Arial" w:hAnsi="Arial" w:cs="Arial"/>
                <w:i/>
              </w:rPr>
            </w:pPr>
            <w:r w:rsidRPr="0094266B">
              <w:rPr>
                <w:rFonts w:ascii="Arial" w:hAnsi="Arial" w:cs="Arial"/>
                <w:i/>
              </w:rPr>
              <w:t>Journal of Manufacturing Technology Management</w:t>
            </w:r>
          </w:p>
        </w:tc>
        <w:tc>
          <w:tcPr>
            <w:tcW w:w="572" w:type="pct"/>
            <w:vAlign w:val="center"/>
          </w:tcPr>
          <w:p w14:paraId="21100FA0" w14:textId="77777777" w:rsidR="00D4500C" w:rsidRPr="007E2939" w:rsidRDefault="00D4500C" w:rsidP="001E626E">
            <w:pPr>
              <w:spacing w:line="360" w:lineRule="auto"/>
              <w:jc w:val="center"/>
              <w:rPr>
                <w:rFonts w:ascii="Arial" w:hAnsi="Arial" w:cs="Arial"/>
              </w:rPr>
            </w:pPr>
            <w:r w:rsidRPr="007E2939">
              <w:rPr>
                <w:rFonts w:ascii="Arial" w:hAnsi="Arial" w:cs="Arial"/>
              </w:rPr>
              <w:t>Emerald</w:t>
            </w:r>
          </w:p>
        </w:tc>
        <w:tc>
          <w:tcPr>
            <w:tcW w:w="572" w:type="pct"/>
            <w:vAlign w:val="center"/>
          </w:tcPr>
          <w:p w14:paraId="00342D6B" w14:textId="77777777" w:rsidR="00D4500C" w:rsidRPr="007E2939" w:rsidRDefault="00D4500C" w:rsidP="001E626E">
            <w:pPr>
              <w:spacing w:line="360" w:lineRule="auto"/>
              <w:jc w:val="center"/>
              <w:rPr>
                <w:rFonts w:ascii="Arial" w:hAnsi="Arial" w:cs="Arial"/>
              </w:rPr>
            </w:pPr>
            <w:r w:rsidRPr="007E2939">
              <w:rPr>
                <w:rFonts w:ascii="Arial" w:hAnsi="Arial" w:cs="Arial"/>
              </w:rPr>
              <w:t>Q1</w:t>
            </w:r>
          </w:p>
        </w:tc>
        <w:tc>
          <w:tcPr>
            <w:tcW w:w="824" w:type="pct"/>
            <w:vAlign w:val="center"/>
          </w:tcPr>
          <w:p w14:paraId="6CBF0F80" w14:textId="77777777" w:rsidR="00D4500C" w:rsidRPr="007E2939" w:rsidRDefault="00D4500C" w:rsidP="001E626E">
            <w:pPr>
              <w:spacing w:line="360" w:lineRule="auto"/>
              <w:jc w:val="center"/>
              <w:rPr>
                <w:rFonts w:ascii="Arial" w:hAnsi="Arial" w:cs="Arial"/>
              </w:rPr>
            </w:pPr>
            <w:r w:rsidRPr="007E2939">
              <w:rPr>
                <w:rFonts w:ascii="Arial" w:hAnsi="Arial" w:cs="Arial"/>
              </w:rPr>
              <w:t>SCIE &amp; SSCI</w:t>
            </w:r>
          </w:p>
        </w:tc>
      </w:tr>
      <w:tr w:rsidR="00D4500C" w:rsidRPr="007E2939" w14:paraId="6AD3A5BA" w14:textId="77777777" w:rsidTr="001E626E">
        <w:trPr>
          <w:jc w:val="center"/>
        </w:trPr>
        <w:tc>
          <w:tcPr>
            <w:tcW w:w="249" w:type="pct"/>
            <w:vAlign w:val="center"/>
          </w:tcPr>
          <w:p w14:paraId="5B91CFAA" w14:textId="77777777" w:rsidR="00D4500C" w:rsidRPr="007E2939" w:rsidRDefault="00D4500C" w:rsidP="001E626E">
            <w:pPr>
              <w:spacing w:line="360" w:lineRule="auto"/>
              <w:jc w:val="center"/>
              <w:rPr>
                <w:rFonts w:ascii="Arial" w:hAnsi="Arial" w:cs="Arial"/>
              </w:rPr>
            </w:pPr>
            <w:r w:rsidRPr="007E2939">
              <w:rPr>
                <w:rFonts w:ascii="Arial" w:hAnsi="Arial" w:cs="Arial"/>
              </w:rPr>
              <w:t>3</w:t>
            </w:r>
          </w:p>
        </w:tc>
        <w:tc>
          <w:tcPr>
            <w:tcW w:w="1632" w:type="pct"/>
            <w:vAlign w:val="center"/>
          </w:tcPr>
          <w:p w14:paraId="03D8A5C5"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{"citationItems":[{"id":"ITEM-1","itemData":{"DOI":"10.1016/j.resconrec.2018.12.034","ISSN":"18790658","abstract":"A circular business model represents a holistic system of co-evolving managerial practices for collective value creation, delivery and capture, which provide solutions for sustainable development. Previous research on circular business models aimed to understand value creation mostly in terms of a single managerial practice or in a relatively isolated manner. In particular, little is known regarding the system of managerial practices that creates value. Accordingly, this study proposes a theoretical framework characterized by a set of managerial practices in connection with relevant internal and external contextual factors for creating value within a circular business model. The framework was used in a specific case of a small medium-sized enterprise (SME) operating in building sector, which can be considered a great example of circular economy put into practice. Therefore, the explorative nature of the case allows for deep probing that helps consolidating the framework. Among the main results, essential outcomes included configuring and adapting the company's business model to particular internal and external contextual factors; valorization of local waste by harmonizing managerial practices, and socio-cultural and socio-economic settings, as well as sustainable behaviours among the actors of supply chain. This study contributes to the field of circular business models research by adopting a broader, interdisciplinary approach toward the concept of value creation. Further, it provides managers with a roadmap for creating value by enhancing the degree of circularity within a given context.","author":[{"dropping-particle":"","family":"Ünal","given":"Enes","non-dropping-particle":"","parse-names":false,"suffix":""},{"dropping-particle":"","family":"Urbinati","given":"Andrea","non-dropping-particle":"","parse-names":false,"suffix":""},{"dropping-particle":"","family":"Chiaroni","given":"Davide","non-dropping-particle":"","parse-names":false,"suffix":""},{"dropping-particle":"","family":"Manzini","given":"Raffaella","non-dropping-particle":"","parse-names":false,"suffix":""}],"container-title":"Resources, Conservation and Recycling","id":"ITEM-1","issue":"April","issued":{"date-parts":[["2019"]]},"page":"291-307","publisher":"Elsevier","title":"Value Creation in Circular Business Models: The case of a US small medium enterprise in the building sector","type":"article-journal","volume":"146"},"uris":["http://www.mendeley.com/documents/?uuid=239b0293-dac5-4658-8cb3-c93fc0196e4e"]}],"mendeley":{"formattedCitation":"(Ünal, Urbinati, Chiaroni, et al., 2019)","manualFormatting":"Ünal, Urbinati, Chiaroni, et al. (2019)","plainTextFormattedCitation":"(Ünal, Urbinati, Chiaroni, et al., 2019)","previouslyFormattedCitation":"(Ünal, Urbinati, Chiaroni, et al., 2019)"},"properties":{"noteIndex":0},"schema":"https://github.com/citation-style-language/schema/raw/master/csl-citation.json"}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Ünal et al. (2019)</w:t>
            </w:r>
            <w:r w:rsidRPr="007E2939">
              <w:rPr>
                <w:rFonts w:ascii="Arial" w:hAnsi="Arial" w:cs="Arial"/>
              </w:rPr>
              <w:fldChar w:fldCharType="end"/>
            </w:r>
          </w:p>
        </w:tc>
        <w:tc>
          <w:tcPr>
            <w:tcW w:w="1152" w:type="pct"/>
            <w:vAlign w:val="center"/>
          </w:tcPr>
          <w:p w14:paraId="295C3775" w14:textId="77777777" w:rsidR="00D4500C" w:rsidRPr="0094266B" w:rsidRDefault="00D4500C" w:rsidP="001E626E">
            <w:pPr>
              <w:spacing w:line="360" w:lineRule="auto"/>
              <w:jc w:val="center"/>
              <w:rPr>
                <w:rFonts w:ascii="Arial" w:hAnsi="Arial" w:cs="Arial"/>
                <w:i/>
              </w:rPr>
            </w:pPr>
            <w:r w:rsidRPr="0094266B">
              <w:rPr>
                <w:rFonts w:ascii="Arial" w:hAnsi="Arial" w:cs="Arial"/>
                <w:i/>
              </w:rPr>
              <w:t>Resources, Conservation, and Recycling</w:t>
            </w:r>
          </w:p>
        </w:tc>
        <w:tc>
          <w:tcPr>
            <w:tcW w:w="572" w:type="pct"/>
            <w:vAlign w:val="center"/>
          </w:tcPr>
          <w:p w14:paraId="51C84285" w14:textId="77777777" w:rsidR="00D4500C" w:rsidRPr="007E2939" w:rsidRDefault="00D4500C" w:rsidP="001E626E">
            <w:pPr>
              <w:spacing w:line="360" w:lineRule="auto"/>
              <w:jc w:val="center"/>
              <w:rPr>
                <w:rFonts w:ascii="Arial" w:hAnsi="Arial" w:cs="Arial"/>
              </w:rPr>
            </w:pPr>
            <w:r w:rsidRPr="007E2939">
              <w:rPr>
                <w:rFonts w:ascii="Arial" w:hAnsi="Arial" w:cs="Arial"/>
              </w:rPr>
              <w:t>Elsevier</w:t>
            </w:r>
          </w:p>
        </w:tc>
        <w:tc>
          <w:tcPr>
            <w:tcW w:w="572" w:type="pct"/>
            <w:vAlign w:val="center"/>
          </w:tcPr>
          <w:p w14:paraId="0AACB8F1" w14:textId="77777777" w:rsidR="00D4500C" w:rsidRPr="007E2939" w:rsidRDefault="00D4500C" w:rsidP="001E626E">
            <w:pPr>
              <w:spacing w:line="360" w:lineRule="auto"/>
              <w:jc w:val="center"/>
              <w:rPr>
                <w:rFonts w:ascii="Arial" w:hAnsi="Arial" w:cs="Arial"/>
              </w:rPr>
            </w:pPr>
            <w:r w:rsidRPr="007E2939">
              <w:rPr>
                <w:rFonts w:ascii="Arial" w:hAnsi="Arial" w:cs="Arial"/>
              </w:rPr>
              <w:t>Q1</w:t>
            </w:r>
          </w:p>
        </w:tc>
        <w:tc>
          <w:tcPr>
            <w:tcW w:w="824" w:type="pct"/>
            <w:vAlign w:val="center"/>
          </w:tcPr>
          <w:p w14:paraId="1F3FBA1D" w14:textId="77777777" w:rsidR="00D4500C" w:rsidRPr="007E2939" w:rsidRDefault="00D4500C" w:rsidP="001E626E">
            <w:pPr>
              <w:spacing w:line="360" w:lineRule="auto"/>
              <w:jc w:val="center"/>
              <w:rPr>
                <w:rFonts w:ascii="Arial" w:hAnsi="Arial" w:cs="Arial"/>
              </w:rPr>
            </w:pPr>
            <w:r w:rsidRPr="007E2939">
              <w:rPr>
                <w:rFonts w:ascii="Arial" w:hAnsi="Arial" w:cs="Arial"/>
              </w:rPr>
              <w:t>SCIE</w:t>
            </w:r>
          </w:p>
        </w:tc>
      </w:tr>
      <w:tr w:rsidR="00D4500C" w:rsidRPr="007E2939" w14:paraId="518A50AE" w14:textId="77777777" w:rsidTr="001E626E">
        <w:trPr>
          <w:jc w:val="center"/>
        </w:trPr>
        <w:tc>
          <w:tcPr>
            <w:tcW w:w="249" w:type="pct"/>
            <w:vAlign w:val="center"/>
          </w:tcPr>
          <w:p w14:paraId="5489BD71" w14:textId="77777777" w:rsidR="00D4500C" w:rsidRPr="007E2939" w:rsidRDefault="00D4500C" w:rsidP="001E626E">
            <w:pPr>
              <w:spacing w:line="360" w:lineRule="auto"/>
              <w:jc w:val="center"/>
              <w:rPr>
                <w:rFonts w:ascii="Arial" w:hAnsi="Arial" w:cs="Arial"/>
              </w:rPr>
            </w:pPr>
            <w:r w:rsidRPr="007E2939">
              <w:rPr>
                <w:rFonts w:ascii="Arial" w:hAnsi="Arial" w:cs="Arial"/>
              </w:rPr>
              <w:t>4</w:t>
            </w:r>
          </w:p>
        </w:tc>
        <w:tc>
          <w:tcPr>
            <w:tcW w:w="1632" w:type="pct"/>
            <w:vAlign w:val="center"/>
          </w:tcPr>
          <w:p w14:paraId="43356F0B"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{"citationItems":[{"id":"ITEM-1","itemData":{"DOI":"10.3846/jbem.2019.6880","ISSN":"20294433","abstract":"The current trend of business model research shows an increased endeavour of conceptualizing business frameworks for circular economy (CE). While previous sustainability paradigms have failed to attract market stakeholders, their reaction differ regarding this concept. The reason is discovering that the benefits of former industrial systems have turned to be threats for modern companies. Thus, a circular transition seems beneficial not only in environmental but also in financial dimensions. Closing material and energy flows results in reduced costs and enables businesses to propose novel values to customers. The present study aims to investigate the current stage of circular transformation on a corporate level. In order to do that, it thoroughly analyses the business model evolution of an innovative and knowledge-intensive industry, biotechnology. The research employs a circular evaluation method to detect which parts of the applied business structures show the signs of transition. The findings indicate that the business innovation process in the sector is in line with the disciplines of CE. However, this phenomenon is rather the result of striving for market competitiveness, than making efforts for sustainable development. It proves the emergence of CE to be as much an economic concern as it is an environmental one.","author":[{"dropping-particle":"","family":"Horvath","given":"Balint","non-dropping-particle":"","parse-names":false,"suffix":""},{"dropping-particle":"","family":"Khazami","given":"Nesrine","non-dropping-particle":"","parse-names":false,"suffix":""},{"dropping-particle":"","family":"Ymeri","given":"Prespa","non-dropping-particle":"","parse-names":false,"suffix":""},{"dropping-particle":"","family":"Fogarassy","given":"Csaba","non-dropping-particle":"","parse-names":false,"suffix":""}],"container-title":"Journal of Business Economics and Management","id":"ITEM-1","issue":"1","issued":{"date-parts":[["2019"]]},"page":"63-85","title":"Investigating the current business model innovation trends in the biotechnology industry","type":"article-journal","volume":"20"},"uris":["http://www.mendeley.com/documents/?uuid=f549e6fe-3b25-497c-b323-1987a6e0b13e"]}],"mendeley":{"formattedCitation":"(Horvath et al., 2019)","manualFormatting":"Horvath et al. (2019)","plainTextFormattedCitation":"(Horvath et al., 2019)","previouslyFormattedCitation":"(Horvath et al., 2019)"},"properties":{"noteIndex":0},"schema":"https://github.com/citation-style-language/schema/raw/master/csl-citation.json"}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Horvath et al. (2019)</w:t>
            </w:r>
            <w:r w:rsidRPr="007E2939">
              <w:rPr>
                <w:rFonts w:ascii="Arial" w:hAnsi="Arial" w:cs="Arial"/>
              </w:rPr>
              <w:fldChar w:fldCharType="end"/>
            </w:r>
          </w:p>
        </w:tc>
        <w:tc>
          <w:tcPr>
            <w:tcW w:w="1152" w:type="pct"/>
            <w:vAlign w:val="center"/>
          </w:tcPr>
          <w:p w14:paraId="73F1CE69" w14:textId="77777777" w:rsidR="00D4500C" w:rsidRPr="0094266B" w:rsidRDefault="00D4500C" w:rsidP="001E626E">
            <w:pPr>
              <w:spacing w:line="360" w:lineRule="auto"/>
              <w:jc w:val="center"/>
              <w:rPr>
                <w:rFonts w:ascii="Arial" w:hAnsi="Arial" w:cs="Arial"/>
                <w:i/>
              </w:rPr>
            </w:pPr>
            <w:r w:rsidRPr="0094266B">
              <w:rPr>
                <w:rFonts w:ascii="Arial" w:hAnsi="Arial" w:cs="Arial"/>
                <w:i/>
              </w:rPr>
              <w:t xml:space="preserve">Journal of Business </w:t>
            </w:r>
            <w:r w:rsidRPr="0094266B">
              <w:rPr>
                <w:rFonts w:ascii="Arial" w:hAnsi="Arial" w:cs="Arial"/>
                <w:i/>
              </w:rPr>
              <w:lastRenderedPageBreak/>
              <w:t>Economics and Management</w:t>
            </w:r>
          </w:p>
        </w:tc>
        <w:tc>
          <w:tcPr>
            <w:tcW w:w="572" w:type="pct"/>
            <w:vAlign w:val="center"/>
          </w:tcPr>
          <w:p w14:paraId="1E88950C"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 xml:space="preserve">Vilnius </w:t>
            </w:r>
            <w:r w:rsidRPr="007E2939">
              <w:rPr>
                <w:rFonts w:ascii="Arial" w:hAnsi="Arial" w:cs="Arial"/>
              </w:rPr>
              <w:lastRenderedPageBreak/>
              <w:t>Gediminas Technical University</w:t>
            </w:r>
          </w:p>
        </w:tc>
        <w:tc>
          <w:tcPr>
            <w:tcW w:w="572" w:type="pct"/>
            <w:vAlign w:val="center"/>
          </w:tcPr>
          <w:p w14:paraId="78CAAD6C"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Q2</w:t>
            </w:r>
          </w:p>
        </w:tc>
        <w:tc>
          <w:tcPr>
            <w:tcW w:w="824" w:type="pct"/>
            <w:vAlign w:val="center"/>
          </w:tcPr>
          <w:p w14:paraId="126BEDB1" w14:textId="77777777" w:rsidR="00D4500C" w:rsidRPr="007E2939" w:rsidRDefault="00D4500C" w:rsidP="001E626E">
            <w:pPr>
              <w:spacing w:line="360" w:lineRule="auto"/>
              <w:jc w:val="center"/>
              <w:rPr>
                <w:rFonts w:ascii="Arial" w:hAnsi="Arial" w:cs="Arial"/>
              </w:rPr>
            </w:pPr>
            <w:r w:rsidRPr="007E2939">
              <w:rPr>
                <w:rFonts w:ascii="Arial" w:hAnsi="Arial" w:cs="Arial"/>
              </w:rPr>
              <w:t>SSCI</w:t>
            </w:r>
          </w:p>
        </w:tc>
      </w:tr>
      <w:tr w:rsidR="00D4500C" w:rsidRPr="007E2939" w14:paraId="469D76E2" w14:textId="77777777" w:rsidTr="001E626E">
        <w:trPr>
          <w:jc w:val="center"/>
        </w:trPr>
        <w:tc>
          <w:tcPr>
            <w:tcW w:w="249" w:type="pct"/>
            <w:vAlign w:val="center"/>
          </w:tcPr>
          <w:p w14:paraId="4245F196" w14:textId="77777777" w:rsidR="00D4500C" w:rsidRPr="007E2939" w:rsidRDefault="00D4500C" w:rsidP="001E626E">
            <w:pPr>
              <w:spacing w:line="360" w:lineRule="auto"/>
              <w:jc w:val="center"/>
              <w:rPr>
                <w:rFonts w:ascii="Arial" w:hAnsi="Arial" w:cs="Arial"/>
              </w:rPr>
            </w:pPr>
            <w:r w:rsidRPr="007E2939">
              <w:rPr>
                <w:rFonts w:ascii="Arial" w:hAnsi="Arial" w:cs="Arial"/>
              </w:rPr>
              <w:t>5</w:t>
            </w:r>
          </w:p>
        </w:tc>
        <w:tc>
          <w:tcPr>
            <w:tcW w:w="1632" w:type="pct"/>
            <w:vAlign w:val="center"/>
          </w:tcPr>
          <w:p w14:paraId="1051E12F"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{"citationItems":[{"id":"ITEM-1","itemData":{"DOI":"10.1007/s00191-019-00651-w","ISSN":"14321386","abstract":"This paper investigates the extent to which the adoption of Circular Economy (CE) practices by Small and Medium-sized Enterprises (SMEs) correlates with the choices they make in their financing. Referring to the debate about CE business models (CEBM) and intersecting it with emerging research on the CE barriers/enablers revealed by SMEs, we focus on the argument that “financing-as-usual”, by relying on standard financial sources according to the “pecking-order-theory”, could not work in supporting the CE transition of SMEs. Using data on more than 2000 European SMEs from the 2016 Eurobarometer, we instead find that financing as usual still matters for the sake of CE. Self-financing (extended to some forms of capital sources) appears a significant enabler of the adoption of generic CE practices, as well as debt financing, and the latter matter less than the former, consistent with the “pecking-order-theory”. Public funds do also matter, having a larger impact than self-financing, but a lower one than debt financing. On the other hand, not only does the availability of alternative forms of financing not support CE(BM), but it even crowds-out the resort to CE, possibly in favor of more linear-risk activities. With some few interesting exceptions, the previous results are confirmed when the adoption of specific kinds CE(BM) practices is considered, as well as the SMEs’ capacity of extending their portfolio.","author":[{"dropping-particle":"","family":"Ghisetti","given":"Claudia","non-dropping-particle":"","parse-names":false,"suffix":""},{"dropping-particle":"","family":"Montresor","given":"Sandro","non-dropping-particle":"","parse-names":false,"suffix":""}],"container-title":"Journal of Evolutionary Economics","id":"ITEM-1","issue":"2","issued":{"date-parts":[["2020"]]},"page":"559-586","publisher":"Journal of Evolutionary Economics","title":"On the adoption of circular economy practices by small and medium-size enterprises (SMEs): does “financing-as-usual” still matter?","type":"article-journal","volume":"30"},"uris":["http://www.mendeley.com/documents/?uuid=521a8ee3-70c8-43b9-9c8b-00c418ef3bb8"]}],"mendeley":{"formattedCitation":"(Ghisetti &amp; Montresor, 2020)","manualFormatting":"Ghisetti &amp; Montresor (2020)","plainTextFormattedCitation":"(Ghisetti &amp; Montresor, 2020)","previouslyFormattedCitation":"(Ghisetti &amp; Montresor, 2020)"},"properties":{"noteIndex":0},"schema":"https://github.com/citation-style-language/schema/raw/master/csl-citation.json"}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Ghisetti and Montresor (2020)</w:t>
            </w:r>
            <w:r w:rsidRPr="007E2939">
              <w:rPr>
                <w:rFonts w:ascii="Arial" w:hAnsi="Arial" w:cs="Arial"/>
              </w:rPr>
              <w:fldChar w:fldCharType="end"/>
            </w:r>
          </w:p>
        </w:tc>
        <w:tc>
          <w:tcPr>
            <w:tcW w:w="1152" w:type="pct"/>
            <w:vAlign w:val="center"/>
          </w:tcPr>
          <w:p w14:paraId="30388BD0" w14:textId="77777777" w:rsidR="00D4500C" w:rsidRPr="0094266B" w:rsidRDefault="00D4500C" w:rsidP="001E626E">
            <w:pPr>
              <w:spacing w:line="360" w:lineRule="auto"/>
              <w:jc w:val="center"/>
              <w:rPr>
                <w:rFonts w:ascii="Arial" w:hAnsi="Arial" w:cs="Arial"/>
                <w:i/>
              </w:rPr>
            </w:pPr>
            <w:r w:rsidRPr="0094266B">
              <w:rPr>
                <w:rFonts w:ascii="Arial" w:hAnsi="Arial" w:cs="Arial"/>
                <w:i/>
              </w:rPr>
              <w:t>Journal of Evolutionary Economics</w:t>
            </w:r>
          </w:p>
        </w:tc>
        <w:tc>
          <w:tcPr>
            <w:tcW w:w="572" w:type="pct"/>
            <w:vAlign w:val="center"/>
          </w:tcPr>
          <w:p w14:paraId="045865D6" w14:textId="77777777" w:rsidR="00D4500C" w:rsidRPr="007E2939" w:rsidRDefault="00D4500C" w:rsidP="001E626E">
            <w:pPr>
              <w:spacing w:line="360" w:lineRule="auto"/>
              <w:jc w:val="center"/>
              <w:rPr>
                <w:rFonts w:ascii="Arial" w:hAnsi="Arial" w:cs="Arial"/>
              </w:rPr>
            </w:pPr>
            <w:r w:rsidRPr="007E2939">
              <w:rPr>
                <w:rFonts w:ascii="Arial" w:hAnsi="Arial" w:cs="Arial"/>
              </w:rPr>
              <w:t>Springer</w:t>
            </w:r>
          </w:p>
        </w:tc>
        <w:tc>
          <w:tcPr>
            <w:tcW w:w="572" w:type="pct"/>
            <w:vAlign w:val="center"/>
          </w:tcPr>
          <w:p w14:paraId="4E4769DB" w14:textId="77777777" w:rsidR="00D4500C" w:rsidRPr="007E2939" w:rsidRDefault="00D4500C" w:rsidP="001E626E">
            <w:pPr>
              <w:spacing w:line="360" w:lineRule="auto"/>
              <w:jc w:val="center"/>
              <w:rPr>
                <w:rFonts w:ascii="Arial" w:hAnsi="Arial" w:cs="Arial"/>
              </w:rPr>
            </w:pPr>
            <w:r w:rsidRPr="007E2939">
              <w:rPr>
                <w:rFonts w:ascii="Arial" w:hAnsi="Arial" w:cs="Arial"/>
              </w:rPr>
              <w:t>Q1</w:t>
            </w:r>
          </w:p>
        </w:tc>
        <w:tc>
          <w:tcPr>
            <w:tcW w:w="824" w:type="pct"/>
            <w:vAlign w:val="center"/>
          </w:tcPr>
          <w:p w14:paraId="24B4C95B" w14:textId="77777777" w:rsidR="00D4500C" w:rsidRPr="007E2939" w:rsidRDefault="00D4500C" w:rsidP="001E626E">
            <w:pPr>
              <w:spacing w:line="360" w:lineRule="auto"/>
              <w:jc w:val="center"/>
              <w:rPr>
                <w:rFonts w:ascii="Arial" w:hAnsi="Arial" w:cs="Arial"/>
              </w:rPr>
            </w:pPr>
            <w:r w:rsidRPr="007E2939">
              <w:rPr>
                <w:rFonts w:ascii="Arial" w:hAnsi="Arial" w:cs="Arial"/>
              </w:rPr>
              <w:t>SSCI</w:t>
            </w:r>
          </w:p>
        </w:tc>
      </w:tr>
      <w:tr w:rsidR="00D4500C" w:rsidRPr="007E2939" w14:paraId="6EF18393" w14:textId="77777777" w:rsidTr="001E626E">
        <w:trPr>
          <w:jc w:val="center"/>
        </w:trPr>
        <w:tc>
          <w:tcPr>
            <w:tcW w:w="249" w:type="pct"/>
            <w:vAlign w:val="center"/>
          </w:tcPr>
          <w:p w14:paraId="21E6993D" w14:textId="77777777" w:rsidR="00D4500C" w:rsidRPr="007E2939" w:rsidRDefault="00D4500C" w:rsidP="001E626E">
            <w:pPr>
              <w:spacing w:line="360" w:lineRule="auto"/>
              <w:jc w:val="center"/>
              <w:rPr>
                <w:rFonts w:ascii="Arial" w:hAnsi="Arial" w:cs="Arial"/>
              </w:rPr>
            </w:pPr>
            <w:r w:rsidRPr="007E2939">
              <w:rPr>
                <w:rFonts w:ascii="Arial" w:hAnsi="Arial" w:cs="Arial"/>
              </w:rPr>
              <w:t>6</w:t>
            </w:r>
          </w:p>
        </w:tc>
        <w:tc>
          <w:tcPr>
            <w:tcW w:w="1632" w:type="pct"/>
            <w:vAlign w:val="center"/>
          </w:tcPr>
          <w:p w14:paraId="26918A89"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{"citationItems":[{"id":"ITEM-1","itemData":{"DOI":"10.24818/EA/2018/48/310","ISSN":"15829146","abstract":"Testing circular economy business models is crucial in understanding Circular Economy features across various industries. This paper analyses Circular Economy perceptions in Romanian SMEs by investigating entrepreneurs from PVC joinery industry. Using a multidimensional framework, ReSOLVE, as a conceptual model, and Lewandowski systematization, we measured 6 business actions and their relations with Value creation. The results of our survey can be described as mixed. Of the 6 business actions of ReSOLVE framework, for half of them (Regenerate, Optimize and Exchange) we can definitely conclude that these are correlated with Circular Economy in terms of Value Creation, while for a fourth there are variables significantly correlated without being able to conclude its overall contribution in terms of Value creation. Our empirical investigation contributes to literature development on Circular Economy research in SMEs and a step forward to shape future research initiatives.","author":[{"dropping-particle":"","family":"Ceptureanu","given":"Sebastian Ion","non-dropping-particle":"","parse-names":false,"suffix":""},{"dropping-particle":"","family":"Ceptureanu","given":"Eduard Gabriel","non-dropping-particle":"","parse-names":false,"suffix":""},{"dropping-particle":"","family":"Murswieck","given":"Raphael Gert Denis","non-dropping-particle":"","parse-names":false,"suffix":""}],"container-title":"Amfiteatru Economic","id":"ITEM-1","issue":"48","issued":{"date-parts":[["2018"]]},"page":"310-324","title":"Perceptions of circular business models in SMEs","type":"article-journal","volume":"20"},"uris":["http://www.mendeley.com/documents/?uuid=5258af2c-e8e2-44e6-9612-4b8df126623c"]}],"mendeley":{"formattedCitation":"(Ceptureanu et al., 2018)","manualFormatting":"Ceptureanu et al. (2018)","plainTextFormattedCitation":"(Ceptureanu et al., 2018)","previouslyFormattedCitation":"(Ceptureanu et al., 2018)"},"properties":{"noteIndex":0},"schema":"https://github.com/citation-style-language/schema/raw/master/csl-citation.json"}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Ceptureanu et al. (2018)</w:t>
            </w:r>
            <w:r w:rsidRPr="007E2939">
              <w:rPr>
                <w:rFonts w:ascii="Arial" w:hAnsi="Arial" w:cs="Arial"/>
              </w:rPr>
              <w:fldChar w:fldCharType="end"/>
            </w:r>
          </w:p>
        </w:tc>
        <w:tc>
          <w:tcPr>
            <w:tcW w:w="1152" w:type="pct"/>
            <w:vAlign w:val="center"/>
          </w:tcPr>
          <w:p w14:paraId="387C6749" w14:textId="77777777" w:rsidR="00D4500C" w:rsidRPr="0094266B" w:rsidRDefault="00D4500C" w:rsidP="001E626E">
            <w:pPr>
              <w:spacing w:line="360" w:lineRule="auto"/>
              <w:jc w:val="center"/>
              <w:rPr>
                <w:rFonts w:ascii="Arial" w:hAnsi="Arial" w:cs="Arial"/>
                <w:i/>
              </w:rPr>
            </w:pPr>
            <w:proofErr w:type="spellStart"/>
            <w:r w:rsidRPr="0094266B">
              <w:rPr>
                <w:rFonts w:ascii="Arial" w:hAnsi="Arial" w:cs="Arial"/>
                <w:i/>
              </w:rPr>
              <w:t>Amfiteatru</w:t>
            </w:r>
            <w:proofErr w:type="spellEnd"/>
            <w:r w:rsidRPr="0094266B">
              <w:rPr>
                <w:rFonts w:ascii="Arial" w:hAnsi="Arial" w:cs="Arial"/>
                <w:i/>
              </w:rPr>
              <w:t xml:space="preserve"> Economic</w:t>
            </w:r>
          </w:p>
        </w:tc>
        <w:tc>
          <w:tcPr>
            <w:tcW w:w="572" w:type="pct"/>
            <w:vAlign w:val="center"/>
          </w:tcPr>
          <w:p w14:paraId="17933A3B" w14:textId="77777777" w:rsidR="00D4500C" w:rsidRPr="007E2939" w:rsidRDefault="00D4500C" w:rsidP="001E626E">
            <w:pPr>
              <w:spacing w:line="360" w:lineRule="auto"/>
              <w:jc w:val="center"/>
              <w:rPr>
                <w:rFonts w:ascii="Arial" w:hAnsi="Arial" w:cs="Arial"/>
              </w:rPr>
            </w:pPr>
            <w:proofErr w:type="spellStart"/>
            <w:r w:rsidRPr="007E2939">
              <w:rPr>
                <w:rFonts w:ascii="Arial" w:hAnsi="Arial" w:cs="Arial"/>
              </w:rPr>
              <w:t>Editura</w:t>
            </w:r>
            <w:proofErr w:type="spellEnd"/>
            <w:r w:rsidRPr="007E2939">
              <w:rPr>
                <w:rFonts w:ascii="Arial" w:hAnsi="Arial" w:cs="Arial"/>
              </w:rPr>
              <w:t xml:space="preserve"> ASE </w:t>
            </w:r>
            <w:proofErr w:type="spellStart"/>
            <w:r w:rsidRPr="007E2939">
              <w:rPr>
                <w:rFonts w:ascii="Arial" w:hAnsi="Arial" w:cs="Arial"/>
              </w:rPr>
              <w:t>Bucuresti</w:t>
            </w:r>
            <w:proofErr w:type="spellEnd"/>
          </w:p>
        </w:tc>
        <w:tc>
          <w:tcPr>
            <w:tcW w:w="572" w:type="pct"/>
            <w:vAlign w:val="center"/>
          </w:tcPr>
          <w:p w14:paraId="062DB3B1" w14:textId="77777777" w:rsidR="00D4500C" w:rsidRPr="007E2939" w:rsidRDefault="00D4500C" w:rsidP="001E626E">
            <w:pPr>
              <w:spacing w:line="360" w:lineRule="auto"/>
              <w:jc w:val="center"/>
              <w:rPr>
                <w:rFonts w:ascii="Arial" w:hAnsi="Arial" w:cs="Arial"/>
              </w:rPr>
            </w:pPr>
            <w:r w:rsidRPr="007E2939">
              <w:rPr>
                <w:rFonts w:ascii="Arial" w:hAnsi="Arial" w:cs="Arial"/>
              </w:rPr>
              <w:t>Q2</w:t>
            </w:r>
          </w:p>
        </w:tc>
        <w:tc>
          <w:tcPr>
            <w:tcW w:w="824" w:type="pct"/>
            <w:vAlign w:val="center"/>
          </w:tcPr>
          <w:p w14:paraId="22534101" w14:textId="77777777" w:rsidR="00D4500C" w:rsidRPr="007E2939" w:rsidRDefault="00D4500C" w:rsidP="001E626E">
            <w:pPr>
              <w:spacing w:line="360" w:lineRule="auto"/>
              <w:jc w:val="center"/>
              <w:rPr>
                <w:rFonts w:ascii="Arial" w:hAnsi="Arial" w:cs="Arial"/>
              </w:rPr>
            </w:pPr>
            <w:r w:rsidRPr="007E2939">
              <w:rPr>
                <w:rFonts w:ascii="Arial" w:hAnsi="Arial" w:cs="Arial"/>
              </w:rPr>
              <w:t>SSCI</w:t>
            </w:r>
          </w:p>
        </w:tc>
      </w:tr>
      <w:tr w:rsidR="00D4500C" w:rsidRPr="007E2939" w14:paraId="2A541AF9" w14:textId="77777777" w:rsidTr="001E626E">
        <w:trPr>
          <w:jc w:val="center"/>
        </w:trPr>
        <w:tc>
          <w:tcPr>
            <w:tcW w:w="249" w:type="pct"/>
            <w:vAlign w:val="center"/>
          </w:tcPr>
          <w:p w14:paraId="425191CB" w14:textId="77777777" w:rsidR="00D4500C" w:rsidRPr="007E2939" w:rsidRDefault="00D4500C" w:rsidP="001E626E">
            <w:pPr>
              <w:spacing w:line="360" w:lineRule="auto"/>
              <w:jc w:val="center"/>
              <w:rPr>
                <w:rFonts w:ascii="Arial" w:hAnsi="Arial" w:cs="Arial"/>
              </w:rPr>
            </w:pPr>
            <w:r w:rsidRPr="007E2939">
              <w:rPr>
                <w:rFonts w:ascii="Arial" w:hAnsi="Arial" w:cs="Arial"/>
              </w:rPr>
              <w:t>7</w:t>
            </w:r>
          </w:p>
        </w:tc>
        <w:tc>
          <w:tcPr>
            <w:tcW w:w="1632" w:type="pct"/>
            <w:vAlign w:val="center"/>
          </w:tcPr>
          <w:p w14:paraId="4E52E818"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{"citationItems":[{"id":"ITEM-1","itemData":{"DOI":"10.1108/JEIM-02-2019-0049","ISSN":"17410398","abstract":"Purpose: This paper highlights how biological waste materials can be used for generating the much needed energy and obtaining nutrient-rich compost for agriculture through anaerobic digestion (AD). The paper further highlights the importance of small and medium enterprises (SMEs) in using AD for converting waste to energy (WTE), leading to many environmental benefits as well as clean energy generation. It would help to reduce pollution, water acidification and carbon emissions that eventually lead to climate change. Design/methodology/approach: The researchers undertook an in-depth study to highlight the role played by an SME in converting WTE and helping towards achieving circularity. An exploratory case-based approach was used to understand value leakage for an AD plant operating on WTE principles in the UK. The plant is still currently active, and it is located in the Midlands, England. Fifteen semi-structured interviews were undertaken with different stakeholders. Findings: This paper reveals the importance of WTE and the significant role played by AD in converting food waste into useful matter. It reports further into the value leakage issue faced in the AD plants. It demonstrates the importance of technological innovation in SME to capture value leakages in a circular model. Most importantly, it demonstrates how SMEs gain competitive advantage and generate value proposition, while they aim for zero waste to landfill objective. Research limitations/implications: The research involves a case study based on an SME, operating on a circular business model. It will be worth investigating how other businesses could gain competitive advantage. For SMEs interested in AD for WTE, this paper introduces further technological innovation to the AD process to leverage further potential for reuse of waste liquid. Any SMEs entering WTE market ought to take into consideration such design implications. Practical implications: The paper reveals how the use of waste by SMEs would lead to many environmental benefits as well as clean energy generation. It would help to reduce pollution, water acidification and carbon emissions that eventually lead to climate change. It is useful for addressing the needs of waste food producers and is a cheap raw material for generating energy. The benefits to the public are that it reduces the need for landfill and increases recycling. Social implications: The WTE is an effective way of making use of last-stage waste. Originality/value:…","author":[{"dropping-particle":"","family":"Hussain","given":"Zahid","non-dropping-particle":"","parse-names":false,"suffix":""},{"dropping-particle":"","family":"Mishra","given":"Jyoti","non-dropping-particle":"","parse-names":false,"suffix":""},{"dropping-particle":"","family":"Vanacore","given":"Emanuela","non-dropping-particle":"","parse-names":false,"suffix":""}],"container-title":"Journal of Enterprise Information Management","id":"ITEM-1","issue":"4","issued":{"date-parts":[["2020"]]},"page":"817-838","title":"Waste to energy and circular economy: the case of anaerobic digestion","type":"article-journal","volume":"33"},"uris":["http://www.mendeley.com/documents/?uuid=faef0c61-f66a-4f54-9f5e-cf342d1cf652"]}],"mendeley":{"formattedCitation":"(Hussain et al., 2020)","manualFormatting":"Hussain et al. (2020)","plainTextFormattedCitation":"(Hussain et al., 2020)","previouslyFormattedCitation":"(Hussain et al., 2020)"},"properties":{"noteIndex":0},"schema":"https://github.com/citation-style-language/schema/raw/master/csl-citation.json"}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Hussain et al. (2020)</w:t>
            </w:r>
            <w:r w:rsidRPr="007E2939">
              <w:rPr>
                <w:rFonts w:ascii="Arial" w:hAnsi="Arial" w:cs="Arial"/>
              </w:rPr>
              <w:fldChar w:fldCharType="end"/>
            </w:r>
          </w:p>
        </w:tc>
        <w:tc>
          <w:tcPr>
            <w:tcW w:w="1152" w:type="pct"/>
            <w:vAlign w:val="center"/>
          </w:tcPr>
          <w:p w14:paraId="5D9EC845" w14:textId="77777777" w:rsidR="00D4500C" w:rsidRPr="0094266B" w:rsidRDefault="00D4500C" w:rsidP="001E626E">
            <w:pPr>
              <w:spacing w:line="360" w:lineRule="auto"/>
              <w:jc w:val="center"/>
              <w:rPr>
                <w:rFonts w:ascii="Arial" w:hAnsi="Arial" w:cs="Arial"/>
                <w:i/>
              </w:rPr>
            </w:pPr>
            <w:r w:rsidRPr="0094266B">
              <w:rPr>
                <w:rFonts w:ascii="Arial" w:hAnsi="Arial" w:cs="Arial"/>
                <w:i/>
              </w:rPr>
              <w:t>Journal of Enterprise Information Management</w:t>
            </w:r>
          </w:p>
        </w:tc>
        <w:tc>
          <w:tcPr>
            <w:tcW w:w="572" w:type="pct"/>
            <w:vAlign w:val="center"/>
          </w:tcPr>
          <w:p w14:paraId="2F75D9F5" w14:textId="77777777" w:rsidR="00D4500C" w:rsidRPr="007E2939" w:rsidRDefault="00D4500C" w:rsidP="001E626E">
            <w:pPr>
              <w:spacing w:line="360" w:lineRule="auto"/>
              <w:jc w:val="center"/>
              <w:rPr>
                <w:rFonts w:ascii="Arial" w:hAnsi="Arial" w:cs="Arial"/>
              </w:rPr>
            </w:pPr>
            <w:r w:rsidRPr="007E2939">
              <w:rPr>
                <w:rFonts w:ascii="Arial" w:hAnsi="Arial" w:cs="Arial"/>
              </w:rPr>
              <w:t>Emerald</w:t>
            </w:r>
          </w:p>
        </w:tc>
        <w:tc>
          <w:tcPr>
            <w:tcW w:w="572" w:type="pct"/>
            <w:vAlign w:val="center"/>
          </w:tcPr>
          <w:p w14:paraId="57374C24" w14:textId="77777777" w:rsidR="00D4500C" w:rsidRPr="007E2939" w:rsidRDefault="00D4500C" w:rsidP="001E626E">
            <w:pPr>
              <w:spacing w:line="360" w:lineRule="auto"/>
              <w:jc w:val="center"/>
              <w:rPr>
                <w:rFonts w:ascii="Arial" w:hAnsi="Arial" w:cs="Arial"/>
              </w:rPr>
            </w:pPr>
            <w:r w:rsidRPr="007E2939">
              <w:rPr>
                <w:rFonts w:ascii="Arial" w:hAnsi="Arial" w:cs="Arial"/>
              </w:rPr>
              <w:t>Q1</w:t>
            </w:r>
          </w:p>
        </w:tc>
        <w:tc>
          <w:tcPr>
            <w:tcW w:w="824" w:type="pct"/>
            <w:vAlign w:val="center"/>
          </w:tcPr>
          <w:p w14:paraId="7F70ED7F" w14:textId="77777777" w:rsidR="00D4500C" w:rsidRPr="007E2939" w:rsidRDefault="00D4500C" w:rsidP="001E626E">
            <w:pPr>
              <w:spacing w:line="360" w:lineRule="auto"/>
              <w:jc w:val="center"/>
              <w:rPr>
                <w:rFonts w:ascii="Arial" w:hAnsi="Arial" w:cs="Arial"/>
              </w:rPr>
            </w:pPr>
            <w:r w:rsidRPr="007E2939">
              <w:rPr>
                <w:rFonts w:ascii="Arial" w:hAnsi="Arial" w:cs="Arial"/>
              </w:rPr>
              <w:t>SSCI</w:t>
            </w:r>
          </w:p>
        </w:tc>
      </w:tr>
      <w:tr w:rsidR="00D4500C" w:rsidRPr="007E2939" w14:paraId="7AD7871F" w14:textId="77777777" w:rsidTr="001E626E">
        <w:trPr>
          <w:jc w:val="center"/>
        </w:trPr>
        <w:tc>
          <w:tcPr>
            <w:tcW w:w="249" w:type="pct"/>
            <w:vAlign w:val="center"/>
          </w:tcPr>
          <w:p w14:paraId="779B836B" w14:textId="77777777" w:rsidR="00D4500C" w:rsidRPr="007E2939" w:rsidRDefault="00D4500C" w:rsidP="001E626E">
            <w:pPr>
              <w:spacing w:line="360" w:lineRule="auto"/>
              <w:jc w:val="center"/>
              <w:rPr>
                <w:rFonts w:ascii="Arial" w:hAnsi="Arial" w:cs="Arial"/>
              </w:rPr>
            </w:pPr>
            <w:r w:rsidRPr="007E2939">
              <w:rPr>
                <w:rFonts w:ascii="Arial" w:hAnsi="Arial" w:cs="Arial"/>
              </w:rPr>
              <w:t>8</w:t>
            </w:r>
          </w:p>
        </w:tc>
        <w:tc>
          <w:tcPr>
            <w:tcW w:w="1632" w:type="pct"/>
            <w:vAlign w:val="center"/>
          </w:tcPr>
          <w:p w14:paraId="240D8C38"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{"citationItems":[{"id":"ITEM-1","itemData":{"DOI":"10.3390/su13041899","ISSN":"20711050","abstract":"Reducing the environmental pressure along the products life cycle, increasing efficiency in the consumption of resources and use of renewable raw materials, and shifting the economic system toward a circular and a climate-neutral model represent the heart of the current macrotrends of the European Union (EU) policy agendas. The circular economy and bioeconomy concepts introduced in the EU’s Circular Economy Action Plan and the Bioeconomy Strategy support innovation in rethinking economic systems focusing on market uptaking of greener solutions based on less-intensive resource consumption. In recent decades, industrial research has devoted enormous investments to demonstrate sustainable circular bio-based business models capable of overcoming the “Valley of Death” through alternative strategic orientations of “technological-push” and “marketpull”. The study highlights industrial research’s evolution on bio-based circular business model validation, trends, and topics with particular attention to the empowering capacity of start-ups and small and medium-sized enterprises (SMEs) to close the loops in renewable biological use and reduce dependence on fossil fuels. The research methodology involves a bibliographic search based on the Preferred Reporting Items for Systematic Reviews and Meta-Analyses (PRISMA) approach and the European Innovation Council (EIC) Accelerator Data Hub investigation to understand SMEs’ key success factors and start-ups of the circular bioeconomy sector. Eco and bio-based materials, nutraceuticals, and microalgae represent the most sustainable industry applications, leading to circular bioeconomy business models’ future perspective.","author":[{"dropping-particle":"","family":"Gatto","given":"Fabiana","non-dropping-particle":"","parse-names":false,"suffix":""},{"dropping-particle":"","family":"Re","given":"Ilaria","non-dropping-particle":"","parse-names":false,"suffix":""}],"container-title":"Sustainability","id":"ITEM-1","issue":"4","issued":{"date-parts":[["2021"]]},"page":"1-37","title":"Circular bioeconomy business models to overcome the valley of death. A systematic statistical analysis of studies and projects in emerging bio-based technologies and trends linked to the sme instrument support","type":"article-journal","volume":"13"},"uris":["http://www.mendeley.com/documents/?uuid=a30435ea-a508-43d2-950b-8f2812e2e51e"]}],"mendeley":{"formattedCitation":"(Gatto &amp; Re, 2021)","manualFormatting":"Gatto &amp; Re (2021)","plainTextFormattedCitation":"(Gatto &amp; Re, 2021)","previouslyFormattedCitation":"(Gatto &amp; Re,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Gatto and Re (2021)</w:t>
            </w:r>
            <w:r w:rsidRPr="007E2939">
              <w:rPr>
                <w:rFonts w:ascii="Arial" w:hAnsi="Arial" w:cs="Arial"/>
              </w:rPr>
              <w:fldChar w:fldCharType="end"/>
            </w:r>
          </w:p>
        </w:tc>
        <w:tc>
          <w:tcPr>
            <w:tcW w:w="1152" w:type="pct"/>
            <w:vAlign w:val="center"/>
          </w:tcPr>
          <w:p w14:paraId="36C90CFF" w14:textId="77777777" w:rsidR="00D4500C" w:rsidRPr="0094266B" w:rsidRDefault="00D4500C" w:rsidP="001E626E">
            <w:pPr>
              <w:spacing w:line="360" w:lineRule="auto"/>
              <w:jc w:val="center"/>
              <w:rPr>
                <w:rFonts w:ascii="Arial" w:hAnsi="Arial" w:cs="Arial"/>
                <w:i/>
              </w:rPr>
            </w:pPr>
            <w:r w:rsidRPr="0094266B">
              <w:rPr>
                <w:rFonts w:ascii="Arial" w:hAnsi="Arial" w:cs="Arial"/>
                <w:i/>
              </w:rPr>
              <w:t>Sustainability</w:t>
            </w:r>
          </w:p>
        </w:tc>
        <w:tc>
          <w:tcPr>
            <w:tcW w:w="572" w:type="pct"/>
            <w:vAlign w:val="center"/>
          </w:tcPr>
          <w:p w14:paraId="5A046582" w14:textId="77777777" w:rsidR="00D4500C" w:rsidRPr="007E2939" w:rsidRDefault="00D4500C" w:rsidP="001E626E">
            <w:pPr>
              <w:spacing w:line="360" w:lineRule="auto"/>
              <w:jc w:val="center"/>
              <w:rPr>
                <w:rFonts w:ascii="Arial" w:hAnsi="Arial" w:cs="Arial"/>
              </w:rPr>
            </w:pPr>
            <w:r w:rsidRPr="007E2939">
              <w:rPr>
                <w:rFonts w:ascii="Arial" w:hAnsi="Arial" w:cs="Arial"/>
              </w:rPr>
              <w:t>MDPI</w:t>
            </w:r>
          </w:p>
        </w:tc>
        <w:tc>
          <w:tcPr>
            <w:tcW w:w="572" w:type="pct"/>
            <w:vAlign w:val="center"/>
          </w:tcPr>
          <w:p w14:paraId="75B70204" w14:textId="77777777" w:rsidR="00D4500C" w:rsidRPr="007E2939" w:rsidRDefault="00D4500C" w:rsidP="001E626E">
            <w:pPr>
              <w:spacing w:line="360" w:lineRule="auto"/>
              <w:jc w:val="center"/>
              <w:rPr>
                <w:rFonts w:ascii="Arial" w:hAnsi="Arial" w:cs="Arial"/>
              </w:rPr>
            </w:pPr>
            <w:r w:rsidRPr="007E2939">
              <w:rPr>
                <w:rFonts w:ascii="Arial" w:hAnsi="Arial" w:cs="Arial"/>
              </w:rPr>
              <w:t>Q1</w:t>
            </w:r>
          </w:p>
        </w:tc>
        <w:tc>
          <w:tcPr>
            <w:tcW w:w="824" w:type="pct"/>
            <w:vAlign w:val="center"/>
          </w:tcPr>
          <w:p w14:paraId="08D552D6" w14:textId="77777777" w:rsidR="00D4500C" w:rsidRPr="007E2939" w:rsidRDefault="00D4500C" w:rsidP="001E626E">
            <w:pPr>
              <w:spacing w:line="360" w:lineRule="auto"/>
              <w:jc w:val="center"/>
              <w:rPr>
                <w:rFonts w:ascii="Arial" w:hAnsi="Arial" w:cs="Arial"/>
              </w:rPr>
            </w:pPr>
            <w:r w:rsidRPr="007E2939">
              <w:rPr>
                <w:rFonts w:ascii="Arial" w:hAnsi="Arial" w:cs="Arial"/>
              </w:rPr>
              <w:t>SCIE &amp; SSCI</w:t>
            </w:r>
          </w:p>
        </w:tc>
      </w:tr>
      <w:tr w:rsidR="00D4500C" w:rsidRPr="007E2939" w14:paraId="5B4A10F4" w14:textId="77777777" w:rsidTr="001E626E">
        <w:trPr>
          <w:jc w:val="center"/>
        </w:trPr>
        <w:tc>
          <w:tcPr>
            <w:tcW w:w="249" w:type="pct"/>
            <w:vAlign w:val="center"/>
          </w:tcPr>
          <w:p w14:paraId="3967B6FC" w14:textId="77777777" w:rsidR="00D4500C" w:rsidRPr="007E2939" w:rsidRDefault="00D4500C" w:rsidP="001E626E">
            <w:pPr>
              <w:spacing w:line="360" w:lineRule="auto"/>
              <w:jc w:val="center"/>
              <w:rPr>
                <w:rFonts w:ascii="Arial" w:hAnsi="Arial" w:cs="Arial"/>
              </w:rPr>
            </w:pPr>
            <w:r w:rsidRPr="007E2939">
              <w:rPr>
                <w:rFonts w:ascii="Arial" w:hAnsi="Arial" w:cs="Arial"/>
              </w:rPr>
              <w:t>9</w:t>
            </w:r>
          </w:p>
        </w:tc>
        <w:tc>
          <w:tcPr>
            <w:tcW w:w="1632" w:type="pct"/>
            <w:vAlign w:val="center"/>
          </w:tcPr>
          <w:p w14:paraId="5AE3ABCD"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{"citationItems":[{"id":"ITEM-1","itemData":{"DOI":"10.3390/su13031021","ISBN":"3934529860","ISSN":"20711050","abstract":"To contribute to small and medium enterprises’ (SMEs) sustainable transition into the circular economy, the study proposes the activation of organizational learning (OL) processes—denoted here as multi-level knowledge creation, transfer, and retention processes—as a key phase in introducing circular business models (CBMs) at SME and supply chain (SC) level. The research employs a mixed-method approach, using the focus group methodology to identify contextual elements impacting on CBM-related OL processes, and a survey-based evaluation to single out the most frequently used OL processes inside Italian construction SMEs. As a main result, a CBM-oriented OL multi-level model offers a fine-grained understanding of contextual elements acting mutually as barriers and drivers for OL processes, as possible OL dynamics among them. The multilevel culture construct—composed of external stakeholders’, SC stakeholders’, and organizational culture—identify the key element to activate CBM-oriented OL processes. Main implications are related to the identification of cultural, structural, regulatory, and process contextual elements across the external, SC, and organizational levels, and their interrelation with applicable intraorganizational and interorganizational learning processes. The proposed model would contribute to an improved implementation of transitioning into the circular economy utilizing sustainable business models in the construction SMEs.","author":[{"dropping-particle":"","family":"Scipioni","given":"Sara","non-dropping-particle":"","parse-names":false,"suffix":""},{"dropping-particle":"","family":"Russ","given":"Meir","non-dropping-particle":"","parse-names":false,"suffix":""},{"dropping-particle":"","family":"Niccolini","given":"Federico","non-dropping-particle":"","parse-names":false,"suffix":""}],"container-title":"Sustainability","id":"ITEM-1","issue":"3","issued":{"date-parts":[["2021"]]},"number-of-pages":"1-32","title":"From barriers to enablers: The role of organizational learning in transitioning smes into the circular economy","type":"book","volume":"13"},"uris":["http://www.mendeley.com/documents/?uuid=cc88e0cb-adc0-423e-89a0-236e8509aaf0"]}],"mendeley":{"formattedCitation":"(Scipioni et al., 2021)","manualFormatting":"Scipioni et al. (2021)","plainTextFormattedCitation":"(Scipioni et al., 2021)","previouslyFormattedCitation":"(Scipioni et al.,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Scipioni et al. (2021)</w:t>
            </w:r>
            <w:r w:rsidRPr="007E2939">
              <w:rPr>
                <w:rFonts w:ascii="Arial" w:hAnsi="Arial" w:cs="Arial"/>
              </w:rPr>
              <w:fldChar w:fldCharType="end"/>
            </w:r>
          </w:p>
        </w:tc>
        <w:tc>
          <w:tcPr>
            <w:tcW w:w="1152" w:type="pct"/>
            <w:vAlign w:val="center"/>
          </w:tcPr>
          <w:p w14:paraId="6B42B189" w14:textId="77777777" w:rsidR="00D4500C" w:rsidRPr="0094266B" w:rsidRDefault="00D4500C" w:rsidP="001E626E">
            <w:pPr>
              <w:spacing w:line="360" w:lineRule="auto"/>
              <w:jc w:val="center"/>
              <w:rPr>
                <w:rFonts w:ascii="Arial" w:hAnsi="Arial" w:cs="Arial"/>
                <w:i/>
              </w:rPr>
            </w:pPr>
            <w:r w:rsidRPr="0094266B">
              <w:rPr>
                <w:rFonts w:ascii="Arial" w:hAnsi="Arial" w:cs="Arial"/>
                <w:i/>
              </w:rPr>
              <w:t>Sustainability</w:t>
            </w:r>
          </w:p>
        </w:tc>
        <w:tc>
          <w:tcPr>
            <w:tcW w:w="572" w:type="pct"/>
            <w:vAlign w:val="center"/>
          </w:tcPr>
          <w:p w14:paraId="78A1BB58" w14:textId="77777777" w:rsidR="00D4500C" w:rsidRPr="007E2939" w:rsidRDefault="00D4500C" w:rsidP="001E626E">
            <w:pPr>
              <w:spacing w:line="360" w:lineRule="auto"/>
              <w:jc w:val="center"/>
              <w:rPr>
                <w:rFonts w:ascii="Arial" w:hAnsi="Arial" w:cs="Arial"/>
              </w:rPr>
            </w:pPr>
            <w:r w:rsidRPr="007E2939">
              <w:rPr>
                <w:rFonts w:ascii="Arial" w:hAnsi="Arial" w:cs="Arial"/>
              </w:rPr>
              <w:t>MDPI</w:t>
            </w:r>
          </w:p>
        </w:tc>
        <w:tc>
          <w:tcPr>
            <w:tcW w:w="572" w:type="pct"/>
            <w:vAlign w:val="center"/>
          </w:tcPr>
          <w:p w14:paraId="6F9D126E" w14:textId="77777777" w:rsidR="00D4500C" w:rsidRPr="007E2939" w:rsidRDefault="00D4500C" w:rsidP="001E626E">
            <w:pPr>
              <w:spacing w:line="360" w:lineRule="auto"/>
              <w:jc w:val="center"/>
              <w:rPr>
                <w:rFonts w:ascii="Arial" w:hAnsi="Arial" w:cs="Arial"/>
              </w:rPr>
            </w:pPr>
            <w:r w:rsidRPr="007E2939">
              <w:rPr>
                <w:rFonts w:ascii="Arial" w:hAnsi="Arial" w:cs="Arial"/>
              </w:rPr>
              <w:t>Q1</w:t>
            </w:r>
          </w:p>
        </w:tc>
        <w:tc>
          <w:tcPr>
            <w:tcW w:w="824" w:type="pct"/>
            <w:vAlign w:val="center"/>
          </w:tcPr>
          <w:p w14:paraId="77D902B7" w14:textId="77777777" w:rsidR="00D4500C" w:rsidRPr="007E2939" w:rsidRDefault="00D4500C" w:rsidP="001E626E">
            <w:pPr>
              <w:spacing w:line="360" w:lineRule="auto"/>
              <w:jc w:val="center"/>
              <w:rPr>
                <w:rFonts w:ascii="Arial" w:hAnsi="Arial" w:cs="Arial"/>
              </w:rPr>
            </w:pPr>
            <w:r w:rsidRPr="007E2939">
              <w:rPr>
                <w:rFonts w:ascii="Arial" w:hAnsi="Arial" w:cs="Arial"/>
              </w:rPr>
              <w:t>SCIE &amp; SSCI</w:t>
            </w:r>
          </w:p>
        </w:tc>
      </w:tr>
      <w:tr w:rsidR="00D4500C" w:rsidRPr="007E2939" w14:paraId="0AC83738" w14:textId="77777777" w:rsidTr="001E626E">
        <w:trPr>
          <w:jc w:val="center"/>
        </w:trPr>
        <w:tc>
          <w:tcPr>
            <w:tcW w:w="249" w:type="pct"/>
            <w:vAlign w:val="center"/>
          </w:tcPr>
          <w:p w14:paraId="43793ED3" w14:textId="77777777" w:rsidR="00D4500C" w:rsidRPr="007E2939" w:rsidRDefault="00D4500C" w:rsidP="001E626E">
            <w:pPr>
              <w:spacing w:line="360" w:lineRule="auto"/>
              <w:jc w:val="center"/>
              <w:rPr>
                <w:rFonts w:ascii="Arial" w:hAnsi="Arial" w:cs="Arial"/>
              </w:rPr>
            </w:pPr>
            <w:r w:rsidRPr="007E2939">
              <w:rPr>
                <w:rFonts w:ascii="Arial" w:hAnsi="Arial" w:cs="Arial"/>
              </w:rPr>
              <w:t>10</w:t>
            </w:r>
          </w:p>
        </w:tc>
        <w:tc>
          <w:tcPr>
            <w:tcW w:w="1632" w:type="pct"/>
            <w:vAlign w:val="center"/>
          </w:tcPr>
          <w:p w14:paraId="1D6C0ADB"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author":[{"dropping-particle":"","family":"Cantú","given":"Andrea","non-dropping-particle":"","parse-names":false,"suffix":""},{"dropping-particle":"","family":"Aguiñaga","given":"Eduardo","non-dropping-particle":"","parse-names":false,"suffix":""},{"dropping-particle":"","family":"Scheel","given":"Carlos","non-dropping-particle":"","parse-names":false,"suffix":""},{"dropping-particle":"","family":"Noland","given":"Kenneth","non-dropping-particle":"","parse-names":false,"suffix":""}],"container-title":"Sustainability","id":"ITEM-1","issued":{"date-parts":[["2021"]]},"title":"Learning from Failure and Success : The Challenges for Circular Economy Implementation in SMEs in an Emerging Economy","type":"article-journal","volume":"13"},"uris":["http://www.mendeley.com/documents/?uuid=01a6263e-80c0-4da8-add3-4b5292217270"]}],"mendeley":{"formattedCitation":"(Cantú et al., 2021)","manualFormatting":"Cantú et al. (2021)","plainTextFormattedCitation":"(Cantú et al., 2021)","previouslyFormattedCitation":"(Cantú et al.,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Cantú et al. (2021)</w:t>
            </w:r>
            <w:r w:rsidRPr="007E2939">
              <w:rPr>
                <w:rFonts w:ascii="Arial" w:hAnsi="Arial" w:cs="Arial"/>
              </w:rPr>
              <w:fldChar w:fldCharType="end"/>
            </w:r>
          </w:p>
        </w:tc>
        <w:tc>
          <w:tcPr>
            <w:tcW w:w="1152" w:type="pct"/>
            <w:vAlign w:val="center"/>
          </w:tcPr>
          <w:p w14:paraId="54E9441B" w14:textId="77777777" w:rsidR="00D4500C" w:rsidRPr="0094266B" w:rsidRDefault="00D4500C" w:rsidP="001E626E">
            <w:pPr>
              <w:spacing w:line="360" w:lineRule="auto"/>
              <w:jc w:val="center"/>
              <w:rPr>
                <w:rFonts w:ascii="Arial" w:hAnsi="Arial" w:cs="Arial"/>
                <w:i/>
              </w:rPr>
            </w:pPr>
            <w:r w:rsidRPr="0094266B">
              <w:rPr>
                <w:rFonts w:ascii="Arial" w:hAnsi="Arial" w:cs="Arial"/>
                <w:i/>
              </w:rPr>
              <w:t>Sustainability</w:t>
            </w:r>
          </w:p>
        </w:tc>
        <w:tc>
          <w:tcPr>
            <w:tcW w:w="572" w:type="pct"/>
            <w:vAlign w:val="center"/>
          </w:tcPr>
          <w:p w14:paraId="13E6A3C4" w14:textId="77777777" w:rsidR="00D4500C" w:rsidRPr="007E2939" w:rsidRDefault="00D4500C" w:rsidP="001E626E">
            <w:pPr>
              <w:spacing w:line="360" w:lineRule="auto"/>
              <w:jc w:val="center"/>
              <w:rPr>
                <w:rFonts w:ascii="Arial" w:hAnsi="Arial" w:cs="Arial"/>
              </w:rPr>
            </w:pPr>
            <w:r w:rsidRPr="007E2939">
              <w:rPr>
                <w:rFonts w:ascii="Arial" w:hAnsi="Arial" w:cs="Arial"/>
              </w:rPr>
              <w:t>MDPI</w:t>
            </w:r>
          </w:p>
        </w:tc>
        <w:tc>
          <w:tcPr>
            <w:tcW w:w="572" w:type="pct"/>
            <w:vAlign w:val="center"/>
          </w:tcPr>
          <w:p w14:paraId="12255585" w14:textId="77777777" w:rsidR="00D4500C" w:rsidRPr="007E2939" w:rsidRDefault="00D4500C" w:rsidP="001E626E">
            <w:pPr>
              <w:spacing w:line="360" w:lineRule="auto"/>
              <w:jc w:val="center"/>
              <w:rPr>
                <w:rFonts w:ascii="Arial" w:hAnsi="Arial" w:cs="Arial"/>
              </w:rPr>
            </w:pPr>
            <w:r w:rsidRPr="007E2939">
              <w:rPr>
                <w:rFonts w:ascii="Arial" w:hAnsi="Arial" w:cs="Arial"/>
              </w:rPr>
              <w:t>Q1</w:t>
            </w:r>
          </w:p>
        </w:tc>
        <w:tc>
          <w:tcPr>
            <w:tcW w:w="824" w:type="pct"/>
            <w:vAlign w:val="center"/>
          </w:tcPr>
          <w:p w14:paraId="3D4E9573" w14:textId="77777777" w:rsidR="00D4500C" w:rsidRPr="007E2939" w:rsidRDefault="00D4500C" w:rsidP="001E626E">
            <w:pPr>
              <w:spacing w:line="360" w:lineRule="auto"/>
              <w:jc w:val="center"/>
              <w:rPr>
                <w:rFonts w:ascii="Arial" w:hAnsi="Arial" w:cs="Arial"/>
              </w:rPr>
            </w:pPr>
            <w:r w:rsidRPr="007E2939">
              <w:rPr>
                <w:rFonts w:ascii="Arial" w:hAnsi="Arial" w:cs="Arial"/>
              </w:rPr>
              <w:t>SCIE &amp; SSCI</w:t>
            </w:r>
          </w:p>
        </w:tc>
      </w:tr>
      <w:tr w:rsidR="00D4500C" w:rsidRPr="007E2939" w14:paraId="68FB3BA4" w14:textId="77777777" w:rsidTr="001E626E">
        <w:trPr>
          <w:jc w:val="center"/>
        </w:trPr>
        <w:tc>
          <w:tcPr>
            <w:tcW w:w="249" w:type="pct"/>
            <w:vAlign w:val="center"/>
          </w:tcPr>
          <w:p w14:paraId="3DFB1C09" w14:textId="77777777" w:rsidR="00D4500C" w:rsidRPr="007E2939" w:rsidRDefault="00D4500C" w:rsidP="001E626E">
            <w:pPr>
              <w:spacing w:line="360" w:lineRule="auto"/>
              <w:jc w:val="center"/>
              <w:rPr>
                <w:rFonts w:ascii="Arial" w:hAnsi="Arial" w:cs="Arial"/>
              </w:rPr>
            </w:pPr>
            <w:r w:rsidRPr="007E2939">
              <w:rPr>
                <w:rFonts w:ascii="Arial" w:hAnsi="Arial" w:cs="Arial"/>
              </w:rPr>
              <w:t>11</w:t>
            </w:r>
          </w:p>
        </w:tc>
        <w:tc>
          <w:tcPr>
            <w:tcW w:w="1632" w:type="pct"/>
            <w:vAlign w:val="center"/>
          </w:tcPr>
          <w:p w14:paraId="656F640D"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{"citationItems":[{"id":"ITEM-1","itemData":{"DOI":"10.3390/su13031282","ISSN":"20711050","abstract":"Although it is not clear yet what a full-grown circular economy (CE) is going to look like, it is clear that the challenges of transitioning to a CE are both impressive and urgent. The Dutch government has expressed the ambition to establish a CE in the Netherlands in 2050. In the wake of this, the Dutch Ministry of Agriculture, Nature and Food Quality laid down a vision on circular agriculture (CA). A key question with respect to both CE and CA is if and to what extent this means business as unusual: How distinct is circular business from normal business operations? The ways in which the notions of CE and circular business models (CBMs) are often introduced suggest a big difference. However, closer scrutiny also reveals that in practice the impact of circularity is less obvious. Against the backdrop of such opposite observations, this paper examines how Dutch farmers perceive circularity and what implications this has for their production practices. Interviews (n = 13) with Dutch farmers show that circular business is adapted in normal business management by some and regarded as a genuine alternative to the conventional food system by others. By taking Dutch farmers as an example, this paper aims to contribute to our understanding of how CE is interpreted in small and medium enterprises (SMEs).","author":[{"dropping-particle":"","family":"Dagevos","given":"Hans","non-dropping-particle":"","parse-names":false,"suffix":""},{"dropping-particle":"","family":"Lauwere","given":"Carolien","non-dropping-particle":"de","parse-names":false,"suffix":""}],"container-title":"Sustainability","id":"ITEM-1","issue":"3","issued":{"date-parts":[["2021"]]},"page":"1-15","title":"Circular business models and circular agriculture: Perceptions and practices of dutch farmers","type":"article-journal","volume":"13"},"uris":["http://www.mendeley.com/documents/?uuid=afb111da-4789-4edb-bf9e-f347dd38f39f"]}],"mendeley":{"formattedCitation":"(Dagevos &amp; de Lauwere, 2021)","manualFormatting":"Dagevos &amp; de Lauwere (2021)","plainTextFormattedCitation":"(Dagevos &amp; de Lauwere, 2021)","previouslyFormattedCitation":"(Dagevos &amp; de Lauwere,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Dagevos and de Lauwere (2021)</w:t>
            </w:r>
            <w:r w:rsidRPr="007E2939">
              <w:rPr>
                <w:rFonts w:ascii="Arial" w:hAnsi="Arial" w:cs="Arial"/>
              </w:rPr>
              <w:fldChar w:fldCharType="end"/>
            </w:r>
          </w:p>
        </w:tc>
        <w:tc>
          <w:tcPr>
            <w:tcW w:w="1152" w:type="pct"/>
            <w:vAlign w:val="center"/>
          </w:tcPr>
          <w:p w14:paraId="7D5E3E4E" w14:textId="77777777" w:rsidR="00D4500C" w:rsidRPr="0094266B" w:rsidRDefault="00D4500C" w:rsidP="001E626E">
            <w:pPr>
              <w:spacing w:line="360" w:lineRule="auto"/>
              <w:jc w:val="center"/>
              <w:rPr>
                <w:rFonts w:ascii="Arial" w:hAnsi="Arial" w:cs="Arial"/>
                <w:i/>
              </w:rPr>
            </w:pPr>
            <w:r w:rsidRPr="0094266B">
              <w:rPr>
                <w:rFonts w:ascii="Arial" w:hAnsi="Arial" w:cs="Arial"/>
                <w:i/>
              </w:rPr>
              <w:t>Sustainability</w:t>
            </w:r>
          </w:p>
        </w:tc>
        <w:tc>
          <w:tcPr>
            <w:tcW w:w="572" w:type="pct"/>
            <w:vAlign w:val="center"/>
          </w:tcPr>
          <w:p w14:paraId="238932A5" w14:textId="77777777" w:rsidR="00D4500C" w:rsidRPr="007E2939" w:rsidRDefault="00D4500C" w:rsidP="001E626E">
            <w:pPr>
              <w:spacing w:line="360" w:lineRule="auto"/>
              <w:jc w:val="center"/>
              <w:rPr>
                <w:rFonts w:ascii="Arial" w:hAnsi="Arial" w:cs="Arial"/>
              </w:rPr>
            </w:pPr>
            <w:r w:rsidRPr="007E2939">
              <w:rPr>
                <w:rFonts w:ascii="Arial" w:hAnsi="Arial" w:cs="Arial"/>
              </w:rPr>
              <w:t>MDPI</w:t>
            </w:r>
          </w:p>
        </w:tc>
        <w:tc>
          <w:tcPr>
            <w:tcW w:w="572" w:type="pct"/>
            <w:vAlign w:val="center"/>
          </w:tcPr>
          <w:p w14:paraId="6168A49A" w14:textId="77777777" w:rsidR="00D4500C" w:rsidRPr="007E2939" w:rsidRDefault="00D4500C" w:rsidP="001E626E">
            <w:pPr>
              <w:spacing w:line="360" w:lineRule="auto"/>
              <w:jc w:val="center"/>
              <w:rPr>
                <w:rFonts w:ascii="Arial" w:hAnsi="Arial" w:cs="Arial"/>
              </w:rPr>
            </w:pPr>
            <w:r w:rsidRPr="007E2939">
              <w:rPr>
                <w:rFonts w:ascii="Arial" w:hAnsi="Arial" w:cs="Arial"/>
              </w:rPr>
              <w:t>Q1</w:t>
            </w:r>
          </w:p>
        </w:tc>
        <w:tc>
          <w:tcPr>
            <w:tcW w:w="824" w:type="pct"/>
            <w:vAlign w:val="center"/>
          </w:tcPr>
          <w:p w14:paraId="067F9EC9" w14:textId="77777777" w:rsidR="00D4500C" w:rsidRPr="007E2939" w:rsidRDefault="00D4500C" w:rsidP="001E626E">
            <w:pPr>
              <w:spacing w:line="360" w:lineRule="auto"/>
              <w:jc w:val="center"/>
              <w:rPr>
                <w:rFonts w:ascii="Arial" w:hAnsi="Arial" w:cs="Arial"/>
              </w:rPr>
            </w:pPr>
            <w:r w:rsidRPr="007E2939">
              <w:rPr>
                <w:rFonts w:ascii="Arial" w:hAnsi="Arial" w:cs="Arial"/>
              </w:rPr>
              <w:t>SCIE &amp; SSCI</w:t>
            </w:r>
          </w:p>
        </w:tc>
      </w:tr>
      <w:tr w:rsidR="00D4500C" w:rsidRPr="007E2939" w14:paraId="6AA5FFFF" w14:textId="77777777" w:rsidTr="001E626E">
        <w:trPr>
          <w:jc w:val="center"/>
        </w:trPr>
        <w:tc>
          <w:tcPr>
            <w:tcW w:w="249" w:type="pct"/>
            <w:vAlign w:val="center"/>
          </w:tcPr>
          <w:p w14:paraId="092BEC61" w14:textId="77777777" w:rsidR="00D4500C" w:rsidRPr="007E2939" w:rsidRDefault="00D4500C" w:rsidP="001E626E">
            <w:pPr>
              <w:spacing w:line="360" w:lineRule="auto"/>
              <w:jc w:val="center"/>
              <w:rPr>
                <w:rFonts w:ascii="Arial" w:hAnsi="Arial" w:cs="Arial"/>
              </w:rPr>
            </w:pPr>
            <w:r w:rsidRPr="007E2939">
              <w:rPr>
                <w:rFonts w:ascii="Arial" w:hAnsi="Arial" w:cs="Arial"/>
              </w:rPr>
              <w:t>12</w:t>
            </w:r>
          </w:p>
        </w:tc>
        <w:tc>
          <w:tcPr>
            <w:tcW w:w="1632" w:type="pct"/>
            <w:vAlign w:val="center"/>
          </w:tcPr>
          <w:p w14:paraId="75180AFE"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{"citationItems":[{"id":"ITEM-1","itemData":{"DOI":"10.1108/meq-01-2021-0011","ISSN":"1477-7835","abstract":"Purpose: This study aims to investigate the evolutionary pathways adopted by a digital platform to favor the development of an entrepreneurial ecosystem inspired by circular economy behaviors, becoming an enabler in the development of a coevolutionary relationship between entrepreneurial ecosystems and circular economy. Design/methodology/approach: An in-depth single-case study method has been applied, investigating the case of circularity.com, the first and only circular economy industrial symbiosis platform in Italy. Findings: The paper shows how digital platforms can transition towards circular business models, particularly for small and medium enterprises (SMEs). Moreover, the findings show how sustainable platforms' need to revise their business models to effectively engage with stakeholders. The analysis also shows the central role covered by entrepreneurial ecosystems in the transition towards a more circular and sustainable business models. Originality/value: This paper contributes to theoretical development by offering new and insightful explanations of firms' behavior and coevolution, moving beyond the classic interpretation of industry dynamics and analyzing a unique case study. This study has implications for both practice and research, as it offers a better and more holistic understanding of the enabling role of digital platforms for a circular economy.","author":[{"dropping-particle":"","family":"Pizzi","given":"Simone","non-dropping-particle":"","parse-names":false,"suffix":""},{"dropping-particle":"","family":"Leopizzi","given":"Rossella","non-dropping-particle":"","parse-names":false,"suffix":""},{"dropping-particle":"","family":"Caputo","given":"Andrea","non-dropping-particle":"","parse-names":false,"suffix":""}],"container-title":"Management of Environmental Quality","id":"ITEM-1","issued":{"date-parts":[["2021"]]},"title":"The enablers in the relationship between entrepreneurial ecosystems and the circular economy: the case of circularity.com","type":"article-journal"},"uris":["http://www.mendeley.com/documents/?uuid=d77b424a-4ed3-4b72-8e2f-44914e971761"]}],"mendeley":{"formattedCitation":"(Pizzi et al., 2021)","manualFormatting":"Pizzi et al. (2021)","plainTextFormattedCitation":"(Pizzi et al., 2021)","previouslyFormattedCitation":"(Pizzi et al.,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Pizzi et al. (2021)</w:t>
            </w:r>
            <w:r w:rsidRPr="007E2939">
              <w:rPr>
                <w:rFonts w:ascii="Arial" w:hAnsi="Arial" w:cs="Arial"/>
              </w:rPr>
              <w:fldChar w:fldCharType="end"/>
            </w:r>
          </w:p>
        </w:tc>
        <w:tc>
          <w:tcPr>
            <w:tcW w:w="1152" w:type="pct"/>
            <w:vAlign w:val="center"/>
          </w:tcPr>
          <w:p w14:paraId="366AB699" w14:textId="77777777" w:rsidR="00D4500C" w:rsidRPr="0094266B" w:rsidRDefault="00D4500C" w:rsidP="001E626E">
            <w:pPr>
              <w:spacing w:line="360" w:lineRule="auto"/>
              <w:jc w:val="center"/>
              <w:rPr>
                <w:rFonts w:ascii="Arial" w:hAnsi="Arial" w:cs="Arial"/>
                <w:i/>
              </w:rPr>
            </w:pPr>
            <w:r w:rsidRPr="0094266B">
              <w:rPr>
                <w:rFonts w:ascii="Arial" w:hAnsi="Arial" w:cs="Arial"/>
                <w:i/>
              </w:rPr>
              <w:t>Management of Environmental Quality</w:t>
            </w:r>
          </w:p>
        </w:tc>
        <w:tc>
          <w:tcPr>
            <w:tcW w:w="572" w:type="pct"/>
            <w:vAlign w:val="center"/>
          </w:tcPr>
          <w:p w14:paraId="36EBDD08" w14:textId="77777777" w:rsidR="00D4500C" w:rsidRPr="007E2939" w:rsidRDefault="00D4500C" w:rsidP="001E626E">
            <w:pPr>
              <w:spacing w:line="360" w:lineRule="auto"/>
              <w:jc w:val="center"/>
              <w:rPr>
                <w:rFonts w:ascii="Arial" w:hAnsi="Arial" w:cs="Arial"/>
              </w:rPr>
            </w:pPr>
            <w:r w:rsidRPr="007E2939">
              <w:rPr>
                <w:rFonts w:ascii="Arial" w:hAnsi="Arial" w:cs="Arial"/>
              </w:rPr>
              <w:t>Emerald</w:t>
            </w:r>
          </w:p>
        </w:tc>
        <w:tc>
          <w:tcPr>
            <w:tcW w:w="572" w:type="pct"/>
            <w:vAlign w:val="center"/>
          </w:tcPr>
          <w:p w14:paraId="118B4065" w14:textId="77777777" w:rsidR="00D4500C" w:rsidRPr="007E2939" w:rsidRDefault="00D4500C" w:rsidP="001E626E">
            <w:pPr>
              <w:spacing w:line="360" w:lineRule="auto"/>
              <w:jc w:val="center"/>
              <w:rPr>
                <w:rFonts w:ascii="Arial" w:hAnsi="Arial" w:cs="Arial"/>
              </w:rPr>
            </w:pPr>
            <w:r w:rsidRPr="007E2939">
              <w:rPr>
                <w:rFonts w:ascii="Arial" w:hAnsi="Arial" w:cs="Arial"/>
              </w:rPr>
              <w:t>Q2</w:t>
            </w:r>
          </w:p>
        </w:tc>
        <w:tc>
          <w:tcPr>
            <w:tcW w:w="824" w:type="pct"/>
            <w:vAlign w:val="center"/>
          </w:tcPr>
          <w:p w14:paraId="263216EB" w14:textId="77777777" w:rsidR="00D4500C" w:rsidRPr="007E2939" w:rsidRDefault="00D4500C" w:rsidP="001E626E">
            <w:pPr>
              <w:spacing w:line="360" w:lineRule="auto"/>
              <w:jc w:val="center"/>
              <w:rPr>
                <w:rFonts w:ascii="Arial" w:hAnsi="Arial" w:cs="Arial"/>
              </w:rPr>
            </w:pPr>
            <w:r w:rsidRPr="007E2939">
              <w:rPr>
                <w:rFonts w:ascii="Arial" w:hAnsi="Arial" w:cs="Arial"/>
              </w:rPr>
              <w:t>ESCI</w:t>
            </w:r>
          </w:p>
        </w:tc>
      </w:tr>
      <w:tr w:rsidR="00D4500C" w:rsidRPr="007E2939" w14:paraId="2114A630" w14:textId="77777777" w:rsidTr="001E626E">
        <w:trPr>
          <w:jc w:val="center"/>
        </w:trPr>
        <w:tc>
          <w:tcPr>
            <w:tcW w:w="249" w:type="pct"/>
            <w:vAlign w:val="center"/>
          </w:tcPr>
          <w:p w14:paraId="7D5AD68A" w14:textId="77777777" w:rsidR="00D4500C" w:rsidRPr="007E2939" w:rsidRDefault="00D4500C" w:rsidP="001E626E">
            <w:pPr>
              <w:spacing w:line="360" w:lineRule="auto"/>
              <w:jc w:val="center"/>
              <w:rPr>
                <w:rFonts w:ascii="Arial" w:hAnsi="Arial" w:cs="Arial"/>
              </w:rPr>
            </w:pPr>
            <w:r w:rsidRPr="007E2939">
              <w:rPr>
                <w:rFonts w:ascii="Arial" w:hAnsi="Arial" w:cs="Arial"/>
              </w:rPr>
              <w:t>13</w:t>
            </w:r>
          </w:p>
        </w:tc>
        <w:tc>
          <w:tcPr>
            <w:tcW w:w="1632" w:type="pct"/>
            <w:vAlign w:val="center"/>
          </w:tcPr>
          <w:p w14:paraId="20E56478" w14:textId="77777777" w:rsidR="00D4500C" w:rsidRPr="007E2939" w:rsidRDefault="00D4500C" w:rsidP="001E626E">
            <w:pPr>
              <w:spacing w:line="360" w:lineRule="auto"/>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{"citationItems":[{"id":"ITEM-1","itemData":{"DOI":"10.2478/rtuect-2020-0088","ISSN":"22558837","abstract":"While the capacities of larger enterprises enable them to adopt new circular design approaches and business models, small and medium-sized enterprises (SME) are also increasingly aware of the benefits of closing loops and improving resource efficiency. The SMEs in Estonia are confronted with several obstacles that hinder their circular design related actions. The organizational capacity and capability play a significant role in small businesses when developing concrete solutions for the circular economy, integrate those principles into their strategy and product development process and sustain those efforts. This paper aims to explore the SMEs' circular design capacity and capability for adopting new approaches in traditional small manufacturing companies who have a product-oriented focus and follow the dominant linear economy business strategy in Estonia. The circular design assessment method was developed to analyse a company's current status of circularity and evaluate the level of eco/circular design capacity. The results of the study show that the critical dimensions that are crucial for SMEs' ability to successfully perform circular design are related to their business strategy and planning, owners/manages leadership as well as ability to learn and cooperate and create relationships with external entities for internal dissemination.","author":[{"dropping-particle":"","family":"Vihma","given":"Markus","non-dropping-particle":"","parse-names":false,"suffix":""},{"dropping-particle":"","family":"Moora","given":"Harri","non-dropping-particle":"","parse-names":false,"suffix":""}],"container-title":"Environmental and Climate Technologies","id":"ITEM-1","issue":"3","issued":{"date-parts":[["2020"]]},"page":"94-103","title":"Potential of Circular Design in Estonian SMEs and their Capacity to Push it","type":"article-journal","volume":"24"},"uris":["http://www.mendeley.com/documents/?uuid=5c2a66cf-2948-44dc-9cb8-ecc550649d27"]}],"mendeley":{"formattedCitation":"(Vihma &amp; Moora, 2020)","plainTextFormattedCitation":"(Vihma &amp; Moora, 2020)","previouslyFormattedCitation":"(Vihma &amp; Moora, 2020)"},"properties":{"noteIndex":0},"schema":"https://github.com/citation-style-language/schema/raw/master/csl-citation.json"}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Vihma and Moora (2020)</w:t>
            </w:r>
            <w:r w:rsidRPr="007E2939">
              <w:rPr>
                <w:rFonts w:ascii="Arial" w:hAnsi="Arial" w:cs="Arial"/>
              </w:rPr>
              <w:fldChar w:fldCharType="end"/>
            </w:r>
          </w:p>
        </w:tc>
        <w:tc>
          <w:tcPr>
            <w:tcW w:w="1152" w:type="pct"/>
            <w:vAlign w:val="center"/>
          </w:tcPr>
          <w:p w14:paraId="1B4C1EA5" w14:textId="77777777" w:rsidR="00D4500C" w:rsidRPr="0094266B" w:rsidRDefault="00D4500C" w:rsidP="001E626E">
            <w:pPr>
              <w:spacing w:line="360" w:lineRule="auto"/>
              <w:jc w:val="center"/>
              <w:rPr>
                <w:rFonts w:ascii="Arial" w:hAnsi="Arial" w:cs="Arial"/>
                <w:i/>
              </w:rPr>
            </w:pPr>
            <w:r w:rsidRPr="0094266B">
              <w:rPr>
                <w:rFonts w:ascii="Arial" w:hAnsi="Arial" w:cs="Arial"/>
                <w:i/>
              </w:rPr>
              <w:t>Environmental and Climate Technologies</w:t>
            </w:r>
          </w:p>
        </w:tc>
        <w:tc>
          <w:tcPr>
            <w:tcW w:w="572" w:type="pct"/>
            <w:vAlign w:val="center"/>
          </w:tcPr>
          <w:p w14:paraId="52406B9E" w14:textId="77777777" w:rsidR="00D4500C" w:rsidRPr="007E2939" w:rsidRDefault="00D4500C" w:rsidP="001E626E">
            <w:pPr>
              <w:spacing w:line="360" w:lineRule="auto"/>
              <w:jc w:val="center"/>
              <w:rPr>
                <w:rFonts w:ascii="Arial" w:hAnsi="Arial" w:cs="Arial"/>
              </w:rPr>
            </w:pPr>
            <w:r w:rsidRPr="007E2939">
              <w:rPr>
                <w:rFonts w:ascii="Arial" w:hAnsi="Arial" w:cs="Arial"/>
              </w:rPr>
              <w:t xml:space="preserve">Walter de Gruyter </w:t>
            </w:r>
            <w:r w:rsidRPr="007E2939">
              <w:rPr>
                <w:rFonts w:ascii="Arial" w:hAnsi="Arial" w:cs="Arial"/>
              </w:rPr>
              <w:lastRenderedPageBreak/>
              <w:t>GmbH</w:t>
            </w:r>
          </w:p>
        </w:tc>
        <w:tc>
          <w:tcPr>
            <w:tcW w:w="572" w:type="pct"/>
            <w:vAlign w:val="center"/>
          </w:tcPr>
          <w:p w14:paraId="0C6D77C6"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Q3</w:t>
            </w:r>
          </w:p>
        </w:tc>
        <w:tc>
          <w:tcPr>
            <w:tcW w:w="824" w:type="pct"/>
            <w:vAlign w:val="center"/>
          </w:tcPr>
          <w:p w14:paraId="5E98A591" w14:textId="77777777" w:rsidR="00D4500C" w:rsidRPr="007E2939" w:rsidRDefault="00D4500C" w:rsidP="001E626E">
            <w:pPr>
              <w:spacing w:line="360" w:lineRule="auto"/>
              <w:jc w:val="center"/>
              <w:rPr>
                <w:rFonts w:ascii="Arial" w:hAnsi="Arial" w:cs="Arial"/>
              </w:rPr>
            </w:pPr>
            <w:r w:rsidRPr="007E2939">
              <w:rPr>
                <w:rFonts w:ascii="Arial" w:hAnsi="Arial" w:cs="Arial"/>
              </w:rPr>
              <w:t>ESCI</w:t>
            </w:r>
          </w:p>
        </w:tc>
      </w:tr>
    </w:tbl>
    <w:p w14:paraId="3038323D" w14:textId="77777777" w:rsidR="00D4500C" w:rsidRPr="007E2939" w:rsidRDefault="00D4500C" w:rsidP="00D4500C">
      <w:pPr>
        <w:spacing w:line="360" w:lineRule="auto"/>
        <w:ind w:firstLine="567"/>
        <w:jc w:val="center"/>
        <w:rPr>
          <w:rFonts w:ascii="Arial" w:hAnsi="Arial" w:cs="Arial"/>
        </w:rPr>
      </w:pPr>
    </w:p>
    <w:p w14:paraId="76EC2DD7" w14:textId="77777777" w:rsidR="00D4500C" w:rsidRPr="007E2939" w:rsidRDefault="00D4500C" w:rsidP="00D4500C">
      <w:pPr>
        <w:spacing w:line="360" w:lineRule="auto"/>
        <w:ind w:firstLine="567"/>
        <w:rPr>
          <w:rFonts w:ascii="Arial" w:hAnsi="Arial" w:cs="Arial"/>
        </w:rPr>
      </w:pPr>
    </w:p>
    <w:p w14:paraId="5DA78F95" w14:textId="77777777" w:rsidR="00D4500C" w:rsidRPr="007E2939" w:rsidRDefault="00D4500C" w:rsidP="00D4500C">
      <w:pPr>
        <w:spacing w:line="360" w:lineRule="auto"/>
        <w:ind w:firstLine="720"/>
        <w:jc w:val="center"/>
        <w:rPr>
          <w:rFonts w:ascii="Arial" w:hAnsi="Arial" w:cs="Arial"/>
        </w:rPr>
      </w:pPr>
    </w:p>
    <w:p w14:paraId="003C385A" w14:textId="77777777" w:rsidR="00D4500C" w:rsidRPr="007E2939" w:rsidRDefault="00D4500C" w:rsidP="00D4500C">
      <w:pPr>
        <w:spacing w:line="360" w:lineRule="auto"/>
        <w:rPr>
          <w:rFonts w:ascii="Arial" w:hAnsi="Arial" w:cs="Arial"/>
        </w:rPr>
      </w:pPr>
    </w:p>
    <w:p w14:paraId="214A736B" w14:textId="77777777" w:rsidR="00D4500C" w:rsidRPr="007E2939" w:rsidRDefault="00D4500C" w:rsidP="00D4500C">
      <w:pPr>
        <w:spacing w:line="360" w:lineRule="auto"/>
        <w:jc w:val="both"/>
        <w:rPr>
          <w:rFonts w:ascii="Arial" w:hAnsi="Arial" w:cs="Arial"/>
        </w:rPr>
        <w:sectPr w:rsidR="00D4500C" w:rsidRPr="007E2939" w:rsidSect="00EA4C2F">
          <w:pgSz w:w="16840" w:h="11900" w:orient="landscape"/>
          <w:pgMar w:top="1701" w:right="1701" w:bottom="2268" w:left="2268" w:header="708" w:footer="708" w:gutter="0"/>
          <w:cols w:space="708"/>
          <w:docGrid w:linePitch="360"/>
        </w:sectPr>
      </w:pPr>
    </w:p>
    <w:p w14:paraId="403A957B" w14:textId="77777777" w:rsidR="00D4500C" w:rsidRPr="007E2939" w:rsidRDefault="00D4500C" w:rsidP="00D4500C">
      <w:pPr>
        <w:spacing w:line="360" w:lineRule="auto"/>
        <w:ind w:firstLine="720"/>
        <w:jc w:val="both"/>
        <w:rPr>
          <w:rFonts w:ascii="Arial" w:hAnsi="Arial" w:cs="Arial"/>
        </w:rPr>
      </w:pPr>
    </w:p>
    <w:p w14:paraId="22856E18" w14:textId="77777777" w:rsidR="00D4500C" w:rsidRPr="007E2939" w:rsidRDefault="00D4500C" w:rsidP="00D4500C">
      <w:pPr>
        <w:spacing w:line="360" w:lineRule="auto"/>
        <w:ind w:firstLine="720"/>
        <w:jc w:val="center"/>
        <w:rPr>
          <w:rFonts w:ascii="Arial" w:hAnsi="Arial" w:cs="Arial"/>
        </w:rPr>
      </w:pPr>
      <w:r w:rsidRPr="007E2939">
        <w:rPr>
          <w:rFonts w:ascii="Arial" w:hAnsi="Arial" w:cs="Arial"/>
        </w:rPr>
        <w:t xml:space="preserve">Table 3. </w:t>
      </w:r>
      <w:r>
        <w:rPr>
          <w:rFonts w:ascii="Arial" w:hAnsi="Arial" w:cs="Arial"/>
        </w:rPr>
        <w:t>S</w:t>
      </w:r>
      <w:r w:rsidRPr="007E2939">
        <w:rPr>
          <w:rFonts w:ascii="Arial" w:hAnsi="Arial" w:cs="Arial"/>
        </w:rPr>
        <w:t xml:space="preserve">ystematic literature review document grouping with </w:t>
      </w:r>
      <w:r w:rsidRPr="00FF7323">
        <w:rPr>
          <w:rFonts w:ascii="Arial" w:hAnsi="Arial" w:cs="Arial"/>
        </w:rPr>
        <w:t>theory–context–characteristic–methodology</w:t>
      </w:r>
      <w:r w:rsidRPr="007E2939">
        <w:rPr>
          <w:rFonts w:ascii="Arial" w:hAnsi="Arial" w:cs="Arial"/>
        </w:rPr>
        <w:t xml:space="preserve"> framework</w:t>
      </w:r>
    </w:p>
    <w:tbl>
      <w:tblPr>
        <w:tblStyle w:val="TableGrid"/>
        <w:tblW w:w="5000" w:type="pct"/>
        <w:tblLook w:val="04A0" w:firstRow="1" w:lastRow="0" w:firstColumn="1" w:lastColumn="0" w:noHBand="0" w:noVBand="1"/>
      </w:tblPr>
      <w:tblGrid>
        <w:gridCol w:w="449"/>
        <w:gridCol w:w="1000"/>
        <w:gridCol w:w="1185"/>
        <w:gridCol w:w="1026"/>
        <w:gridCol w:w="1405"/>
        <w:gridCol w:w="1352"/>
        <w:gridCol w:w="1243"/>
        <w:gridCol w:w="976"/>
        <w:gridCol w:w="926"/>
        <w:gridCol w:w="1051"/>
        <w:gridCol w:w="884"/>
        <w:gridCol w:w="1068"/>
        <w:gridCol w:w="1385"/>
      </w:tblGrid>
      <w:tr w:rsidR="00D4500C" w:rsidRPr="007E2939" w14:paraId="65BFA028" w14:textId="77777777" w:rsidTr="001E626E">
        <w:tc>
          <w:tcPr>
            <w:tcW w:w="158" w:type="pct"/>
            <w:vMerge w:val="restart"/>
            <w:vAlign w:val="center"/>
          </w:tcPr>
          <w:p w14:paraId="73DD6376" w14:textId="77777777" w:rsidR="00D4500C" w:rsidRPr="007E2939" w:rsidRDefault="00D4500C" w:rsidP="001E626E">
            <w:pPr>
              <w:spacing w:line="360" w:lineRule="auto"/>
              <w:jc w:val="center"/>
              <w:rPr>
                <w:rFonts w:ascii="Arial" w:hAnsi="Arial" w:cs="Arial"/>
              </w:rPr>
            </w:pPr>
            <w:r w:rsidRPr="007E2939">
              <w:rPr>
                <w:rFonts w:ascii="Arial" w:hAnsi="Arial" w:cs="Arial"/>
              </w:rPr>
              <w:t>No.</w:t>
            </w:r>
          </w:p>
        </w:tc>
        <w:tc>
          <w:tcPr>
            <w:tcW w:w="376" w:type="pct"/>
            <w:vMerge w:val="restart"/>
            <w:vAlign w:val="center"/>
          </w:tcPr>
          <w:p w14:paraId="0F3D906B" w14:textId="77777777" w:rsidR="00D4500C" w:rsidRPr="007E2939" w:rsidRDefault="00D4500C" w:rsidP="001E626E">
            <w:pPr>
              <w:spacing w:line="360" w:lineRule="auto"/>
              <w:jc w:val="center"/>
              <w:rPr>
                <w:rFonts w:ascii="Arial" w:hAnsi="Arial" w:cs="Arial"/>
              </w:rPr>
            </w:pPr>
            <w:r w:rsidRPr="007E2939">
              <w:rPr>
                <w:rFonts w:ascii="Arial" w:hAnsi="Arial" w:cs="Arial"/>
              </w:rPr>
              <w:t>Author/s</w:t>
            </w:r>
          </w:p>
        </w:tc>
        <w:tc>
          <w:tcPr>
            <w:tcW w:w="3569" w:type="pct"/>
            <w:gridSpan w:val="9"/>
            <w:vAlign w:val="center"/>
          </w:tcPr>
          <w:p w14:paraId="47DA17BC" w14:textId="77777777" w:rsidR="00D4500C" w:rsidRPr="007E2939" w:rsidRDefault="00D4500C" w:rsidP="001E626E">
            <w:pPr>
              <w:spacing w:line="360" w:lineRule="auto"/>
              <w:jc w:val="center"/>
              <w:rPr>
                <w:rFonts w:ascii="Arial" w:hAnsi="Arial" w:cs="Arial"/>
              </w:rPr>
            </w:pPr>
            <w:r w:rsidRPr="007E2939">
              <w:rPr>
                <w:rFonts w:ascii="Arial" w:hAnsi="Arial" w:cs="Arial"/>
              </w:rPr>
              <w:t>TCCM framework</w:t>
            </w:r>
          </w:p>
        </w:tc>
        <w:tc>
          <w:tcPr>
            <w:tcW w:w="424" w:type="pct"/>
            <w:vMerge w:val="restart"/>
            <w:vAlign w:val="center"/>
          </w:tcPr>
          <w:p w14:paraId="14CD7059" w14:textId="77777777" w:rsidR="00D4500C" w:rsidRPr="007E2939" w:rsidRDefault="00D4500C" w:rsidP="001E626E">
            <w:pPr>
              <w:spacing w:line="360" w:lineRule="auto"/>
              <w:jc w:val="center"/>
              <w:rPr>
                <w:rFonts w:ascii="Arial" w:hAnsi="Arial" w:cs="Arial"/>
              </w:rPr>
            </w:pPr>
            <w:r w:rsidRPr="007E2939">
              <w:rPr>
                <w:rFonts w:ascii="Arial" w:hAnsi="Arial" w:cs="Arial"/>
              </w:rPr>
              <w:t>Research limitation</w:t>
            </w:r>
          </w:p>
        </w:tc>
        <w:tc>
          <w:tcPr>
            <w:tcW w:w="472" w:type="pct"/>
            <w:vMerge w:val="restart"/>
            <w:vAlign w:val="center"/>
          </w:tcPr>
          <w:p w14:paraId="285BD323" w14:textId="77777777" w:rsidR="00D4500C" w:rsidRPr="007E2939" w:rsidRDefault="00D4500C" w:rsidP="001E626E">
            <w:pPr>
              <w:spacing w:line="360" w:lineRule="auto"/>
              <w:jc w:val="center"/>
              <w:rPr>
                <w:rFonts w:ascii="Arial" w:hAnsi="Arial" w:cs="Arial"/>
              </w:rPr>
            </w:pPr>
            <w:r w:rsidRPr="007E2939">
              <w:rPr>
                <w:rFonts w:ascii="Arial" w:hAnsi="Arial" w:cs="Arial"/>
              </w:rPr>
              <w:t>Further research recommendation</w:t>
            </w:r>
          </w:p>
        </w:tc>
      </w:tr>
      <w:tr w:rsidR="00D4500C" w:rsidRPr="007E2939" w14:paraId="51BBC4B8" w14:textId="77777777" w:rsidTr="001E626E">
        <w:tc>
          <w:tcPr>
            <w:tcW w:w="158" w:type="pct"/>
            <w:vMerge/>
            <w:vAlign w:val="center"/>
          </w:tcPr>
          <w:p w14:paraId="03701273" w14:textId="77777777" w:rsidR="00D4500C" w:rsidRPr="007E2939" w:rsidRDefault="00D4500C" w:rsidP="001E626E">
            <w:pPr>
              <w:spacing w:line="360" w:lineRule="auto"/>
              <w:jc w:val="center"/>
              <w:rPr>
                <w:rFonts w:ascii="Arial" w:hAnsi="Arial" w:cs="Arial"/>
              </w:rPr>
            </w:pPr>
          </w:p>
        </w:tc>
        <w:tc>
          <w:tcPr>
            <w:tcW w:w="376" w:type="pct"/>
            <w:vMerge/>
            <w:vAlign w:val="center"/>
          </w:tcPr>
          <w:p w14:paraId="7D80792D" w14:textId="77777777" w:rsidR="00D4500C" w:rsidRPr="007E2939" w:rsidRDefault="00D4500C" w:rsidP="001E626E">
            <w:pPr>
              <w:spacing w:line="360" w:lineRule="auto"/>
              <w:jc w:val="center"/>
              <w:rPr>
                <w:rFonts w:ascii="Arial" w:hAnsi="Arial" w:cs="Arial"/>
              </w:rPr>
            </w:pPr>
          </w:p>
        </w:tc>
        <w:tc>
          <w:tcPr>
            <w:tcW w:w="368" w:type="pct"/>
            <w:vMerge w:val="restart"/>
            <w:vAlign w:val="center"/>
          </w:tcPr>
          <w:p w14:paraId="44B5A46A" w14:textId="77777777" w:rsidR="00D4500C" w:rsidRPr="007E2939" w:rsidRDefault="00D4500C" w:rsidP="001E626E">
            <w:pPr>
              <w:spacing w:line="360" w:lineRule="auto"/>
              <w:jc w:val="center"/>
              <w:rPr>
                <w:rFonts w:ascii="Arial" w:hAnsi="Arial" w:cs="Arial"/>
              </w:rPr>
            </w:pPr>
            <w:r w:rsidRPr="007E2939">
              <w:rPr>
                <w:rFonts w:ascii="Arial" w:hAnsi="Arial" w:cs="Arial"/>
              </w:rPr>
              <w:t>Theory and/or Concept discussed</w:t>
            </w:r>
          </w:p>
        </w:tc>
        <w:tc>
          <w:tcPr>
            <w:tcW w:w="1113" w:type="pct"/>
            <w:gridSpan w:val="3"/>
            <w:vAlign w:val="center"/>
          </w:tcPr>
          <w:p w14:paraId="07715419" w14:textId="77777777" w:rsidR="00D4500C" w:rsidRPr="007E2939" w:rsidRDefault="00D4500C" w:rsidP="001E626E">
            <w:pPr>
              <w:spacing w:line="360" w:lineRule="auto"/>
              <w:jc w:val="center"/>
              <w:rPr>
                <w:rFonts w:ascii="Arial" w:hAnsi="Arial" w:cs="Arial"/>
              </w:rPr>
            </w:pPr>
            <w:r w:rsidRPr="007E2939">
              <w:rPr>
                <w:rFonts w:ascii="Arial" w:hAnsi="Arial" w:cs="Arial"/>
              </w:rPr>
              <w:t>Context</w:t>
            </w:r>
          </w:p>
        </w:tc>
        <w:tc>
          <w:tcPr>
            <w:tcW w:w="509" w:type="pct"/>
            <w:vMerge w:val="restart"/>
            <w:vAlign w:val="center"/>
          </w:tcPr>
          <w:p w14:paraId="21B3F18A" w14:textId="77777777" w:rsidR="00D4500C" w:rsidRPr="007E2939" w:rsidRDefault="00D4500C" w:rsidP="001E626E">
            <w:pPr>
              <w:spacing w:line="360" w:lineRule="auto"/>
              <w:jc w:val="center"/>
              <w:rPr>
                <w:rFonts w:ascii="Arial" w:hAnsi="Arial" w:cs="Arial"/>
              </w:rPr>
            </w:pPr>
            <w:r w:rsidRPr="007E2939">
              <w:rPr>
                <w:rFonts w:ascii="Arial" w:hAnsi="Arial" w:cs="Arial"/>
              </w:rPr>
              <w:t>Characteristic</w:t>
            </w:r>
          </w:p>
        </w:tc>
        <w:tc>
          <w:tcPr>
            <w:tcW w:w="1579" w:type="pct"/>
            <w:gridSpan w:val="4"/>
            <w:vAlign w:val="center"/>
          </w:tcPr>
          <w:p w14:paraId="0F46064A" w14:textId="77777777" w:rsidR="00D4500C" w:rsidRPr="007E2939" w:rsidRDefault="00D4500C" w:rsidP="001E626E">
            <w:pPr>
              <w:spacing w:line="360" w:lineRule="auto"/>
              <w:jc w:val="center"/>
              <w:rPr>
                <w:rFonts w:ascii="Arial" w:hAnsi="Arial" w:cs="Arial"/>
              </w:rPr>
            </w:pPr>
            <w:r w:rsidRPr="007E2939">
              <w:rPr>
                <w:rFonts w:ascii="Arial" w:hAnsi="Arial" w:cs="Arial"/>
              </w:rPr>
              <w:t>Methodology</w:t>
            </w:r>
          </w:p>
        </w:tc>
        <w:tc>
          <w:tcPr>
            <w:tcW w:w="424" w:type="pct"/>
            <w:vMerge/>
            <w:vAlign w:val="center"/>
          </w:tcPr>
          <w:p w14:paraId="0C6BFF7B" w14:textId="77777777" w:rsidR="00D4500C" w:rsidRPr="007E2939" w:rsidRDefault="00D4500C" w:rsidP="001E626E">
            <w:pPr>
              <w:spacing w:line="360" w:lineRule="auto"/>
              <w:jc w:val="center"/>
              <w:rPr>
                <w:rFonts w:ascii="Arial" w:hAnsi="Arial" w:cs="Arial"/>
              </w:rPr>
            </w:pPr>
          </w:p>
        </w:tc>
        <w:tc>
          <w:tcPr>
            <w:tcW w:w="472" w:type="pct"/>
            <w:vMerge/>
            <w:vAlign w:val="center"/>
          </w:tcPr>
          <w:p w14:paraId="2634C6CF" w14:textId="77777777" w:rsidR="00D4500C" w:rsidRPr="007E2939" w:rsidRDefault="00D4500C" w:rsidP="001E626E">
            <w:pPr>
              <w:spacing w:line="360" w:lineRule="auto"/>
              <w:jc w:val="center"/>
              <w:rPr>
                <w:rFonts w:ascii="Arial" w:hAnsi="Arial" w:cs="Arial"/>
              </w:rPr>
            </w:pPr>
          </w:p>
        </w:tc>
      </w:tr>
      <w:tr w:rsidR="00D4500C" w:rsidRPr="007E2939" w14:paraId="44F244FC" w14:textId="77777777" w:rsidTr="001E626E">
        <w:tc>
          <w:tcPr>
            <w:tcW w:w="158" w:type="pct"/>
            <w:vMerge/>
            <w:vAlign w:val="center"/>
          </w:tcPr>
          <w:p w14:paraId="2B76B8A9" w14:textId="77777777" w:rsidR="00D4500C" w:rsidRPr="007E2939" w:rsidRDefault="00D4500C" w:rsidP="001E626E">
            <w:pPr>
              <w:spacing w:line="360" w:lineRule="auto"/>
              <w:jc w:val="center"/>
              <w:rPr>
                <w:rFonts w:ascii="Arial" w:hAnsi="Arial" w:cs="Arial"/>
              </w:rPr>
            </w:pPr>
          </w:p>
        </w:tc>
        <w:tc>
          <w:tcPr>
            <w:tcW w:w="376" w:type="pct"/>
            <w:vMerge/>
            <w:vAlign w:val="center"/>
          </w:tcPr>
          <w:p w14:paraId="049701DE" w14:textId="77777777" w:rsidR="00D4500C" w:rsidRPr="007E2939" w:rsidRDefault="00D4500C" w:rsidP="001E626E">
            <w:pPr>
              <w:spacing w:line="360" w:lineRule="auto"/>
              <w:jc w:val="center"/>
              <w:rPr>
                <w:rFonts w:ascii="Arial" w:hAnsi="Arial" w:cs="Arial"/>
              </w:rPr>
            </w:pPr>
          </w:p>
        </w:tc>
        <w:tc>
          <w:tcPr>
            <w:tcW w:w="368" w:type="pct"/>
            <w:vMerge/>
            <w:vAlign w:val="center"/>
          </w:tcPr>
          <w:p w14:paraId="302F464A" w14:textId="77777777" w:rsidR="00D4500C" w:rsidRPr="007E2939" w:rsidRDefault="00D4500C" w:rsidP="001E626E">
            <w:pPr>
              <w:spacing w:line="360" w:lineRule="auto"/>
              <w:jc w:val="center"/>
              <w:rPr>
                <w:rFonts w:ascii="Arial" w:hAnsi="Arial" w:cs="Arial"/>
              </w:rPr>
            </w:pPr>
          </w:p>
        </w:tc>
        <w:tc>
          <w:tcPr>
            <w:tcW w:w="376" w:type="pct"/>
            <w:vMerge w:val="restart"/>
            <w:vAlign w:val="center"/>
          </w:tcPr>
          <w:p w14:paraId="20A857E8" w14:textId="77777777" w:rsidR="00D4500C" w:rsidRPr="007E2939" w:rsidRDefault="00D4500C" w:rsidP="001E626E">
            <w:pPr>
              <w:spacing w:line="360" w:lineRule="auto"/>
              <w:jc w:val="center"/>
              <w:rPr>
                <w:rFonts w:ascii="Arial" w:hAnsi="Arial" w:cs="Arial"/>
              </w:rPr>
            </w:pPr>
            <w:r w:rsidRPr="007E2939">
              <w:rPr>
                <w:rFonts w:ascii="Arial" w:hAnsi="Arial" w:cs="Arial"/>
              </w:rPr>
              <w:t>Research location</w:t>
            </w:r>
          </w:p>
        </w:tc>
        <w:tc>
          <w:tcPr>
            <w:tcW w:w="368" w:type="pct"/>
            <w:vMerge w:val="restart"/>
            <w:vAlign w:val="center"/>
          </w:tcPr>
          <w:p w14:paraId="75411CA5" w14:textId="77777777" w:rsidR="00D4500C" w:rsidRPr="007E2939" w:rsidRDefault="00D4500C" w:rsidP="001E626E">
            <w:pPr>
              <w:spacing w:line="360" w:lineRule="auto"/>
              <w:jc w:val="center"/>
              <w:rPr>
                <w:rFonts w:ascii="Arial" w:hAnsi="Arial" w:cs="Arial"/>
              </w:rPr>
            </w:pPr>
            <w:r w:rsidRPr="007E2939">
              <w:rPr>
                <w:rFonts w:ascii="Arial" w:hAnsi="Arial" w:cs="Arial"/>
              </w:rPr>
              <w:t>Sector and/or Industry</w:t>
            </w:r>
          </w:p>
        </w:tc>
        <w:tc>
          <w:tcPr>
            <w:tcW w:w="368" w:type="pct"/>
            <w:vMerge w:val="restart"/>
            <w:vAlign w:val="center"/>
          </w:tcPr>
          <w:p w14:paraId="5DF4DD13" w14:textId="77777777" w:rsidR="00D4500C" w:rsidRPr="007E2939" w:rsidRDefault="00D4500C" w:rsidP="001E626E">
            <w:pPr>
              <w:spacing w:line="360" w:lineRule="auto"/>
              <w:jc w:val="center"/>
              <w:rPr>
                <w:rFonts w:ascii="Arial" w:hAnsi="Arial" w:cs="Arial"/>
              </w:rPr>
            </w:pPr>
            <w:r w:rsidRPr="007E2939">
              <w:rPr>
                <w:rFonts w:ascii="Arial" w:hAnsi="Arial" w:cs="Arial"/>
              </w:rPr>
              <w:t xml:space="preserve">Analysis level </w:t>
            </w:r>
          </w:p>
        </w:tc>
        <w:tc>
          <w:tcPr>
            <w:tcW w:w="509" w:type="pct"/>
            <w:vMerge/>
            <w:vAlign w:val="center"/>
          </w:tcPr>
          <w:p w14:paraId="15D21AEA" w14:textId="77777777" w:rsidR="00D4500C" w:rsidRPr="007E2939" w:rsidRDefault="00D4500C" w:rsidP="001E626E">
            <w:pPr>
              <w:spacing w:line="360" w:lineRule="auto"/>
              <w:jc w:val="center"/>
              <w:rPr>
                <w:rFonts w:ascii="Arial" w:hAnsi="Arial" w:cs="Arial"/>
              </w:rPr>
            </w:pPr>
          </w:p>
        </w:tc>
        <w:tc>
          <w:tcPr>
            <w:tcW w:w="429" w:type="pct"/>
            <w:vMerge w:val="restart"/>
            <w:vAlign w:val="center"/>
          </w:tcPr>
          <w:p w14:paraId="385F43E6" w14:textId="77777777" w:rsidR="00D4500C" w:rsidRPr="007E2939" w:rsidRDefault="00D4500C" w:rsidP="001E626E">
            <w:pPr>
              <w:spacing w:line="360" w:lineRule="auto"/>
              <w:jc w:val="center"/>
              <w:rPr>
                <w:rFonts w:ascii="Arial" w:hAnsi="Arial" w:cs="Arial"/>
              </w:rPr>
            </w:pPr>
            <w:r w:rsidRPr="007E2939">
              <w:rPr>
                <w:rFonts w:ascii="Arial" w:hAnsi="Arial" w:cs="Arial"/>
              </w:rPr>
              <w:t>Conceptual</w:t>
            </w:r>
          </w:p>
        </w:tc>
        <w:tc>
          <w:tcPr>
            <w:tcW w:w="1150" w:type="pct"/>
            <w:gridSpan w:val="3"/>
            <w:vAlign w:val="center"/>
          </w:tcPr>
          <w:p w14:paraId="39BC8D92" w14:textId="77777777" w:rsidR="00D4500C" w:rsidRPr="007E2939" w:rsidRDefault="00D4500C" w:rsidP="001E626E">
            <w:pPr>
              <w:spacing w:line="360" w:lineRule="auto"/>
              <w:jc w:val="center"/>
              <w:rPr>
                <w:rFonts w:ascii="Arial" w:hAnsi="Arial" w:cs="Arial"/>
              </w:rPr>
            </w:pPr>
            <w:r w:rsidRPr="007E2939">
              <w:rPr>
                <w:rFonts w:ascii="Arial" w:hAnsi="Arial" w:cs="Arial"/>
              </w:rPr>
              <w:t>Empirical</w:t>
            </w:r>
          </w:p>
        </w:tc>
        <w:tc>
          <w:tcPr>
            <w:tcW w:w="424" w:type="pct"/>
            <w:vMerge/>
            <w:vAlign w:val="center"/>
          </w:tcPr>
          <w:p w14:paraId="118FEAAA" w14:textId="77777777" w:rsidR="00D4500C" w:rsidRPr="007E2939" w:rsidRDefault="00D4500C" w:rsidP="001E626E">
            <w:pPr>
              <w:spacing w:line="360" w:lineRule="auto"/>
              <w:jc w:val="center"/>
              <w:rPr>
                <w:rFonts w:ascii="Arial" w:hAnsi="Arial" w:cs="Arial"/>
              </w:rPr>
            </w:pPr>
          </w:p>
        </w:tc>
        <w:tc>
          <w:tcPr>
            <w:tcW w:w="472" w:type="pct"/>
            <w:vMerge/>
            <w:vAlign w:val="center"/>
          </w:tcPr>
          <w:p w14:paraId="592A4051" w14:textId="77777777" w:rsidR="00D4500C" w:rsidRPr="007E2939" w:rsidRDefault="00D4500C" w:rsidP="001E626E">
            <w:pPr>
              <w:spacing w:line="360" w:lineRule="auto"/>
              <w:jc w:val="center"/>
              <w:rPr>
                <w:rFonts w:ascii="Arial" w:hAnsi="Arial" w:cs="Arial"/>
              </w:rPr>
            </w:pPr>
          </w:p>
        </w:tc>
      </w:tr>
      <w:tr w:rsidR="00D4500C" w:rsidRPr="007E2939" w14:paraId="55BFDD97" w14:textId="77777777" w:rsidTr="001E626E">
        <w:tc>
          <w:tcPr>
            <w:tcW w:w="158" w:type="pct"/>
            <w:vMerge/>
            <w:vAlign w:val="center"/>
          </w:tcPr>
          <w:p w14:paraId="1D4D3E0F" w14:textId="77777777" w:rsidR="00D4500C" w:rsidRPr="007E2939" w:rsidRDefault="00D4500C" w:rsidP="001E626E">
            <w:pPr>
              <w:spacing w:line="360" w:lineRule="auto"/>
              <w:jc w:val="center"/>
              <w:rPr>
                <w:rFonts w:ascii="Arial" w:hAnsi="Arial" w:cs="Arial"/>
              </w:rPr>
            </w:pPr>
          </w:p>
        </w:tc>
        <w:tc>
          <w:tcPr>
            <w:tcW w:w="376" w:type="pct"/>
            <w:vMerge/>
            <w:vAlign w:val="center"/>
          </w:tcPr>
          <w:p w14:paraId="37527601" w14:textId="77777777" w:rsidR="00D4500C" w:rsidRPr="007E2939" w:rsidRDefault="00D4500C" w:rsidP="001E626E">
            <w:pPr>
              <w:spacing w:line="360" w:lineRule="auto"/>
              <w:jc w:val="center"/>
              <w:rPr>
                <w:rFonts w:ascii="Arial" w:hAnsi="Arial" w:cs="Arial"/>
              </w:rPr>
            </w:pPr>
          </w:p>
        </w:tc>
        <w:tc>
          <w:tcPr>
            <w:tcW w:w="368" w:type="pct"/>
            <w:vMerge/>
            <w:vAlign w:val="center"/>
          </w:tcPr>
          <w:p w14:paraId="7185D2CF" w14:textId="77777777" w:rsidR="00D4500C" w:rsidRPr="007E2939" w:rsidRDefault="00D4500C" w:rsidP="001E626E">
            <w:pPr>
              <w:spacing w:line="360" w:lineRule="auto"/>
              <w:jc w:val="center"/>
              <w:rPr>
                <w:rFonts w:ascii="Arial" w:hAnsi="Arial" w:cs="Arial"/>
              </w:rPr>
            </w:pPr>
          </w:p>
        </w:tc>
        <w:tc>
          <w:tcPr>
            <w:tcW w:w="376" w:type="pct"/>
            <w:vMerge/>
            <w:vAlign w:val="center"/>
          </w:tcPr>
          <w:p w14:paraId="35F55639" w14:textId="77777777" w:rsidR="00D4500C" w:rsidRPr="007E2939" w:rsidRDefault="00D4500C" w:rsidP="001E626E">
            <w:pPr>
              <w:spacing w:line="360" w:lineRule="auto"/>
              <w:jc w:val="center"/>
              <w:rPr>
                <w:rFonts w:ascii="Arial" w:hAnsi="Arial" w:cs="Arial"/>
              </w:rPr>
            </w:pPr>
          </w:p>
        </w:tc>
        <w:tc>
          <w:tcPr>
            <w:tcW w:w="368" w:type="pct"/>
            <w:vMerge/>
            <w:vAlign w:val="center"/>
          </w:tcPr>
          <w:p w14:paraId="1FF98879" w14:textId="77777777" w:rsidR="00D4500C" w:rsidRPr="007E2939" w:rsidRDefault="00D4500C" w:rsidP="001E626E">
            <w:pPr>
              <w:spacing w:line="360" w:lineRule="auto"/>
              <w:jc w:val="center"/>
              <w:rPr>
                <w:rFonts w:ascii="Arial" w:hAnsi="Arial" w:cs="Arial"/>
              </w:rPr>
            </w:pPr>
          </w:p>
        </w:tc>
        <w:tc>
          <w:tcPr>
            <w:tcW w:w="368" w:type="pct"/>
            <w:vMerge/>
            <w:vAlign w:val="center"/>
          </w:tcPr>
          <w:p w14:paraId="42F55389" w14:textId="77777777" w:rsidR="00D4500C" w:rsidRPr="007E2939" w:rsidRDefault="00D4500C" w:rsidP="001E626E">
            <w:pPr>
              <w:spacing w:line="360" w:lineRule="auto"/>
              <w:jc w:val="center"/>
              <w:rPr>
                <w:rFonts w:ascii="Arial" w:hAnsi="Arial" w:cs="Arial"/>
              </w:rPr>
            </w:pPr>
          </w:p>
        </w:tc>
        <w:tc>
          <w:tcPr>
            <w:tcW w:w="509" w:type="pct"/>
            <w:vMerge/>
            <w:vAlign w:val="center"/>
          </w:tcPr>
          <w:p w14:paraId="589296D8" w14:textId="77777777" w:rsidR="00D4500C" w:rsidRPr="007E2939" w:rsidRDefault="00D4500C" w:rsidP="001E626E">
            <w:pPr>
              <w:spacing w:line="360" w:lineRule="auto"/>
              <w:jc w:val="center"/>
              <w:rPr>
                <w:rFonts w:ascii="Arial" w:hAnsi="Arial" w:cs="Arial"/>
              </w:rPr>
            </w:pPr>
          </w:p>
        </w:tc>
        <w:tc>
          <w:tcPr>
            <w:tcW w:w="429" w:type="pct"/>
            <w:vMerge/>
            <w:vAlign w:val="center"/>
          </w:tcPr>
          <w:p w14:paraId="0AB1C1C6" w14:textId="77777777" w:rsidR="00D4500C" w:rsidRPr="007E2939" w:rsidRDefault="00D4500C" w:rsidP="001E626E">
            <w:pPr>
              <w:spacing w:line="360" w:lineRule="auto"/>
              <w:jc w:val="center"/>
              <w:rPr>
                <w:rFonts w:ascii="Arial" w:hAnsi="Arial" w:cs="Arial"/>
              </w:rPr>
            </w:pPr>
          </w:p>
        </w:tc>
        <w:tc>
          <w:tcPr>
            <w:tcW w:w="344" w:type="pct"/>
            <w:vAlign w:val="center"/>
          </w:tcPr>
          <w:p w14:paraId="60639295" w14:textId="77777777" w:rsidR="00D4500C" w:rsidRPr="007E2939" w:rsidRDefault="00D4500C" w:rsidP="001E626E">
            <w:pPr>
              <w:spacing w:line="360" w:lineRule="auto"/>
              <w:jc w:val="center"/>
              <w:rPr>
                <w:rFonts w:ascii="Arial" w:hAnsi="Arial" w:cs="Arial"/>
              </w:rPr>
            </w:pPr>
            <w:r w:rsidRPr="007E2939">
              <w:rPr>
                <w:rFonts w:ascii="Arial" w:hAnsi="Arial" w:cs="Arial"/>
              </w:rPr>
              <w:t>Qualitative</w:t>
            </w:r>
          </w:p>
        </w:tc>
        <w:tc>
          <w:tcPr>
            <w:tcW w:w="388" w:type="pct"/>
            <w:vAlign w:val="center"/>
          </w:tcPr>
          <w:p w14:paraId="66FB4D2C" w14:textId="77777777" w:rsidR="00D4500C" w:rsidRPr="007E2939" w:rsidRDefault="00D4500C" w:rsidP="001E626E">
            <w:pPr>
              <w:spacing w:line="360" w:lineRule="auto"/>
              <w:jc w:val="center"/>
              <w:rPr>
                <w:rFonts w:ascii="Arial" w:hAnsi="Arial" w:cs="Arial"/>
              </w:rPr>
            </w:pPr>
            <w:r w:rsidRPr="007E2939">
              <w:rPr>
                <w:rFonts w:ascii="Arial" w:hAnsi="Arial" w:cs="Arial"/>
              </w:rPr>
              <w:t>Quantitative</w:t>
            </w:r>
          </w:p>
        </w:tc>
        <w:tc>
          <w:tcPr>
            <w:tcW w:w="417" w:type="pct"/>
            <w:vAlign w:val="center"/>
          </w:tcPr>
          <w:p w14:paraId="51CC722A" w14:textId="77777777" w:rsidR="00D4500C" w:rsidRPr="007E2939" w:rsidRDefault="00D4500C" w:rsidP="001E626E">
            <w:pPr>
              <w:spacing w:line="360" w:lineRule="auto"/>
              <w:jc w:val="center"/>
              <w:rPr>
                <w:rFonts w:ascii="Arial" w:hAnsi="Arial" w:cs="Arial"/>
              </w:rPr>
            </w:pPr>
            <w:r w:rsidRPr="007E2939">
              <w:rPr>
                <w:rFonts w:ascii="Arial" w:hAnsi="Arial" w:cs="Arial"/>
              </w:rPr>
              <w:t>Mixed method</w:t>
            </w:r>
          </w:p>
        </w:tc>
        <w:tc>
          <w:tcPr>
            <w:tcW w:w="424" w:type="pct"/>
            <w:vMerge/>
            <w:vAlign w:val="center"/>
          </w:tcPr>
          <w:p w14:paraId="2B44A5A7" w14:textId="77777777" w:rsidR="00D4500C" w:rsidRPr="007E2939" w:rsidRDefault="00D4500C" w:rsidP="001E626E">
            <w:pPr>
              <w:spacing w:line="360" w:lineRule="auto"/>
              <w:jc w:val="center"/>
              <w:rPr>
                <w:rFonts w:ascii="Arial" w:hAnsi="Arial" w:cs="Arial"/>
              </w:rPr>
            </w:pPr>
          </w:p>
        </w:tc>
        <w:tc>
          <w:tcPr>
            <w:tcW w:w="472" w:type="pct"/>
            <w:vMerge/>
            <w:vAlign w:val="center"/>
          </w:tcPr>
          <w:p w14:paraId="0393BCD5" w14:textId="77777777" w:rsidR="00D4500C" w:rsidRPr="007E2939" w:rsidRDefault="00D4500C" w:rsidP="001E626E">
            <w:pPr>
              <w:spacing w:line="360" w:lineRule="auto"/>
              <w:jc w:val="center"/>
              <w:rPr>
                <w:rFonts w:ascii="Arial" w:hAnsi="Arial" w:cs="Arial"/>
              </w:rPr>
            </w:pPr>
          </w:p>
        </w:tc>
      </w:tr>
      <w:tr w:rsidR="00D4500C" w:rsidRPr="007E2939" w14:paraId="1EDBD399" w14:textId="77777777" w:rsidTr="001E626E">
        <w:tc>
          <w:tcPr>
            <w:tcW w:w="158" w:type="pct"/>
            <w:vAlign w:val="center"/>
          </w:tcPr>
          <w:p w14:paraId="3CA4DC1F" w14:textId="77777777" w:rsidR="00D4500C" w:rsidRPr="007E2939" w:rsidRDefault="00D4500C" w:rsidP="001E626E">
            <w:pPr>
              <w:spacing w:line="360" w:lineRule="auto"/>
              <w:jc w:val="center"/>
              <w:rPr>
                <w:rFonts w:ascii="Arial" w:hAnsi="Arial" w:cs="Arial"/>
              </w:rPr>
            </w:pPr>
            <w:r w:rsidRPr="007E2939">
              <w:rPr>
                <w:rFonts w:ascii="Arial" w:hAnsi="Arial" w:cs="Arial"/>
              </w:rPr>
              <w:t>1</w:t>
            </w:r>
          </w:p>
        </w:tc>
        <w:tc>
          <w:tcPr>
            <w:tcW w:w="376" w:type="pct"/>
            <w:vAlign w:val="center"/>
          </w:tcPr>
          <w:p w14:paraId="1B9D6B2E"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{"citationItems":[{"id":"ITEM-1","itemData":{"DOI":"10.3390/su8111212","ISSN":"20711050","abstract":"Small and medium-sized enterprises (SMEs) are increasingly aware of the benefits of closing loops and improving resource efficiency, such as saving material costs, creating competitive advantages, and accessing new markets. At the same time, however, various barriers pose challenges to small businesses in their transition to a circular economy, namely a lack of financial resources and lack of technical skills. The aim of this paper is to increase knowledge and understanding about the barriers and enablers experienced by SMEs when implementing circular economy business models. Looking first at the barriers that prevent SMEs from realising the benefits of the circular economy, an investigation is carried out in the form of a literature review and an analysis of a sample of SME case studies that are featured on the GreenEcoNet EU-funded web platform. Several enabling factors that help SMEs adopt circular economy practices are then identified. The paper concludes that although various policy instruments are available to help SMEs incorporate circular economy principles into their business models, several barriers remain. The authors recommend that European and national policies strengthen their focus on greening consumer preferences, market value chains and company cultures, and support the recognition of SMEs' green business models. This can be achieved through the creation of dedicated marketplaces and communities of practice, for example..","author":[{"dropping-particle":"","family":"Rizos","given":"Vasileios","non-dropping-particle":"","parse-names":false,"suffix":""},{"dropping-particle":"","family":"Behrens","given":"Arno","non-dropping-particle":"","parse-names":false,"suffix":""},{"dropping-particle":"","family":"Gaast","given":"Wytze","non-dropping-particle":"van der","parse-names":false,"suffix":""},{"dropping-particle":"","family":"Hofman","given":"Erwin","non-dropping-particle":"","parse-names":false,"suffix":""},{"dropping-particle":"","family":"Ioannou","given":"Anastasia","non-dropping-particle":"","parse-names":false,"suffix":""},{"dropping-particle":"","family":"Kafyeke","given":"Terri","non-dropping-particle":"","parse-names":false,"suffix":""},{"dropping-particle":"","family":"Flamos","given":"Alexandros","non-dropping-particle":"","parse-names":false,"suffix":""},{"dropping-particle":"","family":"Rinaldi","given":"Roberto","non-dropping-particle":"","parse-names":false,"suffix":""},{"dropping-particle":"","family":"Papadelis","given":"Sotiris","non-dropping-particle":"","parse-names":false,"suffix":""},{"dropping-particle":"","family":"Hirschnitz-Garbers","given":"Martin","non-dropping-particle":"","parse-names":false,"suffix":""},{"dropping-particle":"","family":"Topi","given":"Corrado","non-dropping-particle":"","parse-names":false,"suffix":""}],"container-title":"Sustainability","id":"ITEM-1","issue":"11","issued":{"date-parts":[["2016"]]},"title":"Implementation of circular economy business models by small and medium-sized enterprises (SMEs): Barriers and enablers","type":"article-journal","volume":"8"},"uris":["http://www.mendeley.com/documents/?uuid=44d025ea-cc6a-4608-9f9f-0a02f648154c"]}],"mendeley":{"formattedCitation":"(Rizos et al., 2016)","manualFormatting":"Rizos et al. (2016)","plainTextFormattedCitation":"(Rizos et al., 2016)","previouslyFormattedCitation":"(Rizos et al., 2016)"},"properties":{"noteIndex":0},"schema":"https://github.com/citation-style-language/schema/raw/master/csl-citation.json"}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Rizos et al. (2016)</w:t>
            </w:r>
            <w:r w:rsidRPr="007E2939">
              <w:rPr>
                <w:rFonts w:ascii="Arial" w:hAnsi="Arial" w:cs="Arial"/>
              </w:rPr>
              <w:fldChar w:fldCharType="end"/>
            </w:r>
          </w:p>
        </w:tc>
        <w:tc>
          <w:tcPr>
            <w:tcW w:w="368" w:type="pct"/>
            <w:vAlign w:val="center"/>
          </w:tcPr>
          <w:p w14:paraId="012575FE"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76" w:type="pct"/>
            <w:vAlign w:val="center"/>
          </w:tcPr>
          <w:p w14:paraId="152C402E" w14:textId="77777777" w:rsidR="00D4500C" w:rsidRPr="007E2939" w:rsidRDefault="00D4500C" w:rsidP="001E626E">
            <w:pPr>
              <w:spacing w:line="360" w:lineRule="auto"/>
              <w:jc w:val="center"/>
              <w:rPr>
                <w:rFonts w:ascii="Arial" w:hAnsi="Arial" w:cs="Arial"/>
              </w:rPr>
            </w:pPr>
            <w:r w:rsidRPr="007E2939">
              <w:rPr>
                <w:rFonts w:ascii="Arial" w:hAnsi="Arial" w:cs="Arial"/>
              </w:rPr>
              <w:t>Europe</w:t>
            </w:r>
          </w:p>
        </w:tc>
        <w:tc>
          <w:tcPr>
            <w:tcW w:w="368" w:type="pct"/>
            <w:vAlign w:val="center"/>
          </w:tcPr>
          <w:p w14:paraId="5DA6F34F" w14:textId="77777777" w:rsidR="00D4500C" w:rsidRPr="007E2939" w:rsidRDefault="00D4500C" w:rsidP="001E626E">
            <w:pPr>
              <w:pStyle w:val="ListParagraph"/>
              <w:numPr>
                <w:ilvl w:val="0"/>
                <w:numId w:val="1"/>
              </w:numPr>
              <w:spacing w:line="360" w:lineRule="auto"/>
              <w:ind w:left="179" w:hanging="179"/>
              <w:jc w:val="both"/>
              <w:rPr>
                <w:rFonts w:ascii="Arial" w:hAnsi="Arial" w:cs="Arial"/>
              </w:rPr>
            </w:pPr>
            <w:r w:rsidRPr="007E2939">
              <w:rPr>
                <w:rFonts w:ascii="Arial" w:hAnsi="Arial" w:cs="Arial"/>
              </w:rPr>
              <w:t xml:space="preserve">Manufacturing </w:t>
            </w:r>
          </w:p>
          <w:p w14:paraId="68D117CB" w14:textId="77777777" w:rsidR="00D4500C" w:rsidRPr="007E2939" w:rsidRDefault="00D4500C" w:rsidP="001E626E">
            <w:pPr>
              <w:pStyle w:val="ListParagraph"/>
              <w:numPr>
                <w:ilvl w:val="0"/>
                <w:numId w:val="1"/>
              </w:numPr>
              <w:spacing w:line="360" w:lineRule="auto"/>
              <w:ind w:left="179" w:hanging="179"/>
              <w:jc w:val="both"/>
              <w:rPr>
                <w:rFonts w:ascii="Arial" w:hAnsi="Arial" w:cs="Arial"/>
              </w:rPr>
            </w:pPr>
            <w:r w:rsidRPr="007E2939">
              <w:rPr>
                <w:rFonts w:ascii="Arial" w:hAnsi="Arial" w:cs="Arial"/>
              </w:rPr>
              <w:t>Information and communication</w:t>
            </w:r>
          </w:p>
          <w:p w14:paraId="388AB318" w14:textId="77777777" w:rsidR="00D4500C" w:rsidRPr="007E2939" w:rsidRDefault="00D4500C" w:rsidP="001E626E">
            <w:pPr>
              <w:pStyle w:val="ListParagraph"/>
              <w:numPr>
                <w:ilvl w:val="0"/>
                <w:numId w:val="1"/>
              </w:numPr>
              <w:spacing w:line="360" w:lineRule="auto"/>
              <w:ind w:left="179" w:hanging="179"/>
              <w:jc w:val="both"/>
              <w:rPr>
                <w:rFonts w:ascii="Arial" w:hAnsi="Arial" w:cs="Arial"/>
              </w:rPr>
            </w:pPr>
            <w:r w:rsidRPr="007E2939">
              <w:rPr>
                <w:rFonts w:ascii="Arial" w:hAnsi="Arial" w:cs="Arial"/>
              </w:rPr>
              <w:t>Wholesale and retail</w:t>
            </w:r>
          </w:p>
          <w:p w14:paraId="3C056C39" w14:textId="77777777" w:rsidR="00D4500C" w:rsidRPr="007E2939" w:rsidRDefault="00D4500C" w:rsidP="001E626E">
            <w:pPr>
              <w:pStyle w:val="ListParagraph"/>
              <w:numPr>
                <w:ilvl w:val="0"/>
                <w:numId w:val="1"/>
              </w:numPr>
              <w:spacing w:line="360" w:lineRule="auto"/>
              <w:ind w:left="179" w:hanging="179"/>
              <w:jc w:val="both"/>
              <w:rPr>
                <w:rFonts w:ascii="Arial" w:hAnsi="Arial" w:cs="Arial"/>
              </w:rPr>
            </w:pPr>
            <w:r w:rsidRPr="007E2939">
              <w:rPr>
                <w:rFonts w:ascii="Arial" w:hAnsi="Arial" w:cs="Arial"/>
              </w:rPr>
              <w:t>Electricity, gas,</w:t>
            </w:r>
          </w:p>
          <w:p w14:paraId="37158BA4" w14:textId="77777777" w:rsidR="00D4500C" w:rsidRPr="007E2939" w:rsidRDefault="00D4500C" w:rsidP="001E626E">
            <w:pPr>
              <w:pStyle w:val="ListParagraph"/>
              <w:spacing w:line="360" w:lineRule="auto"/>
              <w:ind w:left="179"/>
              <w:jc w:val="both"/>
              <w:rPr>
                <w:rFonts w:ascii="Arial" w:hAnsi="Arial" w:cs="Arial"/>
              </w:rPr>
            </w:pPr>
            <w:r w:rsidRPr="007E2939">
              <w:rPr>
                <w:rFonts w:ascii="Arial" w:hAnsi="Arial" w:cs="Arial"/>
              </w:rPr>
              <w:t xml:space="preserve">steam, and air </w:t>
            </w:r>
            <w:r w:rsidRPr="007E2939">
              <w:rPr>
                <w:rFonts w:ascii="Arial" w:hAnsi="Arial" w:cs="Arial"/>
              </w:rPr>
              <w:lastRenderedPageBreak/>
              <w:t>conditioning supply</w:t>
            </w:r>
          </w:p>
          <w:p w14:paraId="509AF09D" w14:textId="77777777" w:rsidR="00D4500C" w:rsidRPr="007E2939" w:rsidRDefault="00D4500C" w:rsidP="001E626E">
            <w:pPr>
              <w:pStyle w:val="ListParagraph"/>
              <w:numPr>
                <w:ilvl w:val="0"/>
                <w:numId w:val="1"/>
              </w:numPr>
              <w:spacing w:line="360" w:lineRule="auto"/>
              <w:ind w:left="179" w:hanging="179"/>
              <w:jc w:val="both"/>
              <w:rPr>
                <w:rFonts w:ascii="Arial" w:hAnsi="Arial" w:cs="Arial"/>
              </w:rPr>
            </w:pPr>
            <w:r w:rsidRPr="007E2939">
              <w:rPr>
                <w:rFonts w:ascii="Arial" w:hAnsi="Arial" w:cs="Arial"/>
              </w:rPr>
              <w:t xml:space="preserve">Accommodation and food service activities </w:t>
            </w:r>
          </w:p>
          <w:p w14:paraId="630D8F4D" w14:textId="77777777" w:rsidR="00D4500C" w:rsidRPr="007E2939" w:rsidRDefault="00D4500C" w:rsidP="001E626E">
            <w:pPr>
              <w:pStyle w:val="ListParagraph"/>
              <w:numPr>
                <w:ilvl w:val="0"/>
                <w:numId w:val="1"/>
              </w:numPr>
              <w:spacing w:line="360" w:lineRule="auto"/>
              <w:ind w:left="179" w:hanging="179"/>
              <w:jc w:val="both"/>
              <w:rPr>
                <w:rFonts w:ascii="Arial" w:hAnsi="Arial" w:cs="Arial"/>
              </w:rPr>
            </w:pPr>
            <w:r w:rsidRPr="007E2939">
              <w:rPr>
                <w:rFonts w:ascii="Arial" w:hAnsi="Arial" w:cs="Arial"/>
              </w:rPr>
              <w:t xml:space="preserve">Transportation and storage </w:t>
            </w:r>
          </w:p>
          <w:p w14:paraId="1A3F55C4" w14:textId="77777777" w:rsidR="00D4500C" w:rsidRPr="007E2939" w:rsidRDefault="00D4500C" w:rsidP="001E626E">
            <w:pPr>
              <w:pStyle w:val="ListParagraph"/>
              <w:numPr>
                <w:ilvl w:val="0"/>
                <w:numId w:val="1"/>
              </w:numPr>
              <w:spacing w:line="360" w:lineRule="auto"/>
              <w:ind w:left="179" w:hanging="179"/>
              <w:jc w:val="both"/>
              <w:rPr>
                <w:rFonts w:ascii="Arial" w:hAnsi="Arial" w:cs="Arial"/>
              </w:rPr>
            </w:pPr>
            <w:r w:rsidRPr="007E2939">
              <w:rPr>
                <w:rFonts w:ascii="Arial" w:hAnsi="Arial" w:cs="Arial"/>
              </w:rPr>
              <w:t xml:space="preserve">Administrative support </w:t>
            </w:r>
          </w:p>
          <w:p w14:paraId="0AC9FD0C" w14:textId="77777777" w:rsidR="00D4500C" w:rsidRPr="007E2939" w:rsidRDefault="00D4500C" w:rsidP="001E626E">
            <w:pPr>
              <w:pStyle w:val="ListParagraph"/>
              <w:numPr>
                <w:ilvl w:val="0"/>
                <w:numId w:val="1"/>
              </w:numPr>
              <w:spacing w:line="360" w:lineRule="auto"/>
              <w:ind w:left="179" w:hanging="179"/>
              <w:jc w:val="both"/>
              <w:rPr>
                <w:rFonts w:ascii="Arial" w:hAnsi="Arial" w:cs="Arial"/>
              </w:rPr>
            </w:pPr>
            <w:r w:rsidRPr="007E2939">
              <w:rPr>
                <w:rFonts w:ascii="Arial" w:hAnsi="Arial" w:cs="Arial"/>
              </w:rPr>
              <w:t>Arts,</w:t>
            </w:r>
          </w:p>
          <w:p w14:paraId="01FD7BB9" w14:textId="77777777" w:rsidR="00D4500C" w:rsidRPr="007E2939" w:rsidRDefault="00D4500C" w:rsidP="001E626E">
            <w:pPr>
              <w:pStyle w:val="ListParagraph"/>
              <w:spacing w:line="360" w:lineRule="auto"/>
              <w:ind w:left="179"/>
              <w:jc w:val="both"/>
              <w:rPr>
                <w:rFonts w:ascii="Arial" w:hAnsi="Arial" w:cs="Arial"/>
              </w:rPr>
            </w:pPr>
            <w:r w:rsidRPr="007E2939">
              <w:rPr>
                <w:rFonts w:ascii="Arial" w:hAnsi="Arial" w:cs="Arial"/>
              </w:rPr>
              <w:t>entertainment, recreation</w:t>
            </w:r>
          </w:p>
          <w:p w14:paraId="74800AD2" w14:textId="77777777" w:rsidR="00D4500C" w:rsidRPr="007E2939" w:rsidRDefault="00D4500C" w:rsidP="001E626E">
            <w:pPr>
              <w:pStyle w:val="ListParagraph"/>
              <w:numPr>
                <w:ilvl w:val="0"/>
                <w:numId w:val="1"/>
              </w:numPr>
              <w:spacing w:line="360" w:lineRule="auto"/>
              <w:ind w:left="179" w:hanging="179"/>
              <w:jc w:val="both"/>
              <w:rPr>
                <w:rFonts w:ascii="Arial" w:hAnsi="Arial" w:cs="Arial"/>
              </w:rPr>
            </w:pPr>
            <w:r w:rsidRPr="007E2939">
              <w:rPr>
                <w:rFonts w:ascii="Arial" w:hAnsi="Arial" w:cs="Arial"/>
              </w:rPr>
              <w:t xml:space="preserve">Human </w:t>
            </w:r>
            <w:r w:rsidRPr="007E2939">
              <w:rPr>
                <w:rFonts w:ascii="Arial" w:hAnsi="Arial" w:cs="Arial"/>
              </w:rPr>
              <w:lastRenderedPageBreak/>
              <w:t>health and social work activities</w:t>
            </w:r>
          </w:p>
        </w:tc>
        <w:tc>
          <w:tcPr>
            <w:tcW w:w="368" w:type="pct"/>
            <w:vAlign w:val="center"/>
          </w:tcPr>
          <w:p w14:paraId="6F2C1758"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Organization</w:t>
            </w:r>
          </w:p>
        </w:tc>
        <w:tc>
          <w:tcPr>
            <w:tcW w:w="509" w:type="pct"/>
            <w:vAlign w:val="center"/>
          </w:tcPr>
          <w:p w14:paraId="098881E2" w14:textId="77777777" w:rsidR="00D4500C" w:rsidRPr="007E2939" w:rsidRDefault="00D4500C" w:rsidP="001E626E">
            <w:pPr>
              <w:spacing w:line="360" w:lineRule="auto"/>
              <w:rPr>
                <w:rFonts w:ascii="Arial" w:hAnsi="Arial" w:cs="Arial"/>
              </w:rPr>
            </w:pPr>
            <w:r w:rsidRPr="007E2939">
              <w:rPr>
                <w:rFonts w:ascii="Arial" w:hAnsi="Arial" w:cs="Arial"/>
              </w:rPr>
              <w:t>Barriers and enablers experienced by SMEs when implementing a CE-based business model</w:t>
            </w:r>
          </w:p>
          <w:p w14:paraId="54EB78C4" w14:textId="77777777" w:rsidR="00D4500C" w:rsidRPr="007E2939" w:rsidRDefault="00D4500C" w:rsidP="001E626E">
            <w:pPr>
              <w:spacing w:line="360" w:lineRule="auto"/>
              <w:rPr>
                <w:rFonts w:ascii="Arial" w:hAnsi="Arial" w:cs="Arial"/>
              </w:rPr>
            </w:pPr>
          </w:p>
        </w:tc>
        <w:tc>
          <w:tcPr>
            <w:tcW w:w="429" w:type="pct"/>
            <w:vAlign w:val="center"/>
          </w:tcPr>
          <w:p w14:paraId="6884E3D9"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w:t>
            </w:r>
          </w:p>
        </w:tc>
        <w:tc>
          <w:tcPr>
            <w:tcW w:w="344" w:type="pct"/>
            <w:vAlign w:val="center"/>
          </w:tcPr>
          <w:p w14:paraId="4D25E435" w14:textId="77777777" w:rsidR="00D4500C" w:rsidRPr="007E2939" w:rsidRDefault="00D4500C" w:rsidP="001E626E">
            <w:pPr>
              <w:spacing w:line="360" w:lineRule="auto"/>
              <w:jc w:val="center"/>
              <w:rPr>
                <w:rFonts w:ascii="Arial" w:hAnsi="Arial" w:cs="Arial"/>
              </w:rPr>
            </w:pPr>
            <w:r w:rsidRPr="007E2939">
              <w:rPr>
                <w:rFonts w:ascii="Arial" w:hAnsi="Arial" w:cs="Arial"/>
              </w:rPr>
              <w:t>Case study</w:t>
            </w:r>
          </w:p>
        </w:tc>
        <w:tc>
          <w:tcPr>
            <w:tcW w:w="388" w:type="pct"/>
            <w:vAlign w:val="center"/>
          </w:tcPr>
          <w:p w14:paraId="41B0A011"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17" w:type="pct"/>
            <w:vAlign w:val="center"/>
          </w:tcPr>
          <w:p w14:paraId="2FF98BB6"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24" w:type="pct"/>
            <w:vAlign w:val="center"/>
          </w:tcPr>
          <w:p w14:paraId="13718F4D" w14:textId="77777777" w:rsidR="00D4500C" w:rsidRPr="007E2939" w:rsidRDefault="00D4500C" w:rsidP="001E626E">
            <w:pPr>
              <w:spacing w:line="360" w:lineRule="auto"/>
              <w:jc w:val="center"/>
              <w:rPr>
                <w:rFonts w:ascii="Arial" w:hAnsi="Arial" w:cs="Arial"/>
              </w:rPr>
            </w:pPr>
            <w:r w:rsidRPr="007E2939">
              <w:rPr>
                <w:rFonts w:ascii="Arial" w:hAnsi="Arial" w:cs="Arial"/>
              </w:rPr>
              <w:t>Did not research enablers specifically</w:t>
            </w:r>
          </w:p>
          <w:p w14:paraId="069329B5" w14:textId="77777777" w:rsidR="00D4500C" w:rsidRPr="007E2939" w:rsidRDefault="00D4500C" w:rsidP="001E626E">
            <w:pPr>
              <w:spacing w:line="360" w:lineRule="auto"/>
              <w:jc w:val="center"/>
              <w:rPr>
                <w:rFonts w:ascii="Arial" w:hAnsi="Arial" w:cs="Arial"/>
              </w:rPr>
            </w:pPr>
          </w:p>
        </w:tc>
        <w:tc>
          <w:tcPr>
            <w:tcW w:w="472" w:type="pct"/>
            <w:vAlign w:val="center"/>
          </w:tcPr>
          <w:p w14:paraId="56B3C916" w14:textId="77777777" w:rsidR="00D4500C" w:rsidRPr="007E2939" w:rsidRDefault="00D4500C" w:rsidP="001E626E">
            <w:pPr>
              <w:spacing w:line="360" w:lineRule="auto"/>
              <w:jc w:val="center"/>
              <w:rPr>
                <w:rFonts w:ascii="Arial" w:hAnsi="Arial" w:cs="Arial"/>
              </w:rPr>
            </w:pPr>
            <w:r w:rsidRPr="007E2939">
              <w:rPr>
                <w:rFonts w:ascii="Arial" w:hAnsi="Arial" w:cs="Arial"/>
              </w:rPr>
              <w:t xml:space="preserve">Develop a robust design for community-based SMEs (whatever it takes to build capacity) on the basis of community </w:t>
            </w:r>
            <w:r w:rsidRPr="007E2939">
              <w:rPr>
                <w:rFonts w:ascii="Arial" w:hAnsi="Arial" w:cs="Arial"/>
              </w:rPr>
              <w:lastRenderedPageBreak/>
              <w:t>learning theory</w:t>
            </w:r>
          </w:p>
          <w:p w14:paraId="4A364402" w14:textId="77777777" w:rsidR="00D4500C" w:rsidRPr="007E2939" w:rsidRDefault="00D4500C" w:rsidP="001E626E">
            <w:pPr>
              <w:spacing w:line="360" w:lineRule="auto"/>
              <w:jc w:val="center"/>
              <w:rPr>
                <w:rFonts w:ascii="Arial" w:hAnsi="Arial" w:cs="Arial"/>
              </w:rPr>
            </w:pPr>
          </w:p>
        </w:tc>
      </w:tr>
      <w:tr w:rsidR="00D4500C" w:rsidRPr="007E2939" w14:paraId="7AED0669" w14:textId="77777777" w:rsidTr="001E626E">
        <w:tc>
          <w:tcPr>
            <w:tcW w:w="158" w:type="pct"/>
            <w:vAlign w:val="center"/>
          </w:tcPr>
          <w:p w14:paraId="72516A5F"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2</w:t>
            </w:r>
          </w:p>
        </w:tc>
        <w:tc>
          <w:tcPr>
            <w:tcW w:w="376" w:type="pct"/>
            <w:vAlign w:val="center"/>
          </w:tcPr>
          <w:p w14:paraId="386ABDE4" w14:textId="77777777" w:rsidR="00D4500C" w:rsidRPr="007E2939" w:rsidRDefault="00D4500C" w:rsidP="001E626E">
            <w:pPr>
              <w:spacing w:line="360" w:lineRule="auto"/>
              <w:jc w:val="both"/>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{"citationItems":[{"id":"ITEM-1","itemData":{"DOI":"10.1108/JMTM-02-2018-0061","ISSN":"1741038X","abstract":"Purpose: The purpose of this paper is to investigate the managerial practices that companies can implement in order to design a circular economy business model and how companies can create and capture value from a circular economy business model. Design/methodology/approach: The paper adopts a single case study methodology with semi-structured interviews and company, supplier, and manufacturing site visits, conducted in a small-to-medium-size Italian company operating in the office supply industry. Findings: The theoretical setting maps a set of managerial practices for a circular economy business model and sets the research gaps and questions in a research framework designed along three main dimensions: value network, customer value proposition and interface, and managerial commitment. Then, through an empirical analysis, the findings reveal that the proposed dimensions are interdependent and reinforce each other. Moreover, the managerial commitment as moderating factor between the value network and the customer value proposition and interface dimensions is identified as essential for reaching the intended goals of circular economy business models. Research limitations/implications: This study maximizes the depth of the phenomenon under investigation by leveraging a single case study methodology, which ideally helps in a theory-testing approach as in the present case. Future research opportunities could be found in qualitative and quantitative studies to increase the generalizability of the findings of this paper. Practical implications: The paper presents a set of relevant managerial practices for circular economy business models that can be used by managers who have the will to embrace in practice circular economy principles to support the design, change, or upgrade of the business model of companies within which they operate. Originality/value: An interdisciplinary approach that integrates the research streams of circular economy, social psychology, organizational behavior, and business model design has been pursued to test the theoretical setting and the research framework for circular economy business models in a real-world context.","author":[{"dropping-particle":"","family":"Ünal","given":"Enes","non-dropping-particle":"","parse-names":false,"suffix":""},{"dropping-particle":"","family":"Urbinati","given":"Andrea","non-dropping-particle":"","parse-names":false,"suffix":""},{"dropping-particle":"","family":"Chiaroni","given":"Davide","non-dropping-particle":"","parse-names":false,"suffix":""}],"container-title":"Journal of Manufacturing Technology Management","id":"ITEM-1","issue":"3","issued":{"date-parts":[["2019"]]},"page":"561-589","title":"Managerial practices for designing circular economy business models: The case of an Italian SME in the office supply industry","type":"article-journal","volume":"30"},"uris":["http://www.mendeley.com/documents/?uuid=3fd6cdc2-cd0e-4eb1-ade8-c7c3f57b95c0"]}],"mendeley":{"formattedCitation":"(Ünal, Urbinati, &amp; Chiaroni, 2019)","manualFormatting":"Ünal, Urbinati, &amp; Chiaroni (2019)","plainTextFormattedCitation":"(Ünal, Urbinati, &amp; Chiaroni, 2019)","previouslyFormattedCitation":"(Ünal, Urbinati, &amp; Chiaroni, 2019)"},"properties":{"noteIndex":0},"schema":"https://github.com/citation-style-language/schema/raw/master/csl-citation.json"}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Ünal, Urbinati, and Chiaroni (2019)</w:t>
            </w:r>
            <w:r w:rsidRPr="007E2939">
              <w:rPr>
                <w:rFonts w:ascii="Arial" w:hAnsi="Arial" w:cs="Arial"/>
              </w:rPr>
              <w:fldChar w:fldCharType="end"/>
            </w:r>
          </w:p>
        </w:tc>
        <w:tc>
          <w:tcPr>
            <w:tcW w:w="368" w:type="pct"/>
            <w:vAlign w:val="center"/>
          </w:tcPr>
          <w:p w14:paraId="7203A592" w14:textId="77777777" w:rsidR="00D4500C" w:rsidRPr="007E2939" w:rsidRDefault="00D4500C" w:rsidP="001E626E">
            <w:pPr>
              <w:spacing w:line="360" w:lineRule="auto"/>
              <w:jc w:val="center"/>
              <w:rPr>
                <w:rFonts w:ascii="Arial" w:hAnsi="Arial" w:cs="Arial"/>
              </w:rPr>
            </w:pPr>
            <w:r w:rsidRPr="007E2939">
              <w:rPr>
                <w:rFonts w:ascii="Arial" w:hAnsi="Arial" w:cs="Arial"/>
              </w:rPr>
              <w:t>System theory</w:t>
            </w:r>
          </w:p>
        </w:tc>
        <w:tc>
          <w:tcPr>
            <w:tcW w:w="376" w:type="pct"/>
            <w:vAlign w:val="center"/>
          </w:tcPr>
          <w:p w14:paraId="10F3D8C3" w14:textId="77777777" w:rsidR="00D4500C" w:rsidRPr="007E2939" w:rsidRDefault="00D4500C" w:rsidP="001E626E">
            <w:pPr>
              <w:spacing w:line="360" w:lineRule="auto"/>
              <w:jc w:val="center"/>
              <w:rPr>
                <w:rFonts w:ascii="Arial" w:hAnsi="Arial" w:cs="Arial"/>
              </w:rPr>
            </w:pPr>
            <w:r w:rsidRPr="007E2939">
              <w:rPr>
                <w:rFonts w:ascii="Arial" w:hAnsi="Arial" w:cs="Arial"/>
              </w:rPr>
              <w:t>Italy</w:t>
            </w:r>
          </w:p>
        </w:tc>
        <w:tc>
          <w:tcPr>
            <w:tcW w:w="368" w:type="pct"/>
            <w:vAlign w:val="center"/>
          </w:tcPr>
          <w:p w14:paraId="75CF7B17" w14:textId="77777777" w:rsidR="00D4500C" w:rsidRPr="007E2939" w:rsidRDefault="00D4500C" w:rsidP="001E626E">
            <w:pPr>
              <w:spacing w:line="360" w:lineRule="auto"/>
              <w:jc w:val="center"/>
              <w:rPr>
                <w:rFonts w:ascii="Arial" w:hAnsi="Arial" w:cs="Arial"/>
              </w:rPr>
            </w:pPr>
            <w:r w:rsidRPr="007E2939">
              <w:rPr>
                <w:rFonts w:ascii="Arial" w:hAnsi="Arial" w:cs="Arial"/>
              </w:rPr>
              <w:t>Office supply</w:t>
            </w:r>
          </w:p>
        </w:tc>
        <w:tc>
          <w:tcPr>
            <w:tcW w:w="368" w:type="pct"/>
            <w:vAlign w:val="center"/>
          </w:tcPr>
          <w:p w14:paraId="33B221C9" w14:textId="77777777" w:rsidR="00D4500C" w:rsidRPr="007E2939" w:rsidRDefault="00D4500C" w:rsidP="001E626E">
            <w:pPr>
              <w:spacing w:line="360" w:lineRule="auto"/>
              <w:jc w:val="center"/>
              <w:rPr>
                <w:rFonts w:ascii="Arial" w:hAnsi="Arial" w:cs="Arial"/>
              </w:rPr>
            </w:pPr>
            <w:r w:rsidRPr="007E2939">
              <w:rPr>
                <w:rFonts w:ascii="Arial" w:hAnsi="Arial" w:cs="Arial"/>
              </w:rPr>
              <w:t>Organization</w:t>
            </w:r>
          </w:p>
        </w:tc>
        <w:tc>
          <w:tcPr>
            <w:tcW w:w="509" w:type="pct"/>
            <w:vAlign w:val="center"/>
          </w:tcPr>
          <w:p w14:paraId="53C6DC62" w14:textId="77777777" w:rsidR="00D4500C" w:rsidRPr="007E2939" w:rsidRDefault="00D4500C" w:rsidP="001E626E">
            <w:pPr>
              <w:pStyle w:val="ListParagraph"/>
              <w:numPr>
                <w:ilvl w:val="0"/>
                <w:numId w:val="1"/>
              </w:numPr>
              <w:spacing w:line="360" w:lineRule="auto"/>
              <w:ind w:left="180" w:hanging="180"/>
              <w:jc w:val="both"/>
              <w:rPr>
                <w:rFonts w:ascii="Arial" w:hAnsi="Arial" w:cs="Arial"/>
              </w:rPr>
            </w:pPr>
            <w:r w:rsidRPr="007E2939">
              <w:rPr>
                <w:rFonts w:ascii="Tahoma" w:hAnsi="Tahoma" w:cs="Tahoma"/>
              </w:rPr>
              <w:t>﻿</w:t>
            </w:r>
            <w:r w:rsidRPr="007E2939">
              <w:rPr>
                <w:rFonts w:ascii="Arial" w:hAnsi="Arial" w:cs="Arial"/>
              </w:rPr>
              <w:t>Value network</w:t>
            </w:r>
          </w:p>
          <w:p w14:paraId="0F017691" w14:textId="77777777" w:rsidR="00D4500C" w:rsidRPr="007E2939" w:rsidRDefault="00D4500C" w:rsidP="001E626E">
            <w:pPr>
              <w:pStyle w:val="ListParagraph"/>
              <w:numPr>
                <w:ilvl w:val="0"/>
                <w:numId w:val="1"/>
              </w:numPr>
              <w:spacing w:line="360" w:lineRule="auto"/>
              <w:ind w:left="180" w:hanging="180"/>
              <w:jc w:val="both"/>
              <w:rPr>
                <w:rFonts w:ascii="Arial" w:hAnsi="Arial" w:cs="Arial"/>
              </w:rPr>
            </w:pPr>
            <w:r w:rsidRPr="007E2939">
              <w:rPr>
                <w:rFonts w:ascii="Arial" w:hAnsi="Arial" w:cs="Arial"/>
              </w:rPr>
              <w:t>Customer value proposition and interface</w:t>
            </w:r>
          </w:p>
          <w:p w14:paraId="462E5FC8" w14:textId="77777777" w:rsidR="00D4500C" w:rsidRPr="007E2939" w:rsidRDefault="00D4500C" w:rsidP="001E626E">
            <w:pPr>
              <w:pStyle w:val="ListParagraph"/>
              <w:numPr>
                <w:ilvl w:val="0"/>
                <w:numId w:val="1"/>
              </w:numPr>
              <w:spacing w:line="360" w:lineRule="auto"/>
              <w:ind w:left="180" w:hanging="180"/>
              <w:jc w:val="both"/>
              <w:rPr>
                <w:rFonts w:ascii="Arial" w:hAnsi="Arial" w:cs="Arial"/>
              </w:rPr>
            </w:pPr>
            <w:r w:rsidRPr="007E2939">
              <w:rPr>
                <w:rFonts w:ascii="Arial" w:hAnsi="Arial" w:cs="Arial"/>
              </w:rPr>
              <w:t>Managerial commitment</w:t>
            </w:r>
          </w:p>
          <w:p w14:paraId="7C1D63F4" w14:textId="77777777" w:rsidR="00D4500C" w:rsidRPr="007E2939" w:rsidRDefault="00D4500C" w:rsidP="001E626E">
            <w:pPr>
              <w:spacing w:line="360" w:lineRule="auto"/>
              <w:jc w:val="both"/>
              <w:rPr>
                <w:rFonts w:ascii="Arial" w:hAnsi="Arial" w:cs="Arial"/>
              </w:rPr>
            </w:pPr>
          </w:p>
        </w:tc>
        <w:tc>
          <w:tcPr>
            <w:tcW w:w="429" w:type="pct"/>
            <w:vAlign w:val="center"/>
          </w:tcPr>
          <w:p w14:paraId="0E9081DA"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44" w:type="pct"/>
            <w:vAlign w:val="center"/>
          </w:tcPr>
          <w:p w14:paraId="58D2458F" w14:textId="77777777" w:rsidR="00D4500C" w:rsidRPr="007E2939" w:rsidRDefault="00D4500C" w:rsidP="001E626E">
            <w:pPr>
              <w:spacing w:line="360" w:lineRule="auto"/>
              <w:jc w:val="center"/>
              <w:rPr>
                <w:rFonts w:ascii="Arial" w:hAnsi="Arial" w:cs="Arial"/>
              </w:rPr>
            </w:pPr>
            <w:r w:rsidRPr="007E2939">
              <w:rPr>
                <w:rFonts w:ascii="Arial" w:hAnsi="Arial" w:cs="Arial"/>
              </w:rPr>
              <w:t>Case study with semi-structural interview</w:t>
            </w:r>
          </w:p>
          <w:p w14:paraId="15C37617" w14:textId="77777777" w:rsidR="00D4500C" w:rsidRPr="007E2939" w:rsidRDefault="00D4500C" w:rsidP="001E626E">
            <w:pPr>
              <w:spacing w:line="360" w:lineRule="auto"/>
              <w:jc w:val="center"/>
              <w:rPr>
                <w:rFonts w:ascii="Arial" w:hAnsi="Arial" w:cs="Arial"/>
              </w:rPr>
            </w:pPr>
          </w:p>
        </w:tc>
        <w:tc>
          <w:tcPr>
            <w:tcW w:w="388" w:type="pct"/>
            <w:vAlign w:val="center"/>
          </w:tcPr>
          <w:p w14:paraId="0695FC7E"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17" w:type="pct"/>
            <w:vAlign w:val="center"/>
          </w:tcPr>
          <w:p w14:paraId="430420BA"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24" w:type="pct"/>
            <w:vAlign w:val="center"/>
          </w:tcPr>
          <w:p w14:paraId="106846D5" w14:textId="77777777" w:rsidR="00D4500C" w:rsidRPr="007E2939" w:rsidRDefault="00D4500C" w:rsidP="001E626E">
            <w:pPr>
              <w:spacing w:line="360" w:lineRule="auto"/>
              <w:jc w:val="center"/>
              <w:rPr>
                <w:rFonts w:ascii="Arial" w:hAnsi="Arial" w:cs="Arial"/>
              </w:rPr>
            </w:pPr>
            <w:r w:rsidRPr="007E2939">
              <w:rPr>
                <w:rFonts w:ascii="Arial" w:hAnsi="Arial" w:cs="Arial"/>
              </w:rPr>
              <w:t>Investigated only one SME in a country</w:t>
            </w:r>
          </w:p>
          <w:p w14:paraId="0B7202E5" w14:textId="77777777" w:rsidR="00D4500C" w:rsidRPr="007E2939" w:rsidRDefault="00D4500C" w:rsidP="001E626E">
            <w:pPr>
              <w:spacing w:line="360" w:lineRule="auto"/>
              <w:jc w:val="center"/>
              <w:rPr>
                <w:rFonts w:ascii="Arial" w:hAnsi="Arial" w:cs="Arial"/>
              </w:rPr>
            </w:pPr>
          </w:p>
        </w:tc>
        <w:tc>
          <w:tcPr>
            <w:tcW w:w="472" w:type="pct"/>
            <w:vAlign w:val="center"/>
          </w:tcPr>
          <w:p w14:paraId="2FE5B06F" w14:textId="77777777" w:rsidR="00D4500C" w:rsidRPr="007E2939" w:rsidRDefault="00D4500C" w:rsidP="001E626E">
            <w:pPr>
              <w:pStyle w:val="ListParagraph"/>
              <w:numPr>
                <w:ilvl w:val="0"/>
                <w:numId w:val="2"/>
              </w:numPr>
              <w:spacing w:line="360" w:lineRule="auto"/>
              <w:ind w:left="246" w:hanging="246"/>
              <w:rPr>
                <w:rFonts w:ascii="Arial" w:hAnsi="Arial" w:cs="Arial"/>
              </w:rPr>
            </w:pPr>
            <w:r w:rsidRPr="007E2939">
              <w:rPr>
                <w:rFonts w:ascii="Arial" w:hAnsi="Arial" w:cs="Arial"/>
              </w:rPr>
              <w:t>Test multiple management practice configurations for the research framework</w:t>
            </w:r>
          </w:p>
          <w:p w14:paraId="19AE505E" w14:textId="77777777" w:rsidR="00D4500C" w:rsidRPr="007E2939" w:rsidRDefault="00D4500C" w:rsidP="001E626E">
            <w:pPr>
              <w:pStyle w:val="ListParagraph"/>
              <w:numPr>
                <w:ilvl w:val="0"/>
                <w:numId w:val="2"/>
              </w:numPr>
              <w:spacing w:line="360" w:lineRule="auto"/>
              <w:ind w:left="246" w:hanging="246"/>
              <w:rPr>
                <w:rFonts w:ascii="Arial" w:hAnsi="Arial" w:cs="Arial"/>
              </w:rPr>
            </w:pPr>
            <w:r w:rsidRPr="007E2939">
              <w:rPr>
                <w:rFonts w:ascii="Arial" w:hAnsi="Arial" w:cs="Arial"/>
              </w:rPr>
              <w:t xml:space="preserve">How SMEs can apply </w:t>
            </w:r>
            <w:r w:rsidRPr="007E2939">
              <w:rPr>
                <w:rFonts w:ascii="Arial" w:hAnsi="Arial" w:cs="Arial"/>
              </w:rPr>
              <w:lastRenderedPageBreak/>
              <w:t>CE practices to create and capture value</w:t>
            </w:r>
          </w:p>
          <w:p w14:paraId="4F4DE8E9" w14:textId="77777777" w:rsidR="00D4500C" w:rsidRPr="007E2939" w:rsidRDefault="00D4500C" w:rsidP="001E626E">
            <w:pPr>
              <w:pStyle w:val="ListParagraph"/>
              <w:numPr>
                <w:ilvl w:val="0"/>
                <w:numId w:val="2"/>
              </w:numPr>
              <w:spacing w:line="360" w:lineRule="auto"/>
              <w:ind w:left="246" w:hanging="246"/>
              <w:rPr>
                <w:rFonts w:ascii="Arial" w:hAnsi="Arial" w:cs="Arial"/>
              </w:rPr>
            </w:pPr>
            <w:r w:rsidRPr="007E2939">
              <w:rPr>
                <w:rFonts w:ascii="Arial" w:hAnsi="Arial" w:cs="Arial"/>
              </w:rPr>
              <w:t>How SMEs combine scarce resources with CE-related managerial capabilities</w:t>
            </w:r>
          </w:p>
        </w:tc>
      </w:tr>
      <w:tr w:rsidR="00D4500C" w:rsidRPr="007E2939" w14:paraId="42B832F8" w14:textId="77777777" w:rsidTr="001E626E">
        <w:tc>
          <w:tcPr>
            <w:tcW w:w="158" w:type="pct"/>
            <w:vAlign w:val="center"/>
          </w:tcPr>
          <w:p w14:paraId="721BED31"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3</w:t>
            </w:r>
          </w:p>
        </w:tc>
        <w:tc>
          <w:tcPr>
            <w:tcW w:w="376" w:type="pct"/>
            <w:vAlign w:val="center"/>
          </w:tcPr>
          <w:p w14:paraId="3467652A" w14:textId="77777777" w:rsidR="00D4500C" w:rsidRPr="007E2939" w:rsidRDefault="00D4500C" w:rsidP="001E626E">
            <w:pPr>
              <w:spacing w:line="360" w:lineRule="auto"/>
              <w:jc w:val="both"/>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{"citationItems":[{"id":"ITEM-1","itemData":{"DOI":"10.1016/j.resconrec.2018.12.034","ISSN":"18790658","abstract":"A circular business model represents a holistic system of co-evolving managerial practices for collective value creation, delivery and capture, which provide solutions for sustainable development. Previous research on circular business models aimed to understand value creation mostly in terms of a single managerial practice or in a relatively isolated manner. In particular, little is known regarding the system of managerial practices that creates value. Accordingly, this study proposes a theoretical framework characterized by a set of managerial practices in connection with relevant internal and external contextual factors for creating value within a circular business model. The framework was used in a specific case of a small medium-sized enterprise (SME) operating in building sector, which can be considered a great example of circular economy put into practice. Therefore, the explorative nature of the case allows for deep probing that helps consolidating the framework. Among the main results, essential outcomes included configuring and adapting the company's business model to particular internal and external contextual factors; valorization of local waste by harmonizing managerial practices, and socio-cultural and socio-economic settings, as well as sustainable behaviours among the actors of supply chain. This study contributes to the field of circular business models research by adopting a broader, interdisciplinary approach toward the concept of value creation. Further, it provides managers with a roadmap for creating value by enhancing the degree of circularity within a given context.","author":[{"dropping-particle":"","family":"Ünal","given":"Enes","non-dropping-particle":"","parse-names":false,"suffix":""},{"dropping-particle":"","family":"Urbinati","given":"Andrea","non-dropping-particle":"","parse-names":false,"suffix":""},{"dropping-particle":"","family":"Chiaroni","given":"Davide","non-dropping-particle":"","parse-names":false,"suffix":""},{"dropping-particle":"","family":"Manzini","given":"Raffaella","non-dropping-particle":"","parse-names":false,"suffix":""}],"container-title":"Resources, Conservation and Recycling","id":"ITEM-1","issue":"April","issued":{"date-parts":[["2019"]]},"page":"291-307","publisher":"Elsevier","title":"Value Creation in Circular Business Models: The case of a US small medium enterprise in the building sector","type":"article-journal","volume":"146"},"uris":["http://www.mendeley.com/documents/?uuid=239b0293-dac5-4658-8cb3-c93fc0196e4e"]}],"mendeley":{"formattedCitation":"(Ünal, Urbinati, Chiaroni, et al., 2019)","manualFormatting":"Ünal, Urbinati, Chiaroni, et al. (2019)","plainTextFormattedCitation":"(Ünal, Urbinati, Chiaroni, et al., 2019)","previouslyFormattedCitation":"(Ünal, Urbinati, Chiaroni, et al., 2019)"},"properties":{"noteIndex":0},"schema":"https://github.com/citation-style-language/schema/raw/master/csl-citation.json"}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 xml:space="preserve">Ünal et al. </w:t>
            </w:r>
            <w:r w:rsidRPr="007E2939">
              <w:rPr>
                <w:rFonts w:ascii="Arial" w:hAnsi="Arial" w:cs="Arial"/>
                <w:noProof/>
              </w:rPr>
              <w:lastRenderedPageBreak/>
              <w:t>(2019)</w:t>
            </w:r>
            <w:r w:rsidRPr="007E2939">
              <w:rPr>
                <w:rFonts w:ascii="Arial" w:hAnsi="Arial" w:cs="Arial"/>
              </w:rPr>
              <w:fldChar w:fldCharType="end"/>
            </w:r>
          </w:p>
        </w:tc>
        <w:tc>
          <w:tcPr>
            <w:tcW w:w="368" w:type="pct"/>
            <w:vAlign w:val="center"/>
          </w:tcPr>
          <w:p w14:paraId="7DA0D98A"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System theory</w:t>
            </w:r>
          </w:p>
        </w:tc>
        <w:tc>
          <w:tcPr>
            <w:tcW w:w="376" w:type="pct"/>
            <w:vAlign w:val="center"/>
          </w:tcPr>
          <w:p w14:paraId="1EC688CF" w14:textId="77777777" w:rsidR="00D4500C" w:rsidRPr="007E2939" w:rsidRDefault="00D4500C" w:rsidP="001E626E">
            <w:pPr>
              <w:spacing w:line="360" w:lineRule="auto"/>
              <w:jc w:val="center"/>
              <w:rPr>
                <w:rFonts w:ascii="Arial" w:hAnsi="Arial" w:cs="Arial"/>
              </w:rPr>
            </w:pPr>
            <w:r w:rsidRPr="007E2939">
              <w:rPr>
                <w:rFonts w:ascii="Arial" w:hAnsi="Arial" w:cs="Arial"/>
              </w:rPr>
              <w:t>US</w:t>
            </w:r>
          </w:p>
        </w:tc>
        <w:tc>
          <w:tcPr>
            <w:tcW w:w="368" w:type="pct"/>
            <w:vAlign w:val="center"/>
          </w:tcPr>
          <w:p w14:paraId="417B2279" w14:textId="77777777" w:rsidR="00D4500C" w:rsidRPr="007E2939" w:rsidRDefault="00D4500C" w:rsidP="001E626E">
            <w:pPr>
              <w:spacing w:line="360" w:lineRule="auto"/>
              <w:jc w:val="center"/>
              <w:rPr>
                <w:rFonts w:ascii="Arial" w:hAnsi="Arial" w:cs="Arial"/>
              </w:rPr>
            </w:pPr>
            <w:r w:rsidRPr="007E2939">
              <w:rPr>
                <w:rFonts w:ascii="Arial" w:hAnsi="Arial" w:cs="Arial"/>
              </w:rPr>
              <w:t>Building</w:t>
            </w:r>
          </w:p>
        </w:tc>
        <w:tc>
          <w:tcPr>
            <w:tcW w:w="368" w:type="pct"/>
            <w:vAlign w:val="center"/>
          </w:tcPr>
          <w:p w14:paraId="2BE65B6B" w14:textId="77777777" w:rsidR="00D4500C" w:rsidRPr="007E2939" w:rsidRDefault="00D4500C" w:rsidP="001E626E">
            <w:pPr>
              <w:spacing w:line="360" w:lineRule="auto"/>
              <w:jc w:val="center"/>
              <w:rPr>
                <w:rFonts w:ascii="Arial" w:hAnsi="Arial" w:cs="Arial"/>
              </w:rPr>
            </w:pPr>
            <w:r w:rsidRPr="007E2939">
              <w:rPr>
                <w:rFonts w:ascii="Arial" w:hAnsi="Arial" w:cs="Arial"/>
              </w:rPr>
              <w:t>Organization</w:t>
            </w:r>
          </w:p>
        </w:tc>
        <w:tc>
          <w:tcPr>
            <w:tcW w:w="509" w:type="pct"/>
            <w:vAlign w:val="center"/>
          </w:tcPr>
          <w:p w14:paraId="3F4DDB15" w14:textId="77777777" w:rsidR="00D4500C" w:rsidRPr="007E2939" w:rsidRDefault="00D4500C" w:rsidP="001E626E">
            <w:pPr>
              <w:pStyle w:val="ListParagraph"/>
              <w:spacing w:line="360" w:lineRule="auto"/>
              <w:ind w:left="181"/>
              <w:jc w:val="both"/>
              <w:rPr>
                <w:rFonts w:ascii="Arial" w:hAnsi="Arial" w:cs="Arial"/>
              </w:rPr>
            </w:pPr>
            <w:r w:rsidRPr="007E2939">
              <w:rPr>
                <w:rFonts w:ascii="Arial" w:hAnsi="Arial" w:cs="Arial"/>
              </w:rPr>
              <w:t xml:space="preserve">Managerial </w:t>
            </w:r>
            <w:r w:rsidRPr="007E2939">
              <w:rPr>
                <w:rFonts w:ascii="Arial" w:hAnsi="Arial" w:cs="Arial"/>
              </w:rPr>
              <w:lastRenderedPageBreak/>
              <w:t>practices and contexts (internal and external) as a sequence of value creation antecedents</w:t>
            </w:r>
          </w:p>
          <w:p w14:paraId="28DA8BD9" w14:textId="77777777" w:rsidR="00D4500C" w:rsidRPr="007E2939" w:rsidRDefault="00D4500C" w:rsidP="001E626E">
            <w:pPr>
              <w:pStyle w:val="ListParagraph"/>
              <w:spacing w:line="360" w:lineRule="auto"/>
              <w:ind w:left="181"/>
              <w:jc w:val="both"/>
              <w:rPr>
                <w:rFonts w:ascii="Arial" w:hAnsi="Arial" w:cs="Arial"/>
              </w:rPr>
            </w:pPr>
          </w:p>
        </w:tc>
        <w:tc>
          <w:tcPr>
            <w:tcW w:w="429" w:type="pct"/>
            <w:vAlign w:val="center"/>
          </w:tcPr>
          <w:p w14:paraId="6333C7CA"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w:t>
            </w:r>
          </w:p>
        </w:tc>
        <w:tc>
          <w:tcPr>
            <w:tcW w:w="344" w:type="pct"/>
            <w:vAlign w:val="center"/>
          </w:tcPr>
          <w:p w14:paraId="548486EB" w14:textId="77777777" w:rsidR="00D4500C" w:rsidRPr="007E2939" w:rsidRDefault="00D4500C" w:rsidP="001E626E">
            <w:pPr>
              <w:spacing w:line="360" w:lineRule="auto"/>
              <w:jc w:val="center"/>
              <w:rPr>
                <w:rFonts w:ascii="Arial" w:hAnsi="Arial" w:cs="Arial"/>
              </w:rPr>
            </w:pPr>
            <w:r w:rsidRPr="007E2939">
              <w:rPr>
                <w:rFonts w:ascii="Arial" w:hAnsi="Arial" w:cs="Arial"/>
              </w:rPr>
              <w:t xml:space="preserve">Case study </w:t>
            </w:r>
            <w:r w:rsidRPr="007E2939">
              <w:rPr>
                <w:rFonts w:ascii="Arial" w:hAnsi="Arial" w:cs="Arial"/>
              </w:rPr>
              <w:lastRenderedPageBreak/>
              <w:t>(grounded theory by semi-structured interview)</w:t>
            </w:r>
          </w:p>
          <w:p w14:paraId="7B38CCD8" w14:textId="77777777" w:rsidR="00D4500C" w:rsidRPr="007E2939" w:rsidRDefault="00D4500C" w:rsidP="001E626E">
            <w:pPr>
              <w:spacing w:line="360" w:lineRule="auto"/>
              <w:jc w:val="center"/>
              <w:rPr>
                <w:rFonts w:ascii="Arial" w:hAnsi="Arial" w:cs="Arial"/>
              </w:rPr>
            </w:pPr>
          </w:p>
        </w:tc>
        <w:tc>
          <w:tcPr>
            <w:tcW w:w="388" w:type="pct"/>
            <w:vAlign w:val="center"/>
          </w:tcPr>
          <w:p w14:paraId="4D1774C0"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w:t>
            </w:r>
          </w:p>
        </w:tc>
        <w:tc>
          <w:tcPr>
            <w:tcW w:w="417" w:type="pct"/>
            <w:vAlign w:val="center"/>
          </w:tcPr>
          <w:p w14:paraId="17E6D460"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24" w:type="pct"/>
            <w:vAlign w:val="center"/>
          </w:tcPr>
          <w:p w14:paraId="0D6E2C90" w14:textId="77777777" w:rsidR="00D4500C" w:rsidRPr="007E2939" w:rsidRDefault="00D4500C" w:rsidP="001E626E">
            <w:pPr>
              <w:spacing w:line="360" w:lineRule="auto"/>
              <w:jc w:val="center"/>
              <w:rPr>
                <w:rFonts w:ascii="Arial" w:hAnsi="Arial" w:cs="Arial"/>
              </w:rPr>
            </w:pPr>
            <w:r w:rsidRPr="007E2939">
              <w:rPr>
                <w:rFonts w:ascii="Arial" w:hAnsi="Arial" w:cs="Arial"/>
              </w:rPr>
              <w:t xml:space="preserve">Focused only </w:t>
            </w:r>
            <w:r w:rsidRPr="007E2939">
              <w:rPr>
                <w:rFonts w:ascii="Arial" w:hAnsi="Arial" w:cs="Arial"/>
              </w:rPr>
              <w:lastRenderedPageBreak/>
              <w:t>on biological materials related to the research context</w:t>
            </w:r>
          </w:p>
        </w:tc>
        <w:tc>
          <w:tcPr>
            <w:tcW w:w="472" w:type="pct"/>
            <w:vAlign w:val="center"/>
          </w:tcPr>
          <w:p w14:paraId="56B040F1"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 xml:space="preserve">Discuss material </w:t>
            </w:r>
            <w:r w:rsidRPr="007E2939">
              <w:rPr>
                <w:rFonts w:ascii="Arial" w:hAnsi="Arial" w:cs="Arial"/>
              </w:rPr>
              <w:lastRenderedPageBreak/>
              <w:t>technology and the potential for research with a similar theoretical framework and quantitative testing for a broader and different context</w:t>
            </w:r>
          </w:p>
        </w:tc>
      </w:tr>
      <w:tr w:rsidR="00D4500C" w:rsidRPr="007E2939" w14:paraId="34C48E70" w14:textId="77777777" w:rsidTr="001E626E">
        <w:tc>
          <w:tcPr>
            <w:tcW w:w="158" w:type="pct"/>
            <w:vAlign w:val="center"/>
          </w:tcPr>
          <w:p w14:paraId="2F8830A2"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4</w:t>
            </w:r>
          </w:p>
        </w:tc>
        <w:tc>
          <w:tcPr>
            <w:tcW w:w="376" w:type="pct"/>
            <w:vAlign w:val="center"/>
          </w:tcPr>
          <w:p w14:paraId="16BE76D8"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{"citationItems":[{"id":"ITEM-1","itemData":{"DOI":"10.3846/jbem.2019.6880","ISSN":"20294433","abstract":"The current trend of business model research shows an increased endeavour of conceptualizing business frameworks for circular economy (CE). While previous sustainability paradigms have failed to attract market stakeholders, their reaction differ regarding this concept. The reason is discovering that the benefits of former industrial systems have turned to be threats for modern companies. Thus, a circular transition seems beneficial not only in environmental but also in financial dimensions. Closing material and energy flows results in reduced costs and enables businesses to propose novel values to customers. The present study aims to investigate the current stage of circular transformation on a corporate level. In order to do that, it thoroughly analyses the business model evolution of an innovative and knowledge-intensive industry, biotechnology. The research employs a circular evaluation method to detect which parts of the applied business structures show the signs of transition. The findings indicate that the business innovation process in the sector is in line with the disciplines of CE. However, this phenomenon is rather the result of striving for market competitiveness, than making efforts for sustainable development. It proves the emergence of CE to be as much an economic concern as it is an environmental one.","author":[{"dropping-particle":"","family":"Horvath","given":"Balint","non-dropping-particle":"","parse-names":false,"suffix":""},{"dropping-particle":"","family":"Khazami","given":"Nesrine","non-dropping-particle":"","parse-names":false,"suffix":""},{"dropping-particle":"","family":"Ymeri","given":"Prespa","non-dropping-particle":"","parse-names":false,"suffix":""},{"dropping-particle":"","family":"Fogarassy","given":"Csaba","non-dropping-particle":"","parse-names":false,"suffix":""}],"container-title":"Journal of Business Economics and Management","id":"ITEM-1","issue":"1","issued":{"date-parts":[["2019"]]},"page":"63-85","title":"Investigating the current business model innovation trends in the biotechnology industry","type":"article-journal","volume":"20"},"uris":["http://www.mendeley.com/documents/?uuid=f549e6fe-3b25-497c-b323-1987a6e0b13e"]}],"mendeley":{"formattedCitation":"(Horvath et al., 2019)","manualFormatting":"Horvath et al. (2019)","plainTextFormattedCitation":"(Horvath et al., 2019)","previouslyFormattedCitation":"(Horvath et al., 2019)"},"properties":{"noteIndex":0},"schema":"https://github.com/citation-style-language/schema/raw/master/csl-citation.json"}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Horvath et al. (2019)</w:t>
            </w:r>
            <w:r w:rsidRPr="007E2939">
              <w:rPr>
                <w:rFonts w:ascii="Arial" w:hAnsi="Arial" w:cs="Arial"/>
              </w:rPr>
              <w:fldChar w:fldCharType="end"/>
            </w:r>
          </w:p>
        </w:tc>
        <w:tc>
          <w:tcPr>
            <w:tcW w:w="368" w:type="pct"/>
            <w:vAlign w:val="center"/>
          </w:tcPr>
          <w:p w14:paraId="23E1F498"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 xml:space="preserve"> Regenerate, share, optimize, </w:t>
            </w:r>
            <w:r w:rsidRPr="007E2939">
              <w:rPr>
                <w:rFonts w:ascii="Arial" w:hAnsi="Arial" w:cs="Arial"/>
              </w:rPr>
              <w:lastRenderedPageBreak/>
              <w:t>loop, virtualize, exchange (</w:t>
            </w:r>
            <w:proofErr w:type="spellStart"/>
            <w:r w:rsidRPr="007E2939">
              <w:rPr>
                <w:rFonts w:ascii="Arial" w:hAnsi="Arial" w:cs="Arial"/>
              </w:rPr>
              <w:t>ReSOLVE</w:t>
            </w:r>
            <w:proofErr w:type="spellEnd"/>
            <w:r w:rsidRPr="007E2939">
              <w:rPr>
                <w:rFonts w:ascii="Arial" w:hAnsi="Arial" w:cs="Arial"/>
              </w:rPr>
              <w:t>) framework</w:t>
            </w:r>
          </w:p>
        </w:tc>
        <w:tc>
          <w:tcPr>
            <w:tcW w:w="376" w:type="pct"/>
            <w:vAlign w:val="center"/>
          </w:tcPr>
          <w:p w14:paraId="2E712092" w14:textId="77777777" w:rsidR="00D4500C" w:rsidRPr="007E2939" w:rsidRDefault="00D4500C" w:rsidP="001E626E">
            <w:pPr>
              <w:spacing w:line="360" w:lineRule="auto"/>
              <w:jc w:val="center"/>
              <w:rPr>
                <w:rFonts w:ascii="Arial" w:hAnsi="Arial" w:cs="Arial"/>
              </w:rPr>
            </w:pPr>
            <w:r w:rsidRPr="007E2939">
              <w:rPr>
                <w:rFonts w:ascii="Tahoma" w:hAnsi="Tahoma" w:cs="Tahoma"/>
              </w:rPr>
              <w:lastRenderedPageBreak/>
              <w:t>﻿﻿</w:t>
            </w:r>
          </w:p>
          <w:p w14:paraId="44FB411A" w14:textId="77777777" w:rsidR="00D4500C" w:rsidRPr="007E2939" w:rsidRDefault="00D4500C" w:rsidP="001E626E">
            <w:pPr>
              <w:spacing w:line="360" w:lineRule="auto"/>
              <w:jc w:val="center"/>
              <w:rPr>
                <w:rFonts w:ascii="Arial" w:hAnsi="Arial" w:cs="Arial"/>
              </w:rPr>
            </w:pPr>
            <w:r w:rsidRPr="007E2939">
              <w:rPr>
                <w:rFonts w:ascii="Arial" w:hAnsi="Arial" w:cs="Arial"/>
              </w:rPr>
              <w:t>Belgium</w:t>
            </w:r>
          </w:p>
        </w:tc>
        <w:tc>
          <w:tcPr>
            <w:tcW w:w="368" w:type="pct"/>
            <w:vAlign w:val="center"/>
          </w:tcPr>
          <w:p w14:paraId="75FD67E5" w14:textId="77777777" w:rsidR="00D4500C" w:rsidRPr="007E2939" w:rsidRDefault="00D4500C" w:rsidP="001E626E">
            <w:pPr>
              <w:spacing w:line="360" w:lineRule="auto"/>
              <w:jc w:val="center"/>
              <w:rPr>
                <w:rFonts w:ascii="Arial" w:hAnsi="Arial" w:cs="Arial"/>
              </w:rPr>
            </w:pPr>
            <w:r w:rsidRPr="007E2939">
              <w:rPr>
                <w:rFonts w:ascii="Arial" w:hAnsi="Arial" w:cs="Arial"/>
              </w:rPr>
              <w:t>Pharmaceutical biotech</w:t>
            </w:r>
          </w:p>
        </w:tc>
        <w:tc>
          <w:tcPr>
            <w:tcW w:w="368" w:type="pct"/>
            <w:vAlign w:val="center"/>
          </w:tcPr>
          <w:p w14:paraId="1587BA26" w14:textId="77777777" w:rsidR="00D4500C" w:rsidRPr="007E2939" w:rsidRDefault="00D4500C" w:rsidP="001E626E">
            <w:pPr>
              <w:spacing w:line="360" w:lineRule="auto"/>
              <w:jc w:val="center"/>
              <w:rPr>
                <w:rFonts w:ascii="Arial" w:hAnsi="Arial" w:cs="Arial"/>
              </w:rPr>
            </w:pPr>
            <w:r w:rsidRPr="007E2939">
              <w:rPr>
                <w:rFonts w:ascii="Arial" w:hAnsi="Arial" w:cs="Arial"/>
              </w:rPr>
              <w:t>Multiorganization</w:t>
            </w:r>
          </w:p>
        </w:tc>
        <w:tc>
          <w:tcPr>
            <w:tcW w:w="509" w:type="pct"/>
            <w:vAlign w:val="center"/>
          </w:tcPr>
          <w:p w14:paraId="12FD0452" w14:textId="77777777" w:rsidR="00D4500C" w:rsidRPr="007E2939" w:rsidRDefault="00D4500C" w:rsidP="00D4500C">
            <w:pPr>
              <w:pStyle w:val="ListParagraph"/>
              <w:numPr>
                <w:ilvl w:val="0"/>
                <w:numId w:val="3"/>
              </w:numPr>
              <w:spacing w:line="360" w:lineRule="auto"/>
              <w:ind w:left="323" w:hanging="284"/>
              <w:rPr>
                <w:rFonts w:ascii="Arial" w:hAnsi="Arial" w:cs="Arial"/>
              </w:rPr>
            </w:pPr>
            <w:r w:rsidRPr="007E2939">
              <w:rPr>
                <w:rFonts w:ascii="Arial" w:hAnsi="Arial" w:cs="Arial"/>
              </w:rPr>
              <w:t xml:space="preserve">Closed business </w:t>
            </w:r>
            <w:r w:rsidRPr="007E2939">
              <w:rPr>
                <w:rFonts w:ascii="Arial" w:hAnsi="Arial" w:cs="Arial"/>
              </w:rPr>
              <w:lastRenderedPageBreak/>
              <w:t>model</w:t>
            </w:r>
          </w:p>
          <w:p w14:paraId="0F9B8054" w14:textId="77777777" w:rsidR="00D4500C" w:rsidRPr="007E2939" w:rsidRDefault="00D4500C" w:rsidP="00D4500C">
            <w:pPr>
              <w:pStyle w:val="ListParagraph"/>
              <w:numPr>
                <w:ilvl w:val="0"/>
                <w:numId w:val="3"/>
              </w:numPr>
              <w:spacing w:line="360" w:lineRule="auto"/>
              <w:ind w:left="323" w:hanging="284"/>
              <w:rPr>
                <w:rFonts w:ascii="Arial" w:hAnsi="Arial" w:cs="Arial"/>
              </w:rPr>
            </w:pPr>
            <w:r w:rsidRPr="007E2939">
              <w:rPr>
                <w:rFonts w:ascii="Arial" w:hAnsi="Arial" w:cs="Arial"/>
              </w:rPr>
              <w:t>Regular open business model</w:t>
            </w:r>
          </w:p>
          <w:p w14:paraId="5B96D561" w14:textId="77777777" w:rsidR="00D4500C" w:rsidRPr="007E2939" w:rsidRDefault="00D4500C" w:rsidP="00D4500C">
            <w:pPr>
              <w:pStyle w:val="ListParagraph"/>
              <w:numPr>
                <w:ilvl w:val="0"/>
                <w:numId w:val="3"/>
              </w:numPr>
              <w:spacing w:line="360" w:lineRule="auto"/>
              <w:ind w:left="323" w:hanging="284"/>
              <w:jc w:val="both"/>
              <w:rPr>
                <w:rFonts w:ascii="Arial" w:hAnsi="Arial" w:cs="Arial"/>
              </w:rPr>
            </w:pPr>
            <w:r w:rsidRPr="007E2939">
              <w:rPr>
                <w:rFonts w:ascii="Arial" w:hAnsi="Arial" w:cs="Arial"/>
              </w:rPr>
              <w:t>Data-driven business model</w:t>
            </w:r>
          </w:p>
        </w:tc>
        <w:tc>
          <w:tcPr>
            <w:tcW w:w="429" w:type="pct"/>
            <w:vAlign w:val="center"/>
          </w:tcPr>
          <w:p w14:paraId="4484D34A"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w:t>
            </w:r>
          </w:p>
        </w:tc>
        <w:tc>
          <w:tcPr>
            <w:tcW w:w="344" w:type="pct"/>
            <w:vAlign w:val="center"/>
          </w:tcPr>
          <w:p w14:paraId="36AA8AAF"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88" w:type="pct"/>
            <w:vAlign w:val="center"/>
          </w:tcPr>
          <w:p w14:paraId="47973C62"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17" w:type="pct"/>
            <w:vAlign w:val="center"/>
          </w:tcPr>
          <w:p w14:paraId="0FF44928"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24" w:type="pct"/>
            <w:vAlign w:val="center"/>
          </w:tcPr>
          <w:p w14:paraId="29A736EF"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72" w:type="pct"/>
            <w:vAlign w:val="center"/>
          </w:tcPr>
          <w:p w14:paraId="0EF33988" w14:textId="77777777" w:rsidR="00D4500C" w:rsidRPr="007E2939" w:rsidRDefault="00D4500C" w:rsidP="001E626E">
            <w:pPr>
              <w:spacing w:line="360" w:lineRule="auto"/>
              <w:jc w:val="center"/>
              <w:rPr>
                <w:rFonts w:ascii="Arial" w:hAnsi="Arial" w:cs="Arial"/>
              </w:rPr>
            </w:pPr>
            <w:r w:rsidRPr="007E2939">
              <w:rPr>
                <w:rFonts w:ascii="Arial" w:hAnsi="Arial" w:cs="Arial"/>
              </w:rPr>
              <w:t>Research on different sectors/ind</w:t>
            </w:r>
            <w:r w:rsidRPr="007E2939">
              <w:rPr>
                <w:rFonts w:ascii="Arial" w:hAnsi="Arial" w:cs="Arial"/>
              </w:rPr>
              <w:lastRenderedPageBreak/>
              <w:t>ustries</w:t>
            </w:r>
          </w:p>
          <w:p w14:paraId="23F2CD8E" w14:textId="77777777" w:rsidR="00D4500C" w:rsidRPr="007E2939" w:rsidRDefault="00D4500C" w:rsidP="001E626E">
            <w:pPr>
              <w:spacing w:line="360" w:lineRule="auto"/>
              <w:jc w:val="center"/>
              <w:rPr>
                <w:rFonts w:ascii="Arial" w:hAnsi="Arial" w:cs="Arial"/>
              </w:rPr>
            </w:pPr>
          </w:p>
        </w:tc>
      </w:tr>
      <w:tr w:rsidR="00D4500C" w:rsidRPr="007E2939" w14:paraId="649FC6E5" w14:textId="77777777" w:rsidTr="001E626E">
        <w:tc>
          <w:tcPr>
            <w:tcW w:w="158" w:type="pct"/>
            <w:vAlign w:val="center"/>
          </w:tcPr>
          <w:p w14:paraId="73992DF5"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5</w:t>
            </w:r>
          </w:p>
        </w:tc>
        <w:tc>
          <w:tcPr>
            <w:tcW w:w="376" w:type="pct"/>
            <w:vAlign w:val="center"/>
          </w:tcPr>
          <w:p w14:paraId="568516F3"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{"citationItems":[{"id":"ITEM-1","itemData":{"DOI":"10.1007/s00191-019-00651-w","ISSN":"14321386","abstract":"This paper investigates the extent to which the adoption of Circular Economy (CE) practices by Small and Medium-sized Enterprises (SMEs) correlates with the choices they make in their financing. Referring to the debate about CE business models (CEBM) and intersecting it with emerging research on the CE barriers/enablers revealed by SMEs, we focus on the argument that “financing-as-usual”, by relying on standard financial sources according to the “pecking-order-theory”, could not work in supporting the CE transition of SMEs. Using data on more than 2000 European SMEs from the 2016 Eurobarometer, we instead find that financing as usual still matters for the sake of CE. Self-financing (extended to some forms of capital sources) appears a significant enabler of the adoption of generic CE practices, as well as debt financing, and the latter matter less than the former, consistent with the “pecking-order-theory”. Public funds do also matter, having a larger impact than self-financing, but a lower one than debt financing. On the other hand, not only does the availability of alternative forms of financing not support CE(BM), but it even crowds-out the resort to CE, possibly in favor of more linear-risk activities. With some few interesting exceptions, the previous results are confirmed when the adoption of specific kinds CE(BM) practices is considered, as well as the SMEs’ capacity of extending their portfolio.","author":[{"dropping-particle":"","family":"Ghisetti","given":"Claudia","non-dropping-particle":"","parse-names":false,"suffix":""},{"dropping-particle":"","family":"Montresor","given":"Sandro","non-dropping-particle":"","parse-names":false,"suffix":""}],"container-title":"Journal of Evolutionary Economics","id":"ITEM-1","issue":"2","issued":{"date-parts":[["2020"]]},"page":"559-586","publisher":"Journal of Evolutionary Economics","title":"On the adoption of circular economy practices by small and medium-size enterprises (SMEs): does “financing-as-usual” still matter?","type":"article-journal","volume":"30"},"uris":["http://www.mendeley.com/documents/?uuid=521a8ee3-70c8-43b9-9c8b-00c418ef3bb8"]}],"mendeley":{"formattedCitation":"(Ghisetti &amp; Montresor, 2020)","manualFormatting":"Ghisetti &amp; Montresor (2020)","plainTextFormattedCitation":"(Ghisetti &amp; Montresor, 2020)","previouslyFormattedCitation":"(Ghisetti &amp; Montresor, 2020)"},"properties":{"noteIndex":0},"schema":"https://github.com/citation-style-language/schema/raw/master/csl-citation.json"}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Ghisetti and Montresor (2020)</w:t>
            </w:r>
            <w:r w:rsidRPr="007E2939">
              <w:rPr>
                <w:rFonts w:ascii="Arial" w:hAnsi="Arial" w:cs="Arial"/>
              </w:rPr>
              <w:fldChar w:fldCharType="end"/>
            </w:r>
          </w:p>
        </w:tc>
        <w:tc>
          <w:tcPr>
            <w:tcW w:w="368" w:type="pct"/>
            <w:vAlign w:val="center"/>
          </w:tcPr>
          <w:p w14:paraId="4ACE475C"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Pecking order theory</w:t>
            </w:r>
          </w:p>
        </w:tc>
        <w:tc>
          <w:tcPr>
            <w:tcW w:w="376" w:type="pct"/>
            <w:vAlign w:val="center"/>
          </w:tcPr>
          <w:p w14:paraId="66948184" w14:textId="77777777" w:rsidR="00D4500C" w:rsidRPr="007E2939" w:rsidRDefault="00D4500C" w:rsidP="001E626E">
            <w:pPr>
              <w:spacing w:line="360" w:lineRule="auto"/>
              <w:jc w:val="center"/>
              <w:rPr>
                <w:rFonts w:ascii="Arial" w:hAnsi="Arial" w:cs="Arial"/>
              </w:rPr>
            </w:pPr>
            <w:r w:rsidRPr="007E2939">
              <w:rPr>
                <w:rFonts w:ascii="Arial" w:hAnsi="Arial" w:cs="Arial"/>
              </w:rPr>
              <w:t>Europe</w:t>
            </w:r>
          </w:p>
        </w:tc>
        <w:tc>
          <w:tcPr>
            <w:tcW w:w="368" w:type="pct"/>
            <w:vAlign w:val="center"/>
          </w:tcPr>
          <w:p w14:paraId="6A3990C6"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68" w:type="pct"/>
            <w:vAlign w:val="center"/>
          </w:tcPr>
          <w:p w14:paraId="3D73E461" w14:textId="77777777" w:rsidR="00D4500C" w:rsidRPr="007E2939" w:rsidRDefault="00D4500C" w:rsidP="001E626E">
            <w:pPr>
              <w:spacing w:line="360" w:lineRule="auto"/>
              <w:jc w:val="center"/>
              <w:rPr>
                <w:rFonts w:ascii="Arial" w:hAnsi="Arial" w:cs="Arial"/>
              </w:rPr>
            </w:pPr>
            <w:r w:rsidRPr="007E2939">
              <w:rPr>
                <w:rFonts w:ascii="Arial" w:hAnsi="Arial" w:cs="Arial"/>
              </w:rPr>
              <w:t>Multiorganization</w:t>
            </w:r>
          </w:p>
        </w:tc>
        <w:tc>
          <w:tcPr>
            <w:tcW w:w="509" w:type="pct"/>
            <w:vAlign w:val="center"/>
          </w:tcPr>
          <w:p w14:paraId="220D3F06" w14:textId="77777777" w:rsidR="00D4500C" w:rsidRPr="007E2939" w:rsidRDefault="00D4500C" w:rsidP="00D4500C">
            <w:pPr>
              <w:pStyle w:val="ListParagraph"/>
              <w:numPr>
                <w:ilvl w:val="0"/>
                <w:numId w:val="4"/>
              </w:numPr>
              <w:spacing w:line="360" w:lineRule="auto"/>
              <w:ind w:left="323" w:hanging="284"/>
              <w:jc w:val="both"/>
              <w:rPr>
                <w:rFonts w:ascii="Arial" w:hAnsi="Arial" w:cs="Arial"/>
              </w:rPr>
            </w:pPr>
            <w:r w:rsidRPr="007E2939">
              <w:rPr>
                <w:rFonts w:ascii="Tahoma" w:hAnsi="Tahoma" w:cs="Tahoma"/>
              </w:rPr>
              <w:t>﻿</w:t>
            </w:r>
            <w:r w:rsidRPr="007E2939">
              <w:rPr>
                <w:rFonts w:ascii="Arial" w:hAnsi="Arial" w:cs="Arial"/>
              </w:rPr>
              <w:t>Circular innovation modes</w:t>
            </w:r>
          </w:p>
          <w:p w14:paraId="71377E3A" w14:textId="77777777" w:rsidR="00D4500C" w:rsidRPr="007E2939" w:rsidRDefault="00D4500C" w:rsidP="00D4500C">
            <w:pPr>
              <w:pStyle w:val="ListParagraph"/>
              <w:numPr>
                <w:ilvl w:val="0"/>
                <w:numId w:val="4"/>
              </w:numPr>
              <w:spacing w:line="360" w:lineRule="auto"/>
              <w:ind w:left="323" w:hanging="284"/>
              <w:jc w:val="both"/>
              <w:rPr>
                <w:rFonts w:ascii="Arial" w:hAnsi="Arial" w:cs="Arial"/>
              </w:rPr>
            </w:pPr>
            <w:r w:rsidRPr="007E2939">
              <w:rPr>
                <w:rFonts w:ascii="Tahoma" w:hAnsi="Tahoma" w:cs="Tahoma"/>
              </w:rPr>
              <w:t>﻿</w:t>
            </w:r>
            <w:r w:rsidRPr="007E2939">
              <w:rPr>
                <w:rFonts w:ascii="Arial" w:hAnsi="Arial" w:cs="Arial"/>
              </w:rPr>
              <w:t>Circular use mode</w:t>
            </w:r>
            <w:r w:rsidRPr="007E2939">
              <w:rPr>
                <w:rFonts w:ascii="Arial" w:hAnsi="Arial" w:cs="Arial"/>
              </w:rPr>
              <w:lastRenderedPageBreak/>
              <w:t>s</w:t>
            </w:r>
          </w:p>
          <w:p w14:paraId="78F267FC" w14:textId="77777777" w:rsidR="00D4500C" w:rsidRPr="007E2939" w:rsidRDefault="00D4500C" w:rsidP="00D4500C">
            <w:pPr>
              <w:pStyle w:val="ListParagraph"/>
              <w:numPr>
                <w:ilvl w:val="0"/>
                <w:numId w:val="4"/>
              </w:numPr>
              <w:spacing w:line="360" w:lineRule="auto"/>
              <w:ind w:left="323" w:hanging="284"/>
              <w:jc w:val="both"/>
              <w:rPr>
                <w:rFonts w:ascii="Arial" w:hAnsi="Arial" w:cs="Arial"/>
              </w:rPr>
            </w:pPr>
            <w:r w:rsidRPr="007E2939">
              <w:rPr>
                <w:rFonts w:ascii="Tahoma" w:hAnsi="Tahoma" w:cs="Tahoma"/>
              </w:rPr>
              <w:t>﻿</w:t>
            </w:r>
            <w:r w:rsidRPr="007E2939">
              <w:rPr>
                <w:rFonts w:ascii="Arial" w:hAnsi="Arial" w:cs="Arial"/>
              </w:rPr>
              <w:t>Circular output modes</w:t>
            </w:r>
          </w:p>
        </w:tc>
        <w:tc>
          <w:tcPr>
            <w:tcW w:w="429" w:type="pct"/>
            <w:vAlign w:val="center"/>
          </w:tcPr>
          <w:p w14:paraId="068C2490"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w:t>
            </w:r>
          </w:p>
        </w:tc>
        <w:tc>
          <w:tcPr>
            <w:tcW w:w="344" w:type="pct"/>
            <w:vAlign w:val="center"/>
          </w:tcPr>
          <w:p w14:paraId="49635F16"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88" w:type="pct"/>
            <w:vAlign w:val="center"/>
          </w:tcPr>
          <w:p w14:paraId="0443A05E" w14:textId="77777777" w:rsidR="00D4500C" w:rsidRPr="007E2939" w:rsidRDefault="00D4500C" w:rsidP="001E626E">
            <w:pPr>
              <w:spacing w:line="360" w:lineRule="auto"/>
              <w:jc w:val="center"/>
              <w:rPr>
                <w:rFonts w:ascii="Arial" w:hAnsi="Arial" w:cs="Arial"/>
              </w:rPr>
            </w:pPr>
            <w:r w:rsidRPr="007E2939">
              <w:rPr>
                <w:rFonts w:ascii="Arial" w:hAnsi="Arial" w:cs="Arial"/>
              </w:rPr>
              <w:t>Econometric</w:t>
            </w:r>
          </w:p>
        </w:tc>
        <w:tc>
          <w:tcPr>
            <w:tcW w:w="417" w:type="pct"/>
            <w:vAlign w:val="center"/>
          </w:tcPr>
          <w:p w14:paraId="316BF3AA"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24" w:type="pct"/>
            <w:vAlign w:val="center"/>
          </w:tcPr>
          <w:p w14:paraId="156F9F78" w14:textId="77777777" w:rsidR="00D4500C" w:rsidRPr="007E2939" w:rsidRDefault="00D4500C" w:rsidP="001E626E">
            <w:pPr>
              <w:spacing w:line="360" w:lineRule="auto"/>
              <w:jc w:val="center"/>
              <w:rPr>
                <w:rFonts w:ascii="Arial" w:hAnsi="Arial" w:cs="Arial"/>
              </w:rPr>
            </w:pPr>
            <w:r w:rsidRPr="007E2939">
              <w:rPr>
                <w:rFonts w:ascii="Arial" w:hAnsi="Arial" w:cs="Arial"/>
              </w:rPr>
              <w:br/>
              <w:t>Did not examine the separate sources of CE financin</w:t>
            </w:r>
            <w:r w:rsidRPr="007E2939">
              <w:rPr>
                <w:rFonts w:ascii="Arial" w:hAnsi="Arial" w:cs="Arial"/>
              </w:rPr>
              <w:lastRenderedPageBreak/>
              <w:t>g between public and private funding</w:t>
            </w:r>
          </w:p>
        </w:tc>
        <w:tc>
          <w:tcPr>
            <w:tcW w:w="472" w:type="pct"/>
            <w:vAlign w:val="center"/>
          </w:tcPr>
          <w:p w14:paraId="764588D8"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Investigate the risks of various types of financing related to CE-based business models</w:t>
            </w:r>
          </w:p>
        </w:tc>
      </w:tr>
      <w:tr w:rsidR="00D4500C" w:rsidRPr="007E2939" w14:paraId="39F4DE67" w14:textId="77777777" w:rsidTr="001E626E">
        <w:tc>
          <w:tcPr>
            <w:tcW w:w="158" w:type="pct"/>
            <w:vAlign w:val="center"/>
          </w:tcPr>
          <w:p w14:paraId="609E25EB" w14:textId="77777777" w:rsidR="00D4500C" w:rsidRPr="007E2939" w:rsidRDefault="00D4500C" w:rsidP="001E626E">
            <w:pPr>
              <w:spacing w:line="360" w:lineRule="auto"/>
              <w:jc w:val="center"/>
              <w:rPr>
                <w:rFonts w:ascii="Arial" w:hAnsi="Arial" w:cs="Arial"/>
              </w:rPr>
            </w:pPr>
            <w:r w:rsidRPr="007E2939">
              <w:rPr>
                <w:rFonts w:ascii="Arial" w:hAnsi="Arial" w:cs="Arial"/>
              </w:rPr>
              <w:t>6</w:t>
            </w:r>
          </w:p>
        </w:tc>
        <w:tc>
          <w:tcPr>
            <w:tcW w:w="376" w:type="pct"/>
            <w:vAlign w:val="center"/>
          </w:tcPr>
          <w:p w14:paraId="2E218356"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{"citationItems":[{"id":"ITEM-1","itemData":{"DOI":"10.24818/EA/2018/48/310","ISSN":"15829146","abstract":"Testing circular economy business models is crucial in understanding Circular Economy features across various industries. This paper analyses Circular Economy perceptions in Romanian SMEs by investigating entrepreneurs from PVC joinery industry. Using a multidimensional framework, ReSOLVE, as a conceptual model, and Lewandowski systematization, we measured 6 business actions and their relations with Value creation. The results of our survey can be described as mixed. Of the 6 business actions of ReSOLVE framework, for half of them (Regenerate, Optimize and Exchange) we can definitely conclude that these are correlated with Circular Economy in terms of Value Creation, while for a fourth there are variables significantly correlated without being able to conclude its overall contribution in terms of Value creation. Our empirical investigation contributes to literature development on Circular Economy research in SMEs and a step forward to shape future research initiatives.","author":[{"dropping-particle":"","family":"Ceptureanu","given":"Sebastian Ion","non-dropping-particle":"","parse-names":false,"suffix":""},{"dropping-particle":"","family":"Ceptureanu","given":"Eduard Gabriel","non-dropping-particle":"","parse-names":false,"suffix":""},{"dropping-particle":"","family":"Murswieck","given":"Raphael Gert Denis","non-dropping-particle":"","parse-names":false,"suffix":""}],"container-title":"Amfiteatru Economic","id":"ITEM-1","issue":"48","issued":{"date-parts":[["2018"]]},"page":"310-324","title":"Perceptions of circular business models in SMEs","type":"article-journal","volume":"20"},"uris":["http://www.mendeley.com/documents/?uuid=5258af2c-e8e2-44e6-9612-4b8df126623c"]}],"mendeley":{"formattedCitation":"(Ceptureanu et al., 2018)","manualFormatting":"Ceptureanu et al. (2018)","plainTextFormattedCitation":"(Ceptureanu et al., 2018)","previouslyFormattedCitation":"(Ceptureanu et al., 2018)"},"properties":{"noteIndex":0},"schema":"https://github.com/citation-style-language/schema/raw/master/csl-citation.json"}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Ceptureanu et al. (2018)</w:t>
            </w:r>
            <w:r w:rsidRPr="007E2939">
              <w:rPr>
                <w:rFonts w:ascii="Arial" w:hAnsi="Arial" w:cs="Arial"/>
              </w:rPr>
              <w:fldChar w:fldCharType="end"/>
            </w:r>
          </w:p>
        </w:tc>
        <w:tc>
          <w:tcPr>
            <w:tcW w:w="368" w:type="pct"/>
            <w:vAlign w:val="center"/>
          </w:tcPr>
          <w:p w14:paraId="56B84159" w14:textId="77777777" w:rsidR="00D4500C" w:rsidRPr="007E2939" w:rsidRDefault="00D4500C" w:rsidP="001E626E">
            <w:pPr>
              <w:spacing w:line="360" w:lineRule="auto"/>
              <w:jc w:val="center"/>
              <w:rPr>
                <w:rFonts w:ascii="Arial" w:hAnsi="Arial" w:cs="Arial"/>
              </w:rPr>
            </w:pPr>
            <w:r w:rsidRPr="007E2939">
              <w:rPr>
                <w:rFonts w:ascii="Tahoma" w:hAnsi="Tahoma" w:cs="Tahoma"/>
              </w:rPr>
              <w:t>﻿</w:t>
            </w:r>
            <w:proofErr w:type="spellStart"/>
            <w:r w:rsidRPr="007E2939">
              <w:rPr>
                <w:rFonts w:ascii="Arial" w:hAnsi="Arial" w:cs="Arial"/>
              </w:rPr>
              <w:t>ReSOLVE</w:t>
            </w:r>
            <w:proofErr w:type="spellEnd"/>
            <w:r w:rsidRPr="007E2939">
              <w:rPr>
                <w:rFonts w:ascii="Arial" w:hAnsi="Arial" w:cs="Arial"/>
              </w:rPr>
              <w:t xml:space="preserve"> framework</w:t>
            </w:r>
          </w:p>
        </w:tc>
        <w:tc>
          <w:tcPr>
            <w:tcW w:w="376" w:type="pct"/>
            <w:vAlign w:val="center"/>
          </w:tcPr>
          <w:p w14:paraId="75AFDBA1" w14:textId="77777777" w:rsidR="00D4500C" w:rsidRPr="007E2939" w:rsidRDefault="00D4500C" w:rsidP="001E626E">
            <w:pPr>
              <w:spacing w:line="360" w:lineRule="auto"/>
              <w:jc w:val="center"/>
              <w:rPr>
                <w:rFonts w:ascii="Arial" w:hAnsi="Arial" w:cs="Arial"/>
              </w:rPr>
            </w:pPr>
            <w:r w:rsidRPr="007E2939">
              <w:rPr>
                <w:rFonts w:ascii="Arial" w:hAnsi="Arial" w:cs="Arial"/>
              </w:rPr>
              <w:t>Romania</w:t>
            </w:r>
          </w:p>
        </w:tc>
        <w:tc>
          <w:tcPr>
            <w:tcW w:w="368" w:type="pct"/>
            <w:vAlign w:val="center"/>
          </w:tcPr>
          <w:p w14:paraId="7689A9B1" w14:textId="77777777" w:rsidR="00D4500C" w:rsidRPr="007E2939" w:rsidRDefault="00D4500C" w:rsidP="001E626E">
            <w:pPr>
              <w:spacing w:line="360" w:lineRule="auto"/>
              <w:jc w:val="center"/>
              <w:rPr>
                <w:rFonts w:ascii="Arial" w:hAnsi="Arial" w:cs="Arial"/>
              </w:rPr>
            </w:pPr>
            <w:r w:rsidRPr="007E2939">
              <w:rPr>
                <w:rFonts w:ascii="Arial" w:hAnsi="Arial" w:cs="Arial"/>
              </w:rPr>
              <w:t>PVC</w:t>
            </w:r>
          </w:p>
          <w:p w14:paraId="1A3FF565" w14:textId="77777777" w:rsidR="00D4500C" w:rsidRPr="007E2939" w:rsidRDefault="00D4500C" w:rsidP="001E626E">
            <w:pPr>
              <w:spacing w:line="360" w:lineRule="auto"/>
              <w:jc w:val="center"/>
              <w:rPr>
                <w:rFonts w:ascii="Arial" w:hAnsi="Arial" w:cs="Arial"/>
              </w:rPr>
            </w:pPr>
          </w:p>
        </w:tc>
        <w:tc>
          <w:tcPr>
            <w:tcW w:w="368" w:type="pct"/>
            <w:vAlign w:val="center"/>
          </w:tcPr>
          <w:p w14:paraId="22B5F48B" w14:textId="77777777" w:rsidR="00D4500C" w:rsidRPr="007E2939" w:rsidRDefault="00D4500C" w:rsidP="001E626E">
            <w:pPr>
              <w:spacing w:line="360" w:lineRule="auto"/>
              <w:jc w:val="center"/>
              <w:rPr>
                <w:rFonts w:ascii="Arial" w:hAnsi="Arial" w:cs="Arial"/>
              </w:rPr>
            </w:pPr>
            <w:r w:rsidRPr="007E2939">
              <w:rPr>
                <w:rFonts w:ascii="Arial" w:hAnsi="Arial" w:cs="Arial"/>
              </w:rPr>
              <w:t>Multiorganization</w:t>
            </w:r>
          </w:p>
        </w:tc>
        <w:tc>
          <w:tcPr>
            <w:tcW w:w="509" w:type="pct"/>
            <w:vAlign w:val="center"/>
          </w:tcPr>
          <w:p w14:paraId="39732B99" w14:textId="77777777" w:rsidR="00D4500C" w:rsidRPr="007E2939" w:rsidRDefault="00D4500C" w:rsidP="001E626E">
            <w:pPr>
              <w:spacing w:line="360" w:lineRule="auto"/>
              <w:jc w:val="center"/>
              <w:rPr>
                <w:rFonts w:ascii="Arial" w:hAnsi="Arial" w:cs="Arial"/>
              </w:rPr>
            </w:pPr>
            <w:r w:rsidRPr="007E2939">
              <w:rPr>
                <w:rFonts w:ascii="Arial" w:hAnsi="Arial" w:cs="Arial"/>
              </w:rPr>
              <w:t>Value creation</w:t>
            </w:r>
          </w:p>
        </w:tc>
        <w:tc>
          <w:tcPr>
            <w:tcW w:w="429" w:type="pct"/>
            <w:vAlign w:val="center"/>
          </w:tcPr>
          <w:p w14:paraId="125C61C7"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44" w:type="pct"/>
            <w:vAlign w:val="center"/>
          </w:tcPr>
          <w:p w14:paraId="7D1FD6EC"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88" w:type="pct"/>
            <w:vAlign w:val="center"/>
          </w:tcPr>
          <w:p w14:paraId="49850E73" w14:textId="77777777" w:rsidR="00D4500C" w:rsidRPr="007E2939" w:rsidRDefault="00D4500C" w:rsidP="001E626E">
            <w:pPr>
              <w:spacing w:line="360" w:lineRule="auto"/>
              <w:jc w:val="center"/>
              <w:rPr>
                <w:rFonts w:ascii="Arial" w:hAnsi="Arial" w:cs="Arial"/>
              </w:rPr>
            </w:pPr>
            <w:r w:rsidRPr="007E2939">
              <w:rPr>
                <w:rFonts w:ascii="Arial" w:hAnsi="Arial" w:cs="Arial"/>
              </w:rPr>
              <w:t>Correlation</w:t>
            </w:r>
          </w:p>
        </w:tc>
        <w:tc>
          <w:tcPr>
            <w:tcW w:w="417" w:type="pct"/>
            <w:vAlign w:val="center"/>
          </w:tcPr>
          <w:p w14:paraId="10882F37"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24" w:type="pct"/>
            <w:vAlign w:val="center"/>
          </w:tcPr>
          <w:p w14:paraId="538817DD" w14:textId="77777777" w:rsidR="00D4500C" w:rsidRPr="007E2939" w:rsidRDefault="00D4500C" w:rsidP="001E626E">
            <w:pPr>
              <w:spacing w:line="360" w:lineRule="auto"/>
              <w:jc w:val="center"/>
              <w:rPr>
                <w:rFonts w:ascii="Arial" w:hAnsi="Arial" w:cs="Arial"/>
              </w:rPr>
            </w:pPr>
            <w:r w:rsidRPr="007E2939">
              <w:rPr>
                <w:rFonts w:ascii="Arial" w:hAnsi="Arial" w:cs="Arial"/>
              </w:rPr>
              <w:t>Limited only to the PVC industry sector, and the sample is small.</w:t>
            </w:r>
          </w:p>
        </w:tc>
        <w:tc>
          <w:tcPr>
            <w:tcW w:w="472" w:type="pct"/>
            <w:vAlign w:val="center"/>
          </w:tcPr>
          <w:p w14:paraId="27084CAF" w14:textId="77777777" w:rsidR="00D4500C" w:rsidRPr="007E2939" w:rsidRDefault="00D4500C" w:rsidP="001E626E">
            <w:pPr>
              <w:spacing w:line="360" w:lineRule="auto"/>
              <w:jc w:val="center"/>
              <w:rPr>
                <w:rFonts w:ascii="Arial" w:hAnsi="Arial" w:cs="Arial"/>
              </w:rPr>
            </w:pPr>
            <w:r w:rsidRPr="007E2939">
              <w:rPr>
                <w:rFonts w:ascii="Arial" w:hAnsi="Arial" w:cs="Arial"/>
              </w:rPr>
              <w:t>Research on different industrial sectors and with larger sample sizes</w:t>
            </w:r>
          </w:p>
          <w:p w14:paraId="04728F6C" w14:textId="77777777" w:rsidR="00D4500C" w:rsidRPr="007E2939" w:rsidRDefault="00D4500C" w:rsidP="001E626E">
            <w:pPr>
              <w:spacing w:line="360" w:lineRule="auto"/>
              <w:jc w:val="center"/>
              <w:rPr>
                <w:rFonts w:ascii="Arial" w:hAnsi="Arial" w:cs="Arial"/>
              </w:rPr>
            </w:pPr>
          </w:p>
        </w:tc>
      </w:tr>
      <w:tr w:rsidR="00D4500C" w:rsidRPr="007E2939" w14:paraId="78371899" w14:textId="77777777" w:rsidTr="001E626E">
        <w:tc>
          <w:tcPr>
            <w:tcW w:w="158" w:type="pct"/>
            <w:vAlign w:val="center"/>
          </w:tcPr>
          <w:p w14:paraId="0204E9CB" w14:textId="77777777" w:rsidR="00D4500C" w:rsidRPr="007E2939" w:rsidRDefault="00D4500C" w:rsidP="001E626E">
            <w:pPr>
              <w:spacing w:line="360" w:lineRule="auto"/>
              <w:jc w:val="center"/>
              <w:rPr>
                <w:rFonts w:ascii="Arial" w:hAnsi="Arial" w:cs="Arial"/>
              </w:rPr>
            </w:pPr>
            <w:r w:rsidRPr="007E2939">
              <w:rPr>
                <w:rFonts w:ascii="Arial" w:hAnsi="Arial" w:cs="Arial"/>
              </w:rPr>
              <w:t>7</w:t>
            </w:r>
          </w:p>
        </w:tc>
        <w:tc>
          <w:tcPr>
            <w:tcW w:w="376" w:type="pct"/>
            <w:vAlign w:val="center"/>
          </w:tcPr>
          <w:p w14:paraId="1189B218"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{"citationItems":[{"id":"ITEM-1","itemData":{"DOI":"10.1108/JEIM-02-2019-0049","ISSN":"17410398","abstract":"Purpose: This paper highlights how biological waste materials can be used for generating the much needed energy and obtaining nutrient-rich compost for agriculture through anaerobic digestion (AD). The paper further highlights the importance of small and medium enterprises (SMEs) in using AD for converting waste to energy (WTE), leading to many environmental benefits as well as clean energy generation. It would help to reduce pollution, water acidification and carbon emissions that eventually lead to climate change. Design/methodology/approach: The researchers undertook an in-depth study to highlight the role played by an SME in converting WTE and helping towards achieving circularity. An exploratory case-based approach was used to understand value leakage for an AD plant operating on WTE principles in the UK. The plant is still currently active, and it is located in the Midlands, England. Fifteen semi-structured interviews were undertaken with different stakeholders. Findings: This paper reveals the importance of WTE and the significant role played by AD in converting food waste into useful matter. It reports further into the value leakage issue faced in the AD plants. It demonstrates the importance of technological innovation in SME to capture value leakages in a circular model. Most importantly, it demonstrates how SMEs gain competitive advantage and generate value proposition, while they aim for zero waste to landfill objective. Research limitations/implications: The research involves a case study based on an SME, operating on a circular business model. It will be worth investigating how other businesses could gain competitive advantage. For SMEs interested in AD for WTE, this paper introduces further technological innovation to the AD process to leverage further potential for reuse of waste liquid. Any SMEs entering WTE market ought to take into consideration such design implications. Practical implications: The paper reveals how the use of waste by SMEs would lead to many environmental benefits as well as clean energy generation. It would help to reduce pollution, water acidification and carbon emissions that eventually lead to climate change. It is useful for addressing the needs of waste food producers and is a cheap raw material for generating energy. The benefits to the public are that it reduces the need for landfill and increases recycling. Social implications: The WTE is an effective way of making use of last-stage waste. Originality/value:…","author":[{"dropping-particle":"","family":"Hussain","given":"Zahid","non-dropping-particle":"","parse-names":false,"suffix":""},{"dropping-particle":"","family":"Mishra","given":"Jyoti","non-dropping-particle":"","parse-names":false,"suffix":""},{"dropping-particle":"","family":"Vanacore","given":"Emanuela","non-dropping-particle":"","parse-names":false,"suffix":""}],"container-title":"Journal of Enterprise Information Management","id":"ITEM-1","issue":"4","issued":{"date-parts":[["2020"]]},"page":"817-838","title":"Waste to energy and circular economy: the case of anaerobic digestion","type":"article-journal","volume":"33"},"uris":["http://www.mendeley.com/documents/?uuid=faef0c61-f66a-4f54-9f5e-cf342d1cf652"]}],"mendeley":{"formattedCitation":"(Hussain et al., 2020)","manualFormatting":"Hussain et al. (2020)","plainTextFormattedCitation":"(Hussain et al., 2020)","previouslyFormattedCitation":"(Hussain et al., 2020)"},"properties":{"noteIndex":0},"schema":"https://github.com/citation-style-language/schema/raw/master/csl-citation.json"}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Hussain et al. (2020)</w:t>
            </w:r>
            <w:r w:rsidRPr="007E2939">
              <w:rPr>
                <w:rFonts w:ascii="Arial" w:hAnsi="Arial" w:cs="Arial"/>
              </w:rPr>
              <w:fldChar w:fldCharType="end"/>
            </w:r>
          </w:p>
        </w:tc>
        <w:tc>
          <w:tcPr>
            <w:tcW w:w="368" w:type="pct"/>
            <w:vAlign w:val="center"/>
          </w:tcPr>
          <w:p w14:paraId="6A81EFAD"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76" w:type="pct"/>
            <w:vAlign w:val="center"/>
          </w:tcPr>
          <w:p w14:paraId="15D4B018" w14:textId="77777777" w:rsidR="00D4500C" w:rsidRPr="007E2939" w:rsidRDefault="00D4500C" w:rsidP="001E626E">
            <w:pPr>
              <w:spacing w:line="360" w:lineRule="auto"/>
              <w:jc w:val="center"/>
              <w:rPr>
                <w:rFonts w:ascii="Arial" w:hAnsi="Arial" w:cs="Arial"/>
              </w:rPr>
            </w:pPr>
            <w:r w:rsidRPr="007E2939">
              <w:rPr>
                <w:rFonts w:ascii="Arial" w:hAnsi="Arial" w:cs="Arial"/>
              </w:rPr>
              <w:t>UK</w:t>
            </w:r>
          </w:p>
        </w:tc>
        <w:tc>
          <w:tcPr>
            <w:tcW w:w="368" w:type="pct"/>
            <w:vAlign w:val="center"/>
          </w:tcPr>
          <w:p w14:paraId="1B743FF2" w14:textId="77777777" w:rsidR="00D4500C" w:rsidRPr="007E2939" w:rsidRDefault="00D4500C" w:rsidP="001E626E">
            <w:pPr>
              <w:spacing w:line="360" w:lineRule="auto"/>
              <w:jc w:val="center"/>
              <w:rPr>
                <w:rFonts w:ascii="Arial" w:hAnsi="Arial" w:cs="Arial"/>
              </w:rPr>
            </w:pPr>
            <w:r w:rsidRPr="007E2939">
              <w:rPr>
                <w:rFonts w:ascii="Arial" w:hAnsi="Arial" w:cs="Arial"/>
              </w:rPr>
              <w:t>Food waste</w:t>
            </w:r>
          </w:p>
        </w:tc>
        <w:tc>
          <w:tcPr>
            <w:tcW w:w="368" w:type="pct"/>
            <w:vAlign w:val="center"/>
          </w:tcPr>
          <w:p w14:paraId="55C5D55E" w14:textId="77777777" w:rsidR="00D4500C" w:rsidRPr="007E2939" w:rsidRDefault="00D4500C" w:rsidP="001E626E">
            <w:pPr>
              <w:spacing w:line="360" w:lineRule="auto"/>
              <w:jc w:val="center"/>
              <w:rPr>
                <w:rFonts w:ascii="Arial" w:hAnsi="Arial" w:cs="Arial"/>
              </w:rPr>
            </w:pPr>
            <w:r w:rsidRPr="007E2939">
              <w:rPr>
                <w:rFonts w:ascii="Arial" w:hAnsi="Arial" w:cs="Arial"/>
              </w:rPr>
              <w:t>Organization</w:t>
            </w:r>
          </w:p>
        </w:tc>
        <w:tc>
          <w:tcPr>
            <w:tcW w:w="509" w:type="pct"/>
            <w:vAlign w:val="center"/>
          </w:tcPr>
          <w:p w14:paraId="219768AB" w14:textId="77777777" w:rsidR="00D4500C" w:rsidRPr="007E2939" w:rsidRDefault="00D4500C" w:rsidP="001E626E">
            <w:pPr>
              <w:spacing w:line="360" w:lineRule="auto"/>
              <w:jc w:val="center"/>
              <w:rPr>
                <w:rFonts w:ascii="Arial" w:hAnsi="Arial" w:cs="Arial"/>
              </w:rPr>
            </w:pPr>
            <w:r w:rsidRPr="007E2939">
              <w:rPr>
                <w:rFonts w:ascii="Arial" w:hAnsi="Arial" w:cs="Arial"/>
              </w:rPr>
              <w:t>Waste to energy technology innovatio</w:t>
            </w:r>
            <w:r w:rsidRPr="007E2939">
              <w:rPr>
                <w:rFonts w:ascii="Arial" w:hAnsi="Arial" w:cs="Arial"/>
              </w:rPr>
              <w:lastRenderedPageBreak/>
              <w:t>n barrier and risk</w:t>
            </w:r>
          </w:p>
        </w:tc>
        <w:tc>
          <w:tcPr>
            <w:tcW w:w="429" w:type="pct"/>
            <w:vAlign w:val="center"/>
          </w:tcPr>
          <w:p w14:paraId="489722B7"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w:t>
            </w:r>
          </w:p>
        </w:tc>
        <w:tc>
          <w:tcPr>
            <w:tcW w:w="344" w:type="pct"/>
            <w:vAlign w:val="center"/>
          </w:tcPr>
          <w:p w14:paraId="691BA1F7" w14:textId="77777777" w:rsidR="00D4500C" w:rsidRPr="007E2939" w:rsidRDefault="00D4500C" w:rsidP="001E626E">
            <w:pPr>
              <w:spacing w:line="360" w:lineRule="auto"/>
              <w:jc w:val="center"/>
              <w:rPr>
                <w:rFonts w:ascii="Arial" w:hAnsi="Arial" w:cs="Arial"/>
              </w:rPr>
            </w:pPr>
            <w:r w:rsidRPr="007E2939">
              <w:rPr>
                <w:rFonts w:ascii="Arial" w:hAnsi="Arial" w:cs="Arial"/>
              </w:rPr>
              <w:t>Semi-structured interview</w:t>
            </w:r>
          </w:p>
        </w:tc>
        <w:tc>
          <w:tcPr>
            <w:tcW w:w="388" w:type="pct"/>
            <w:vAlign w:val="center"/>
          </w:tcPr>
          <w:p w14:paraId="6421789D"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17" w:type="pct"/>
            <w:vAlign w:val="center"/>
          </w:tcPr>
          <w:p w14:paraId="731D10D9"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24" w:type="pct"/>
            <w:vAlign w:val="center"/>
          </w:tcPr>
          <w:p w14:paraId="3D1C51AA" w14:textId="77777777" w:rsidR="00D4500C" w:rsidRPr="007E2939" w:rsidRDefault="00D4500C" w:rsidP="001E626E">
            <w:pPr>
              <w:spacing w:line="360" w:lineRule="auto"/>
              <w:jc w:val="center"/>
              <w:rPr>
                <w:rFonts w:ascii="Arial" w:hAnsi="Arial" w:cs="Arial"/>
              </w:rPr>
            </w:pPr>
            <w:r w:rsidRPr="007E2939">
              <w:rPr>
                <w:rFonts w:ascii="Arial" w:hAnsi="Arial" w:cs="Arial"/>
              </w:rPr>
              <w:t>Limited only to the energy sector</w:t>
            </w:r>
          </w:p>
        </w:tc>
        <w:tc>
          <w:tcPr>
            <w:tcW w:w="472" w:type="pct"/>
            <w:vAlign w:val="center"/>
          </w:tcPr>
          <w:p w14:paraId="0275B1EA" w14:textId="77777777" w:rsidR="00D4500C" w:rsidRPr="007E2939" w:rsidRDefault="00D4500C" w:rsidP="001E626E">
            <w:pPr>
              <w:spacing w:line="360" w:lineRule="auto"/>
              <w:jc w:val="center"/>
              <w:rPr>
                <w:rFonts w:ascii="Arial" w:hAnsi="Arial" w:cs="Arial"/>
              </w:rPr>
            </w:pPr>
            <w:r w:rsidRPr="007E2939">
              <w:rPr>
                <w:rFonts w:ascii="Arial" w:hAnsi="Arial" w:cs="Arial"/>
              </w:rPr>
              <w:t>Examine the reuse of liquid waste</w:t>
            </w:r>
          </w:p>
        </w:tc>
      </w:tr>
      <w:tr w:rsidR="00D4500C" w:rsidRPr="007E2939" w14:paraId="60E24C1F" w14:textId="77777777" w:rsidTr="001E626E">
        <w:tc>
          <w:tcPr>
            <w:tcW w:w="158" w:type="pct"/>
            <w:vAlign w:val="center"/>
          </w:tcPr>
          <w:p w14:paraId="74B7A76F" w14:textId="77777777" w:rsidR="00D4500C" w:rsidRPr="007E2939" w:rsidRDefault="00D4500C" w:rsidP="001E626E">
            <w:pPr>
              <w:spacing w:line="360" w:lineRule="auto"/>
              <w:jc w:val="center"/>
              <w:rPr>
                <w:rFonts w:ascii="Arial" w:hAnsi="Arial" w:cs="Arial"/>
              </w:rPr>
            </w:pPr>
            <w:r w:rsidRPr="007E2939">
              <w:rPr>
                <w:rFonts w:ascii="Arial" w:hAnsi="Arial" w:cs="Arial"/>
              </w:rPr>
              <w:t>8</w:t>
            </w:r>
          </w:p>
        </w:tc>
        <w:tc>
          <w:tcPr>
            <w:tcW w:w="376" w:type="pct"/>
            <w:vAlign w:val="center"/>
          </w:tcPr>
          <w:p w14:paraId="449F35D9"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{"citationItems":[{"id":"ITEM-1","itemData":{"DOI":"10.3390/su13041899","ISSN":"20711050","abstract":"Reducing the environmental pressure along the products life cycle, increasing efficiency in the consumption of resources and use of renewable raw materials, and shifting the economic system toward a circular and a climate-neutral model represent the heart of the current macrotrends of the European Union (EU) policy agendas. The circular economy and bioeconomy concepts introduced in the EU’s Circular Economy Action Plan and the Bioeconomy Strategy support innovation in rethinking economic systems focusing on market uptaking of greener solutions based on less-intensive resource consumption. In recent decades, industrial research has devoted enormous investments to demonstrate sustainable circular bio-based business models capable of overcoming the “Valley of Death” through alternative strategic orientations of “technological-push” and “marketpull”. The study highlights industrial research’s evolution on bio-based circular business model validation, trends, and topics with particular attention to the empowering capacity of start-ups and small and medium-sized enterprises (SMEs) to close the loops in renewable biological use and reduce dependence on fossil fuels. The research methodology involves a bibliographic search based on the Preferred Reporting Items for Systematic Reviews and Meta-Analyses (PRISMA) approach and the European Innovation Council (EIC) Accelerator Data Hub investigation to understand SMEs’ key success factors and start-ups of the circular bioeconomy sector. Eco and bio-based materials, nutraceuticals, and microalgae represent the most sustainable industry applications, leading to circular bioeconomy business models’ future perspective.","author":[{"dropping-particle":"","family":"Gatto","given":"Fabiana","non-dropping-particle":"","parse-names":false,"suffix":""},{"dropping-particle":"","family":"Re","given":"Ilaria","non-dropping-particle":"","parse-names":false,"suffix":""}],"container-title":"Sustainability","id":"ITEM-1","issue":"4","issued":{"date-parts":[["2021"]]},"page":"1-37","title":"Circular bioeconomy business models to overcome the valley of death. A systematic statistical analysis of studies and projects in emerging bio-based technologies and trends linked to the sme instrument support","type":"article-journal","volume":"13"},"uris":["http://www.mendeley.com/documents/?uuid=a30435ea-a508-43d2-950b-8f2812e2e51e"]}],"mendeley":{"formattedCitation":"(Gatto &amp; Re, 2021)","manualFormatting":" Gatto &amp; Re (2021)","plainTextFormattedCitation":"(Gatto &amp; Re, 2021)","previouslyFormattedCitation":"(Gatto &amp; Re,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 xml:space="preserve"> Gatto and Re (2021)</w:t>
            </w:r>
            <w:r w:rsidRPr="007E2939">
              <w:rPr>
                <w:rFonts w:ascii="Arial" w:hAnsi="Arial" w:cs="Arial"/>
              </w:rPr>
              <w:fldChar w:fldCharType="end"/>
            </w:r>
          </w:p>
        </w:tc>
        <w:tc>
          <w:tcPr>
            <w:tcW w:w="368" w:type="pct"/>
            <w:vAlign w:val="center"/>
          </w:tcPr>
          <w:p w14:paraId="2AE1AEA9"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76" w:type="pct"/>
            <w:vAlign w:val="center"/>
          </w:tcPr>
          <w:p w14:paraId="2EF6414B" w14:textId="77777777" w:rsidR="00D4500C" w:rsidRPr="007E2939" w:rsidRDefault="00D4500C" w:rsidP="001E626E">
            <w:pPr>
              <w:spacing w:line="360" w:lineRule="auto"/>
              <w:jc w:val="center"/>
              <w:rPr>
                <w:rFonts w:ascii="Arial" w:hAnsi="Arial" w:cs="Arial"/>
              </w:rPr>
            </w:pPr>
            <w:r w:rsidRPr="007E2939">
              <w:rPr>
                <w:rFonts w:ascii="Tahoma" w:hAnsi="Tahoma" w:cs="Tahoma"/>
              </w:rPr>
              <w:t>﻿</w:t>
            </w:r>
          </w:p>
          <w:p w14:paraId="3833A10E" w14:textId="77777777" w:rsidR="00D4500C" w:rsidRPr="007E2939" w:rsidRDefault="00D4500C" w:rsidP="001E626E">
            <w:pPr>
              <w:spacing w:line="360" w:lineRule="auto"/>
              <w:jc w:val="center"/>
              <w:rPr>
                <w:rFonts w:ascii="Arial" w:hAnsi="Arial" w:cs="Arial"/>
              </w:rPr>
            </w:pPr>
            <w:r w:rsidRPr="007E2939">
              <w:rPr>
                <w:rFonts w:ascii="Arial" w:hAnsi="Arial" w:cs="Arial"/>
              </w:rPr>
              <w:t>European Union</w:t>
            </w:r>
          </w:p>
        </w:tc>
        <w:tc>
          <w:tcPr>
            <w:tcW w:w="368" w:type="pct"/>
            <w:vAlign w:val="center"/>
          </w:tcPr>
          <w:p w14:paraId="2FB66284"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 xml:space="preserve"> Bio-based products</w:t>
            </w:r>
          </w:p>
        </w:tc>
        <w:tc>
          <w:tcPr>
            <w:tcW w:w="368" w:type="pct"/>
            <w:vAlign w:val="center"/>
          </w:tcPr>
          <w:p w14:paraId="02EE1FEC"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509" w:type="pct"/>
            <w:vAlign w:val="center"/>
          </w:tcPr>
          <w:p w14:paraId="044B5C88"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Circular bio-economy business model</w:t>
            </w:r>
          </w:p>
        </w:tc>
        <w:tc>
          <w:tcPr>
            <w:tcW w:w="429" w:type="pct"/>
            <w:vAlign w:val="center"/>
          </w:tcPr>
          <w:p w14:paraId="5A297EEF"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44" w:type="pct"/>
            <w:vAlign w:val="center"/>
          </w:tcPr>
          <w:p w14:paraId="04F78A22" w14:textId="77777777" w:rsidR="00D4500C" w:rsidRPr="007E2939" w:rsidRDefault="00D4500C" w:rsidP="001E626E">
            <w:pPr>
              <w:spacing w:line="360" w:lineRule="auto"/>
              <w:jc w:val="center"/>
              <w:rPr>
                <w:rFonts w:ascii="Arial" w:hAnsi="Arial" w:cs="Arial"/>
              </w:rPr>
            </w:pPr>
            <w:r w:rsidRPr="007E2939">
              <w:rPr>
                <w:rFonts w:ascii="Arial" w:hAnsi="Arial" w:cs="Arial"/>
              </w:rPr>
              <w:t>SLR</w:t>
            </w:r>
          </w:p>
        </w:tc>
        <w:tc>
          <w:tcPr>
            <w:tcW w:w="388" w:type="pct"/>
            <w:vAlign w:val="center"/>
          </w:tcPr>
          <w:p w14:paraId="277AF373"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17" w:type="pct"/>
            <w:vAlign w:val="center"/>
          </w:tcPr>
          <w:p w14:paraId="32DA45FD"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24" w:type="pct"/>
            <w:vAlign w:val="center"/>
          </w:tcPr>
          <w:p w14:paraId="7ABBD220" w14:textId="77777777" w:rsidR="00D4500C" w:rsidRPr="007E2939" w:rsidRDefault="00D4500C" w:rsidP="001E626E">
            <w:pPr>
              <w:spacing w:line="360" w:lineRule="auto"/>
              <w:jc w:val="center"/>
              <w:rPr>
                <w:rFonts w:ascii="Arial" w:hAnsi="Arial" w:cs="Arial"/>
              </w:rPr>
            </w:pPr>
            <w:r w:rsidRPr="007E2939">
              <w:rPr>
                <w:rFonts w:ascii="Arial" w:hAnsi="Arial" w:cs="Arial"/>
              </w:rPr>
              <w:t>The potential author subjectivity related to the bibliometric classification of the number of projects analyzed is limited.</w:t>
            </w:r>
          </w:p>
        </w:tc>
        <w:tc>
          <w:tcPr>
            <w:tcW w:w="472" w:type="pct"/>
            <w:vAlign w:val="center"/>
          </w:tcPr>
          <w:p w14:paraId="1278FFF4" w14:textId="77777777" w:rsidR="00D4500C" w:rsidRPr="007E2939" w:rsidRDefault="00D4500C" w:rsidP="001E626E">
            <w:pPr>
              <w:spacing w:line="360" w:lineRule="auto"/>
              <w:jc w:val="center"/>
              <w:rPr>
                <w:rFonts w:ascii="Arial" w:hAnsi="Arial" w:cs="Arial"/>
              </w:rPr>
            </w:pPr>
            <w:r w:rsidRPr="007E2939">
              <w:rPr>
                <w:rFonts w:ascii="Arial" w:hAnsi="Arial" w:cs="Arial"/>
              </w:rPr>
              <w:t>Research on CE-based business models that are oriented to market demand</w:t>
            </w:r>
          </w:p>
          <w:p w14:paraId="46FFDD87" w14:textId="77777777" w:rsidR="00D4500C" w:rsidRPr="007E2939" w:rsidRDefault="00D4500C" w:rsidP="001E626E">
            <w:pPr>
              <w:spacing w:line="360" w:lineRule="auto"/>
              <w:jc w:val="center"/>
              <w:rPr>
                <w:rFonts w:ascii="Arial" w:hAnsi="Arial" w:cs="Arial"/>
              </w:rPr>
            </w:pPr>
          </w:p>
        </w:tc>
      </w:tr>
      <w:tr w:rsidR="00D4500C" w:rsidRPr="007E2939" w14:paraId="50DECB50" w14:textId="77777777" w:rsidTr="001E626E">
        <w:tc>
          <w:tcPr>
            <w:tcW w:w="158" w:type="pct"/>
            <w:vAlign w:val="center"/>
          </w:tcPr>
          <w:p w14:paraId="648F376C"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9</w:t>
            </w:r>
          </w:p>
        </w:tc>
        <w:tc>
          <w:tcPr>
            <w:tcW w:w="376" w:type="pct"/>
            <w:vAlign w:val="center"/>
          </w:tcPr>
          <w:p w14:paraId="654E153B"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{"citationItems":[{"id":"ITEM-1","itemData":{"DOI":"10.3390/su13031021","ISBN":"3934529860","ISSN":"20711050","abstract":"To contribute to small and medium enterprises’ (SMEs) sustainable transition into the circular economy, the study proposes the activation of organizational learning (OL) processes—denoted here as multi-level knowledge creation, transfer, and retention processes—as a key phase in introducing circular business models (CBMs) at SME and supply chain (SC) level. The research employs a mixed-method approach, using the focus group methodology to identify contextual elements impacting on CBM-related OL processes, and a survey-based evaluation to single out the most frequently used OL processes inside Italian construction SMEs. As a main result, a CBM-oriented OL multi-level model offers a fine-grained understanding of contextual elements acting mutually as barriers and drivers for OL processes, as possible OL dynamics among them. The multilevel culture construct—composed of external stakeholders’, SC stakeholders’, and organizational culture—identify the key element to activate CBM-oriented OL processes. Main implications are related to the identification of cultural, structural, regulatory, and process contextual elements across the external, SC, and organizational levels, and their interrelation with applicable intraorganizational and interorganizational learning processes. The proposed model would contribute to an improved implementation of transitioning into the circular economy utilizing sustainable business models in the construction SMEs.","author":[{"dropping-particle":"","family":"Scipioni","given":"Sara","non-dropping-particle":"","parse-names":false,"suffix":""},{"dropping-particle":"","family":"Russ","given":"Meir","non-dropping-particle":"","parse-names":false,"suffix":""},{"dropping-particle":"","family":"Niccolini","given":"Federico","non-dropping-particle":"","parse-names":false,"suffix":""}],"container-title":"Sustainability","id":"ITEM-1","issue":"3","issued":{"date-parts":[["2021"]]},"number-of-pages":"1-32","title":"From barriers to enablers: The role of organizational learning in transitioning smes into the circular economy","type":"book","volume":"13"},"uris":["http://www.mendeley.com/documents/?uuid=cc88e0cb-adc0-423e-89a0-236e8509aaf0"]}],"mendeley":{"formattedCitation":"(Scipioni et al., 2021)","manualFormatting":" Scipioni et al. (2021)","plainTextFormattedCitation":"(Scipioni et al., 2021)","previouslyFormattedCitation":"(Scipioni et al.,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 xml:space="preserve"> Scipioni et al. (2021)</w:t>
            </w:r>
            <w:r w:rsidRPr="007E2939">
              <w:rPr>
                <w:rFonts w:ascii="Arial" w:hAnsi="Arial" w:cs="Arial"/>
              </w:rPr>
              <w:fldChar w:fldCharType="end"/>
            </w:r>
          </w:p>
        </w:tc>
        <w:tc>
          <w:tcPr>
            <w:tcW w:w="368" w:type="pct"/>
            <w:vAlign w:val="center"/>
          </w:tcPr>
          <w:p w14:paraId="7F9160F4" w14:textId="77777777" w:rsidR="00D4500C" w:rsidRPr="007E2939" w:rsidRDefault="00D4500C" w:rsidP="001E626E">
            <w:pPr>
              <w:spacing w:line="360" w:lineRule="auto"/>
              <w:jc w:val="center"/>
              <w:rPr>
                <w:rFonts w:ascii="Arial" w:hAnsi="Arial" w:cs="Arial"/>
              </w:rPr>
            </w:pPr>
            <w:r w:rsidRPr="007E2939">
              <w:rPr>
                <w:rFonts w:ascii="Arial" w:hAnsi="Arial" w:cs="Arial"/>
              </w:rPr>
              <w:t>Organizational learning (OL)</w:t>
            </w:r>
          </w:p>
        </w:tc>
        <w:tc>
          <w:tcPr>
            <w:tcW w:w="376" w:type="pct"/>
            <w:vAlign w:val="center"/>
          </w:tcPr>
          <w:p w14:paraId="07417FC2" w14:textId="77777777" w:rsidR="00D4500C" w:rsidRPr="007E2939" w:rsidRDefault="00D4500C" w:rsidP="001E626E">
            <w:pPr>
              <w:spacing w:line="360" w:lineRule="auto"/>
              <w:jc w:val="center"/>
              <w:rPr>
                <w:rFonts w:ascii="Arial" w:hAnsi="Arial" w:cs="Arial"/>
              </w:rPr>
            </w:pPr>
            <w:r w:rsidRPr="007E2939">
              <w:rPr>
                <w:rFonts w:ascii="Arial" w:hAnsi="Arial" w:cs="Arial"/>
              </w:rPr>
              <w:t>Italy</w:t>
            </w:r>
          </w:p>
        </w:tc>
        <w:tc>
          <w:tcPr>
            <w:tcW w:w="368" w:type="pct"/>
            <w:vAlign w:val="center"/>
          </w:tcPr>
          <w:p w14:paraId="76CEE68D" w14:textId="77777777" w:rsidR="00D4500C" w:rsidRPr="007E2939" w:rsidRDefault="00D4500C" w:rsidP="001E626E">
            <w:pPr>
              <w:spacing w:line="360" w:lineRule="auto"/>
              <w:jc w:val="center"/>
              <w:rPr>
                <w:rFonts w:ascii="Arial" w:hAnsi="Arial" w:cs="Arial"/>
              </w:rPr>
            </w:pPr>
            <w:r w:rsidRPr="007E2939">
              <w:rPr>
                <w:rFonts w:ascii="Arial" w:hAnsi="Arial" w:cs="Arial"/>
              </w:rPr>
              <w:t>Construction</w:t>
            </w:r>
          </w:p>
          <w:p w14:paraId="7A6FAE73" w14:textId="77777777" w:rsidR="00D4500C" w:rsidRPr="007E2939" w:rsidRDefault="00D4500C" w:rsidP="001E626E">
            <w:pPr>
              <w:spacing w:line="360" w:lineRule="auto"/>
              <w:jc w:val="center"/>
              <w:rPr>
                <w:rFonts w:ascii="Arial" w:hAnsi="Arial" w:cs="Arial"/>
              </w:rPr>
            </w:pPr>
          </w:p>
        </w:tc>
        <w:tc>
          <w:tcPr>
            <w:tcW w:w="368" w:type="pct"/>
            <w:vAlign w:val="center"/>
          </w:tcPr>
          <w:p w14:paraId="29845C1A" w14:textId="77777777" w:rsidR="00D4500C" w:rsidRPr="007E2939" w:rsidRDefault="00D4500C" w:rsidP="001E626E">
            <w:pPr>
              <w:spacing w:line="360" w:lineRule="auto"/>
              <w:jc w:val="center"/>
              <w:rPr>
                <w:rFonts w:ascii="Arial" w:hAnsi="Arial" w:cs="Arial"/>
              </w:rPr>
            </w:pPr>
            <w:r w:rsidRPr="007E2939">
              <w:rPr>
                <w:rFonts w:ascii="Arial" w:hAnsi="Arial" w:cs="Arial"/>
              </w:rPr>
              <w:t>Multiorganization</w:t>
            </w:r>
          </w:p>
        </w:tc>
        <w:tc>
          <w:tcPr>
            <w:tcW w:w="509" w:type="pct"/>
            <w:vAlign w:val="center"/>
          </w:tcPr>
          <w:p w14:paraId="55CE21B1" w14:textId="77777777" w:rsidR="00D4500C" w:rsidRPr="007E2939" w:rsidRDefault="00D4500C" w:rsidP="001E626E">
            <w:pPr>
              <w:spacing w:line="360" w:lineRule="auto"/>
              <w:jc w:val="center"/>
              <w:rPr>
                <w:rFonts w:ascii="Arial" w:hAnsi="Arial" w:cs="Arial"/>
              </w:rPr>
            </w:pPr>
            <w:r w:rsidRPr="007E2939">
              <w:rPr>
                <w:rFonts w:ascii="Arial" w:hAnsi="Arial" w:cs="Arial"/>
              </w:rPr>
              <w:t xml:space="preserve">Multistage process (internal organization, supply chain stakeholders, external stakeholders) OL (creation, transfer, retention) from culture, regulation, structure, </w:t>
            </w:r>
            <w:r w:rsidRPr="007E2939">
              <w:rPr>
                <w:rFonts w:ascii="Arial" w:hAnsi="Arial" w:cs="Arial"/>
              </w:rPr>
              <w:lastRenderedPageBreak/>
              <w:t>and process</w:t>
            </w:r>
          </w:p>
        </w:tc>
        <w:tc>
          <w:tcPr>
            <w:tcW w:w="429" w:type="pct"/>
            <w:vAlign w:val="center"/>
          </w:tcPr>
          <w:p w14:paraId="5FEF71BE"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w:t>
            </w:r>
          </w:p>
        </w:tc>
        <w:tc>
          <w:tcPr>
            <w:tcW w:w="344" w:type="pct"/>
            <w:vAlign w:val="center"/>
          </w:tcPr>
          <w:p w14:paraId="7FEB7C2F"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88" w:type="pct"/>
            <w:vAlign w:val="center"/>
          </w:tcPr>
          <w:p w14:paraId="08080213"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17" w:type="pct"/>
            <w:vAlign w:val="center"/>
          </w:tcPr>
          <w:p w14:paraId="36445511"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24" w:type="pct"/>
            <w:vAlign w:val="center"/>
          </w:tcPr>
          <w:p w14:paraId="76802F8F" w14:textId="77777777" w:rsidR="00D4500C" w:rsidRPr="007E2939" w:rsidRDefault="00D4500C" w:rsidP="001E626E">
            <w:pPr>
              <w:spacing w:line="360" w:lineRule="auto"/>
              <w:jc w:val="center"/>
              <w:rPr>
                <w:rFonts w:ascii="Arial" w:hAnsi="Arial" w:cs="Arial"/>
              </w:rPr>
            </w:pPr>
          </w:p>
        </w:tc>
        <w:tc>
          <w:tcPr>
            <w:tcW w:w="472" w:type="pct"/>
            <w:vAlign w:val="center"/>
          </w:tcPr>
          <w:p w14:paraId="2EAD7E9B" w14:textId="77777777" w:rsidR="00D4500C" w:rsidRPr="007E2939" w:rsidRDefault="00D4500C" w:rsidP="001E626E">
            <w:pPr>
              <w:spacing w:line="360" w:lineRule="auto"/>
              <w:jc w:val="center"/>
              <w:rPr>
                <w:rFonts w:ascii="Arial" w:hAnsi="Arial" w:cs="Arial"/>
              </w:rPr>
            </w:pPr>
          </w:p>
        </w:tc>
      </w:tr>
      <w:tr w:rsidR="00D4500C" w:rsidRPr="007E2939" w14:paraId="33DD956D" w14:textId="77777777" w:rsidTr="001E626E">
        <w:tc>
          <w:tcPr>
            <w:tcW w:w="158" w:type="pct"/>
            <w:vAlign w:val="center"/>
          </w:tcPr>
          <w:p w14:paraId="0E2A8F16" w14:textId="77777777" w:rsidR="00D4500C" w:rsidRPr="007E2939" w:rsidRDefault="00D4500C" w:rsidP="001E626E">
            <w:pPr>
              <w:spacing w:line="360" w:lineRule="auto"/>
              <w:jc w:val="center"/>
              <w:rPr>
                <w:rFonts w:ascii="Arial" w:hAnsi="Arial" w:cs="Arial"/>
              </w:rPr>
            </w:pPr>
            <w:r w:rsidRPr="007E2939">
              <w:rPr>
                <w:rFonts w:ascii="Arial" w:hAnsi="Arial" w:cs="Arial"/>
              </w:rPr>
              <w:t>10</w:t>
            </w:r>
          </w:p>
        </w:tc>
        <w:tc>
          <w:tcPr>
            <w:tcW w:w="376" w:type="pct"/>
            <w:vAlign w:val="center"/>
          </w:tcPr>
          <w:p w14:paraId="11BFFC5D"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author":[{"dropping-particle":"","family":"Cantú","given":"Andrea","non-dropping-particle":"","parse-names":false,"suffix":""},{"dropping-particle":"","family":"Aguiñaga","given":"Eduardo","non-dropping-particle":"","parse-names":false,"suffix":""},{"dropping-particle":"","family":"Scheel","given":"Carlos","non-dropping-particle":"","parse-names":false,"suffix":""},{"dropping-particle":"","family":"Noland","given":"Kenneth","non-dropping-particle":"","parse-names":false,"suffix":""}],"container-title":"Sustainability","id":"ITEM-1","issued":{"date-parts":[["2021"]]},"title":"Learning from Failure and Success : The Challenges for Circular Economy Implementation in SMEs in an Emerging Economy","type":"article-journal","volume":"13"},"uris":["http://www.mendeley.com/documents/?uuid=01a6263e-80c0-4da8-add3-4b5292217270"]}],"mendeley":{"formattedCitation":"(Cantú et al., 2021)","manualFormatting":"Cantú et al. (2021)","plainTextFormattedCitation":"(Cantú et al., 2021)","previouslyFormattedCitation":"(Cantú et al.,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Cantú et al. (2021)</w:t>
            </w:r>
            <w:r w:rsidRPr="007E2939">
              <w:rPr>
                <w:rFonts w:ascii="Arial" w:hAnsi="Arial" w:cs="Arial"/>
              </w:rPr>
              <w:fldChar w:fldCharType="end"/>
            </w:r>
          </w:p>
        </w:tc>
        <w:tc>
          <w:tcPr>
            <w:tcW w:w="368" w:type="pct"/>
            <w:vAlign w:val="center"/>
          </w:tcPr>
          <w:p w14:paraId="0D412633" w14:textId="77777777" w:rsidR="00D4500C" w:rsidRPr="007E2939" w:rsidRDefault="00D4500C" w:rsidP="001E626E">
            <w:pPr>
              <w:spacing w:line="360" w:lineRule="auto"/>
              <w:jc w:val="center"/>
              <w:rPr>
                <w:rFonts w:ascii="Arial" w:hAnsi="Arial" w:cs="Arial"/>
              </w:rPr>
            </w:pPr>
            <w:r w:rsidRPr="007E2939">
              <w:rPr>
                <w:rFonts w:ascii="Tahoma" w:hAnsi="Tahoma" w:cs="Tahoma"/>
              </w:rPr>
              <w:t>﻿</w:t>
            </w:r>
            <w:proofErr w:type="spellStart"/>
            <w:r w:rsidRPr="007E2939">
              <w:rPr>
                <w:rFonts w:ascii="Arial" w:hAnsi="Arial" w:cs="Arial"/>
              </w:rPr>
              <w:t>ReSOLVE</w:t>
            </w:r>
            <w:proofErr w:type="spellEnd"/>
            <w:r w:rsidRPr="007E2939">
              <w:rPr>
                <w:rFonts w:ascii="Arial" w:hAnsi="Arial" w:cs="Arial"/>
              </w:rPr>
              <w:t xml:space="preserve"> framework</w:t>
            </w:r>
          </w:p>
        </w:tc>
        <w:tc>
          <w:tcPr>
            <w:tcW w:w="376" w:type="pct"/>
            <w:vAlign w:val="center"/>
          </w:tcPr>
          <w:p w14:paraId="17631EAA" w14:textId="77777777" w:rsidR="00D4500C" w:rsidRPr="007E2939" w:rsidRDefault="00D4500C" w:rsidP="001E626E">
            <w:pPr>
              <w:spacing w:line="360" w:lineRule="auto"/>
              <w:jc w:val="center"/>
              <w:rPr>
                <w:rFonts w:ascii="Arial" w:hAnsi="Arial" w:cs="Arial"/>
              </w:rPr>
            </w:pPr>
            <w:r w:rsidRPr="007E2939">
              <w:rPr>
                <w:rFonts w:ascii="Arial" w:hAnsi="Arial" w:cs="Arial"/>
              </w:rPr>
              <w:t>Mexico</w:t>
            </w:r>
          </w:p>
        </w:tc>
        <w:tc>
          <w:tcPr>
            <w:tcW w:w="368" w:type="pct"/>
            <w:vAlign w:val="center"/>
          </w:tcPr>
          <w:p w14:paraId="509C12B5"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68" w:type="pct"/>
            <w:vAlign w:val="center"/>
          </w:tcPr>
          <w:p w14:paraId="0E869761" w14:textId="77777777" w:rsidR="00D4500C" w:rsidRPr="007E2939" w:rsidRDefault="00D4500C" w:rsidP="001E626E">
            <w:pPr>
              <w:spacing w:line="360" w:lineRule="auto"/>
              <w:jc w:val="center"/>
              <w:rPr>
                <w:rFonts w:ascii="Arial" w:hAnsi="Arial" w:cs="Arial"/>
              </w:rPr>
            </w:pPr>
            <w:r w:rsidRPr="007E2939">
              <w:rPr>
                <w:rFonts w:ascii="Arial" w:hAnsi="Arial" w:cs="Arial"/>
              </w:rPr>
              <w:t>Multiorganization</w:t>
            </w:r>
          </w:p>
        </w:tc>
        <w:tc>
          <w:tcPr>
            <w:tcW w:w="509" w:type="pct"/>
            <w:vAlign w:val="center"/>
          </w:tcPr>
          <w:p w14:paraId="5C6A0DBF" w14:textId="77777777" w:rsidR="00D4500C" w:rsidRPr="007E2939" w:rsidRDefault="00D4500C" w:rsidP="001E626E">
            <w:pPr>
              <w:spacing w:line="360" w:lineRule="auto"/>
              <w:jc w:val="center"/>
              <w:rPr>
                <w:rFonts w:ascii="Arial" w:hAnsi="Arial" w:cs="Arial"/>
              </w:rPr>
            </w:pPr>
            <w:r w:rsidRPr="007E2939">
              <w:rPr>
                <w:rFonts w:ascii="Arial" w:hAnsi="Arial" w:cs="Arial"/>
              </w:rPr>
              <w:t>Emerging economy</w:t>
            </w:r>
          </w:p>
        </w:tc>
        <w:tc>
          <w:tcPr>
            <w:tcW w:w="429" w:type="pct"/>
            <w:vAlign w:val="center"/>
          </w:tcPr>
          <w:p w14:paraId="6B9E4A5A"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44" w:type="pct"/>
            <w:vAlign w:val="center"/>
          </w:tcPr>
          <w:p w14:paraId="3297431A" w14:textId="77777777" w:rsidR="00D4500C" w:rsidRPr="007E2939" w:rsidRDefault="00D4500C" w:rsidP="001E626E">
            <w:pPr>
              <w:spacing w:line="360" w:lineRule="auto"/>
              <w:jc w:val="center"/>
              <w:rPr>
                <w:rFonts w:ascii="Arial" w:hAnsi="Arial" w:cs="Arial"/>
              </w:rPr>
            </w:pPr>
            <w:r w:rsidRPr="007E2939">
              <w:rPr>
                <w:rFonts w:ascii="Arial" w:hAnsi="Arial" w:cs="Arial"/>
              </w:rPr>
              <w:t>Hybrid-thematic analysis (SLR) and grounded theory (semi-structured interview).</w:t>
            </w:r>
          </w:p>
        </w:tc>
        <w:tc>
          <w:tcPr>
            <w:tcW w:w="388" w:type="pct"/>
            <w:vAlign w:val="center"/>
          </w:tcPr>
          <w:p w14:paraId="6FF5FF34"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17" w:type="pct"/>
            <w:vAlign w:val="center"/>
          </w:tcPr>
          <w:p w14:paraId="4B4C6806"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24" w:type="pct"/>
            <w:vAlign w:val="center"/>
          </w:tcPr>
          <w:p w14:paraId="4D3F8B04" w14:textId="77777777" w:rsidR="00D4500C" w:rsidRPr="007E2939" w:rsidRDefault="00D4500C" w:rsidP="001E626E">
            <w:pPr>
              <w:spacing w:line="360" w:lineRule="auto"/>
              <w:jc w:val="center"/>
              <w:rPr>
                <w:rFonts w:ascii="Arial" w:hAnsi="Arial" w:cs="Arial"/>
              </w:rPr>
            </w:pPr>
            <w:r w:rsidRPr="007E2939">
              <w:rPr>
                <w:rFonts w:ascii="Arial" w:hAnsi="Arial" w:cs="Arial"/>
              </w:rPr>
              <w:t xml:space="preserve">CE </w:t>
            </w:r>
            <w:r>
              <w:rPr>
                <w:rFonts w:ascii="Arial" w:hAnsi="Arial" w:cs="Arial"/>
              </w:rPr>
              <w:t>view</w:t>
            </w:r>
            <w:r w:rsidRPr="007E2939">
              <w:rPr>
                <w:rFonts w:ascii="Arial" w:hAnsi="Arial" w:cs="Arial"/>
              </w:rPr>
              <w:t xml:space="preserve">point using only the </w:t>
            </w:r>
            <w:proofErr w:type="spellStart"/>
            <w:r w:rsidRPr="007E2939">
              <w:rPr>
                <w:rFonts w:ascii="Arial" w:hAnsi="Arial" w:cs="Arial"/>
              </w:rPr>
              <w:t>ReSOLVE</w:t>
            </w:r>
            <w:proofErr w:type="spellEnd"/>
            <w:r w:rsidRPr="007E2939">
              <w:rPr>
                <w:rFonts w:ascii="Arial" w:hAnsi="Arial" w:cs="Arial"/>
              </w:rPr>
              <w:t xml:space="preserve"> framework.</w:t>
            </w:r>
          </w:p>
        </w:tc>
        <w:tc>
          <w:tcPr>
            <w:tcW w:w="472" w:type="pct"/>
            <w:vAlign w:val="center"/>
          </w:tcPr>
          <w:p w14:paraId="19C4F451" w14:textId="77777777" w:rsidR="00D4500C" w:rsidRPr="007E2939" w:rsidRDefault="00D4500C" w:rsidP="001E626E">
            <w:pPr>
              <w:spacing w:line="360" w:lineRule="auto"/>
              <w:jc w:val="center"/>
              <w:rPr>
                <w:rFonts w:ascii="Arial" w:hAnsi="Arial" w:cs="Arial"/>
              </w:rPr>
            </w:pPr>
            <w:r w:rsidRPr="007E2939">
              <w:rPr>
                <w:rFonts w:ascii="Arial" w:hAnsi="Arial" w:cs="Arial"/>
              </w:rPr>
              <w:t>Use another framework approach (SWIT framework)</w:t>
            </w:r>
          </w:p>
        </w:tc>
      </w:tr>
      <w:tr w:rsidR="00D4500C" w:rsidRPr="007E2939" w14:paraId="7A81596C" w14:textId="77777777" w:rsidTr="001E626E">
        <w:tc>
          <w:tcPr>
            <w:tcW w:w="158" w:type="pct"/>
            <w:vAlign w:val="center"/>
          </w:tcPr>
          <w:p w14:paraId="56BA53CF" w14:textId="77777777" w:rsidR="00D4500C" w:rsidRPr="007E2939" w:rsidRDefault="00D4500C" w:rsidP="001E626E">
            <w:pPr>
              <w:spacing w:line="360" w:lineRule="auto"/>
              <w:jc w:val="center"/>
              <w:rPr>
                <w:rFonts w:ascii="Arial" w:hAnsi="Arial" w:cs="Arial"/>
              </w:rPr>
            </w:pPr>
            <w:r w:rsidRPr="007E2939">
              <w:rPr>
                <w:rFonts w:ascii="Arial" w:hAnsi="Arial" w:cs="Arial"/>
              </w:rPr>
              <w:t>11</w:t>
            </w:r>
          </w:p>
        </w:tc>
        <w:tc>
          <w:tcPr>
            <w:tcW w:w="376" w:type="pct"/>
            <w:vAlign w:val="center"/>
          </w:tcPr>
          <w:p w14:paraId="452E048A"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{"citationItems":[{"id":"ITEM-1","itemData":{"DOI":"10.3390/su13031282","ISSN":"20711050","abstract":"Although it is not clear yet what a full-grown circular economy (CE) is going to look like, it is clear that the challenges of transitioning to a CE are both impressive and urgent. The Dutch government has expressed the ambition to establish a CE in the Netherlands in 2050. In the wake of this, the Dutch Ministry of Agriculture, Nature and Food Quality laid down a vision on circular agriculture (CA). A key question with respect to both CE and CA is if and to what extent this means business as unusual: How distinct is circular business from normal business operations? The ways in which the notions of CE and circular business models (CBMs) are often introduced suggest a big difference. However, closer scrutiny also reveals that in practice the impact of circularity is less obvious. Against the backdrop of such opposite observations, this paper examines how Dutch farmers perceive circularity and what implications this has for their production practices. Interviews (n = 13) with Dutch farmers show that circular business is adapted in normal business management by some and regarded as a genuine alternative to the conventional food system by others. By taking Dutch farmers as an example, this paper aims to contribute to our understanding of how CE is interpreted in small and medium enterprises (SMEs).","author":[{"dropping-particle":"","family":"Dagevos","given":"Hans","non-dropping-particle":"","parse-names":false,"suffix":""},{"dropping-particle":"","family":"Lauwere","given":"Carolien","non-dropping-particle":"de","parse-names":false,"suffix":""}],"container-title":"Sustainability","id":"ITEM-1","issue":"3","issued":{"date-parts":[["2021"]]},"page":"1-15","title":"Circular business models and circular agriculture: Perceptions and practices of dutch farmers","type":"article-journal","volume":"13"},"uris":["http://www.mendeley.com/documents/?uuid=afb111da-4789-4edb-bf9e-f347dd38f39f"]}],"mendeley":{"formattedCitation":"(Dagevos &amp; de Lauwere, 2021)","manualFormatting":"Dagevos &amp; de Lauwere (2021)","plainTextFormattedCitation":"(Dagevos &amp; de Lauwere, 2021)","previouslyFormattedCitation":"(Dagevos &amp; de Lauwere,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 xml:space="preserve">Dagevos and de </w:t>
            </w:r>
            <w:r w:rsidRPr="007E2939">
              <w:rPr>
                <w:rFonts w:ascii="Arial" w:hAnsi="Arial" w:cs="Arial"/>
                <w:noProof/>
              </w:rPr>
              <w:lastRenderedPageBreak/>
              <w:t>Lauwere (2021)</w:t>
            </w:r>
            <w:r w:rsidRPr="007E2939">
              <w:rPr>
                <w:rFonts w:ascii="Arial" w:hAnsi="Arial" w:cs="Arial"/>
              </w:rPr>
              <w:fldChar w:fldCharType="end"/>
            </w:r>
          </w:p>
        </w:tc>
        <w:tc>
          <w:tcPr>
            <w:tcW w:w="368" w:type="pct"/>
            <w:vAlign w:val="center"/>
          </w:tcPr>
          <w:p w14:paraId="117101E5"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w:t>
            </w:r>
          </w:p>
        </w:tc>
        <w:tc>
          <w:tcPr>
            <w:tcW w:w="376" w:type="pct"/>
            <w:vAlign w:val="center"/>
          </w:tcPr>
          <w:p w14:paraId="376266EA" w14:textId="77777777" w:rsidR="00D4500C" w:rsidRPr="007E2939" w:rsidRDefault="00D4500C" w:rsidP="001E626E">
            <w:pPr>
              <w:spacing w:line="360" w:lineRule="auto"/>
              <w:jc w:val="center"/>
              <w:rPr>
                <w:rFonts w:ascii="Arial" w:hAnsi="Arial" w:cs="Arial"/>
              </w:rPr>
            </w:pPr>
            <w:r w:rsidRPr="007E2939">
              <w:rPr>
                <w:rFonts w:ascii="Arial" w:hAnsi="Arial" w:cs="Arial"/>
              </w:rPr>
              <w:t>The Netherlands</w:t>
            </w:r>
          </w:p>
        </w:tc>
        <w:tc>
          <w:tcPr>
            <w:tcW w:w="368" w:type="pct"/>
            <w:vAlign w:val="center"/>
          </w:tcPr>
          <w:p w14:paraId="5512E5BD" w14:textId="77777777" w:rsidR="00D4500C" w:rsidRPr="007E2939" w:rsidRDefault="00D4500C" w:rsidP="001E626E">
            <w:pPr>
              <w:spacing w:line="360" w:lineRule="auto"/>
              <w:jc w:val="center"/>
              <w:rPr>
                <w:rFonts w:ascii="Arial" w:hAnsi="Arial" w:cs="Arial"/>
              </w:rPr>
            </w:pPr>
            <w:r w:rsidRPr="007E2939">
              <w:rPr>
                <w:rFonts w:ascii="Arial" w:hAnsi="Arial" w:cs="Arial"/>
              </w:rPr>
              <w:t>Agriculture</w:t>
            </w:r>
          </w:p>
          <w:p w14:paraId="51046F7B" w14:textId="77777777" w:rsidR="00D4500C" w:rsidRPr="007E2939" w:rsidRDefault="00D4500C" w:rsidP="001E626E">
            <w:pPr>
              <w:spacing w:line="360" w:lineRule="auto"/>
              <w:jc w:val="center"/>
              <w:rPr>
                <w:rFonts w:ascii="Arial" w:hAnsi="Arial" w:cs="Arial"/>
              </w:rPr>
            </w:pPr>
          </w:p>
        </w:tc>
        <w:tc>
          <w:tcPr>
            <w:tcW w:w="368" w:type="pct"/>
            <w:vAlign w:val="center"/>
          </w:tcPr>
          <w:p w14:paraId="3235AA23" w14:textId="77777777" w:rsidR="00D4500C" w:rsidRPr="007E2939" w:rsidRDefault="00D4500C" w:rsidP="001E626E">
            <w:pPr>
              <w:spacing w:line="360" w:lineRule="auto"/>
              <w:jc w:val="center"/>
              <w:rPr>
                <w:rFonts w:ascii="Arial" w:hAnsi="Arial" w:cs="Arial"/>
              </w:rPr>
            </w:pPr>
            <w:r w:rsidRPr="007E2939">
              <w:rPr>
                <w:rFonts w:ascii="Arial" w:hAnsi="Arial" w:cs="Arial"/>
              </w:rPr>
              <w:t>Multiorganization</w:t>
            </w:r>
          </w:p>
        </w:tc>
        <w:tc>
          <w:tcPr>
            <w:tcW w:w="509" w:type="pct"/>
            <w:vAlign w:val="center"/>
          </w:tcPr>
          <w:p w14:paraId="4FCCBC22" w14:textId="77777777" w:rsidR="00D4500C" w:rsidRPr="007E2939" w:rsidRDefault="00D4500C" w:rsidP="001E626E">
            <w:pPr>
              <w:spacing w:line="360" w:lineRule="auto"/>
              <w:jc w:val="center"/>
              <w:rPr>
                <w:rFonts w:ascii="Arial" w:hAnsi="Arial" w:cs="Arial"/>
              </w:rPr>
            </w:pPr>
            <w:r w:rsidRPr="007E2939">
              <w:rPr>
                <w:rFonts w:ascii="Arial" w:hAnsi="Arial" w:cs="Arial"/>
              </w:rPr>
              <w:t xml:space="preserve">Critical performance </w:t>
            </w:r>
            <w:r w:rsidRPr="007E2939">
              <w:rPr>
                <w:rFonts w:ascii="Arial" w:hAnsi="Arial" w:cs="Arial"/>
              </w:rPr>
              <w:lastRenderedPageBreak/>
              <w:t>indicators of circular agriculture</w:t>
            </w:r>
          </w:p>
        </w:tc>
        <w:tc>
          <w:tcPr>
            <w:tcW w:w="429" w:type="pct"/>
            <w:vAlign w:val="center"/>
          </w:tcPr>
          <w:p w14:paraId="7C5A3FC3"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w:t>
            </w:r>
          </w:p>
        </w:tc>
        <w:tc>
          <w:tcPr>
            <w:tcW w:w="344" w:type="pct"/>
            <w:vAlign w:val="center"/>
          </w:tcPr>
          <w:p w14:paraId="2D4D0CC2" w14:textId="77777777" w:rsidR="00D4500C" w:rsidRPr="007E2939" w:rsidRDefault="00D4500C" w:rsidP="001E626E">
            <w:pPr>
              <w:spacing w:line="360" w:lineRule="auto"/>
              <w:jc w:val="center"/>
              <w:rPr>
                <w:rFonts w:ascii="Arial" w:hAnsi="Arial" w:cs="Arial"/>
              </w:rPr>
            </w:pPr>
            <w:r w:rsidRPr="007E2939">
              <w:rPr>
                <w:rFonts w:ascii="Arial" w:hAnsi="Arial" w:cs="Arial"/>
              </w:rPr>
              <w:t>Interview</w:t>
            </w:r>
          </w:p>
        </w:tc>
        <w:tc>
          <w:tcPr>
            <w:tcW w:w="388" w:type="pct"/>
            <w:vAlign w:val="center"/>
          </w:tcPr>
          <w:p w14:paraId="7FEF3E1F"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17" w:type="pct"/>
            <w:vAlign w:val="center"/>
          </w:tcPr>
          <w:p w14:paraId="182F2EB0"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24" w:type="pct"/>
            <w:vAlign w:val="center"/>
          </w:tcPr>
          <w:p w14:paraId="651EE07D"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72" w:type="pct"/>
            <w:vAlign w:val="center"/>
          </w:tcPr>
          <w:p w14:paraId="6C971158"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r>
      <w:tr w:rsidR="00D4500C" w:rsidRPr="007E2939" w14:paraId="15A26639" w14:textId="77777777" w:rsidTr="001E626E">
        <w:tc>
          <w:tcPr>
            <w:tcW w:w="158" w:type="pct"/>
            <w:vAlign w:val="center"/>
          </w:tcPr>
          <w:p w14:paraId="4F507932" w14:textId="77777777" w:rsidR="00D4500C" w:rsidRPr="007E2939" w:rsidRDefault="00D4500C" w:rsidP="001E626E">
            <w:pPr>
              <w:spacing w:line="360" w:lineRule="auto"/>
              <w:jc w:val="center"/>
              <w:rPr>
                <w:rFonts w:ascii="Arial" w:hAnsi="Arial" w:cs="Arial"/>
              </w:rPr>
            </w:pPr>
            <w:r w:rsidRPr="007E2939">
              <w:rPr>
                <w:rFonts w:ascii="Arial" w:hAnsi="Arial" w:cs="Arial"/>
              </w:rPr>
              <w:t>12</w:t>
            </w:r>
          </w:p>
        </w:tc>
        <w:tc>
          <w:tcPr>
            <w:tcW w:w="376" w:type="pct"/>
            <w:vAlign w:val="center"/>
          </w:tcPr>
          <w:p w14:paraId="5D4661D5"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{"citationItems":[{"id":"ITEM-1","itemData":{"DOI":"10.1108/meq-01-2021-0011","ISSN":"1477-7835","abstract":"Purpose: This study aims to investigate the evolutionary pathways adopted by a digital platform to favor the development of an entrepreneurial ecosystem inspired by circular economy behaviors, becoming an enabler in the development of a coevolutionary relationship between entrepreneurial ecosystems and circular economy. Design/methodology/approach: An in-depth single-case study method has been applied, investigating the case of circularity.com, the first and only circular economy industrial symbiosis platform in Italy. Findings: The paper shows how digital platforms can transition towards circular business models, particularly for small and medium enterprises (SMEs). Moreover, the findings show how sustainable platforms' need to revise their business models to effectively engage with stakeholders. The analysis also shows the central role covered by entrepreneurial ecosystems in the transition towards a more circular and sustainable business models. Originality/value: This paper contributes to theoretical development by offering new and insightful explanations of firms' behavior and coevolution, moving beyond the classic interpretation of industry dynamics and analyzing a unique case study. This study has implications for both practice and research, as it offers a better and more holistic understanding of the enabling role of digital platforms for a circular economy.","author":[{"dropping-particle":"","family":"Pizzi","given":"Simone","non-dropping-particle":"","parse-names":false,"suffix":""},{"dropping-particle":"","family":"Leopizzi","given":"Rossella","non-dropping-particle":"","parse-names":false,"suffix":""},{"dropping-particle":"","family":"Caputo","given":"Andrea","non-dropping-particle":"","parse-names":false,"suffix":""}],"container-title":"Management of Environmental Quality","id":"ITEM-1","issued":{"date-parts":[["2021"]]},"title":"The enablers in the relationship between entrepreneurial ecosystems and the circular economy: the case of circularity.com","type":"article-journal"},"uris":["http://www.mendeley.com/documents/?uuid=d77b424a-4ed3-4b72-8e2f-44914e971761"]}],"mendeley":{"formattedCitation":"(Pizzi et al., 2021)","manualFormatting":"Pizzi et al. (2021)","plainTextFormattedCitation":"(Pizzi et al., 2021)","previouslyFormattedCitation":"(Pizzi et al.,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Pizzi et al. (2021)</w:t>
            </w:r>
            <w:r w:rsidRPr="007E2939">
              <w:rPr>
                <w:rFonts w:ascii="Arial" w:hAnsi="Arial" w:cs="Arial"/>
              </w:rPr>
              <w:fldChar w:fldCharType="end"/>
            </w:r>
          </w:p>
        </w:tc>
        <w:tc>
          <w:tcPr>
            <w:tcW w:w="368" w:type="pct"/>
            <w:vAlign w:val="center"/>
          </w:tcPr>
          <w:p w14:paraId="70240D14"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76" w:type="pct"/>
            <w:vAlign w:val="center"/>
          </w:tcPr>
          <w:p w14:paraId="3216BD44" w14:textId="77777777" w:rsidR="00D4500C" w:rsidRPr="007E2939" w:rsidRDefault="00D4500C" w:rsidP="001E626E">
            <w:pPr>
              <w:spacing w:line="360" w:lineRule="auto"/>
              <w:jc w:val="center"/>
              <w:rPr>
                <w:rFonts w:ascii="Arial" w:hAnsi="Arial" w:cs="Arial"/>
              </w:rPr>
            </w:pPr>
            <w:r w:rsidRPr="007E2939">
              <w:rPr>
                <w:rFonts w:ascii="Arial" w:hAnsi="Arial" w:cs="Arial"/>
              </w:rPr>
              <w:t>Italy</w:t>
            </w:r>
          </w:p>
        </w:tc>
        <w:tc>
          <w:tcPr>
            <w:tcW w:w="368" w:type="pct"/>
            <w:vAlign w:val="center"/>
          </w:tcPr>
          <w:p w14:paraId="2D679D11" w14:textId="77777777" w:rsidR="00D4500C" w:rsidRPr="007E2939" w:rsidRDefault="00D4500C" w:rsidP="001E626E">
            <w:pPr>
              <w:spacing w:line="360" w:lineRule="auto"/>
              <w:jc w:val="center"/>
              <w:rPr>
                <w:rFonts w:ascii="Arial" w:hAnsi="Arial" w:cs="Arial"/>
              </w:rPr>
            </w:pPr>
            <w:r w:rsidRPr="007E2939">
              <w:rPr>
                <w:rFonts w:ascii="Arial" w:hAnsi="Arial" w:cs="Arial"/>
              </w:rPr>
              <w:t>Digital platform</w:t>
            </w:r>
          </w:p>
          <w:p w14:paraId="7B0153F6" w14:textId="77777777" w:rsidR="00D4500C" w:rsidRPr="007E2939" w:rsidRDefault="00D4500C" w:rsidP="001E626E">
            <w:pPr>
              <w:spacing w:line="360" w:lineRule="auto"/>
              <w:jc w:val="center"/>
              <w:rPr>
                <w:rFonts w:ascii="Arial" w:hAnsi="Arial" w:cs="Arial"/>
              </w:rPr>
            </w:pPr>
          </w:p>
        </w:tc>
        <w:tc>
          <w:tcPr>
            <w:tcW w:w="368" w:type="pct"/>
            <w:vAlign w:val="center"/>
          </w:tcPr>
          <w:p w14:paraId="7CFF0CCF" w14:textId="77777777" w:rsidR="00D4500C" w:rsidRPr="007E2939" w:rsidRDefault="00D4500C" w:rsidP="001E626E">
            <w:pPr>
              <w:spacing w:line="360" w:lineRule="auto"/>
              <w:rPr>
                <w:rFonts w:ascii="Arial" w:hAnsi="Arial" w:cs="Arial"/>
              </w:rPr>
            </w:pPr>
            <w:r w:rsidRPr="007E2939">
              <w:rPr>
                <w:rFonts w:ascii="Arial" w:hAnsi="Arial" w:cs="Arial"/>
              </w:rPr>
              <w:t>Organization</w:t>
            </w:r>
          </w:p>
        </w:tc>
        <w:tc>
          <w:tcPr>
            <w:tcW w:w="509" w:type="pct"/>
            <w:vAlign w:val="center"/>
          </w:tcPr>
          <w:p w14:paraId="5F9B588F" w14:textId="77777777" w:rsidR="00D4500C" w:rsidRPr="007E2939" w:rsidRDefault="00D4500C" w:rsidP="001E626E">
            <w:pPr>
              <w:spacing w:line="360" w:lineRule="auto"/>
              <w:jc w:val="center"/>
              <w:rPr>
                <w:rFonts w:ascii="Arial" w:hAnsi="Arial" w:cs="Arial"/>
              </w:rPr>
            </w:pPr>
            <w:r w:rsidRPr="007E2939">
              <w:rPr>
                <w:rFonts w:ascii="Arial" w:hAnsi="Arial" w:cs="Arial"/>
              </w:rPr>
              <w:t>Entrepreneurial ecosystem</w:t>
            </w:r>
          </w:p>
        </w:tc>
        <w:tc>
          <w:tcPr>
            <w:tcW w:w="429" w:type="pct"/>
            <w:vAlign w:val="center"/>
          </w:tcPr>
          <w:p w14:paraId="65A14D6C"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44" w:type="pct"/>
            <w:vAlign w:val="center"/>
          </w:tcPr>
          <w:p w14:paraId="78242284" w14:textId="77777777" w:rsidR="00D4500C" w:rsidRPr="007E2939" w:rsidRDefault="00D4500C" w:rsidP="001E626E">
            <w:pPr>
              <w:spacing w:line="360" w:lineRule="auto"/>
              <w:jc w:val="center"/>
              <w:rPr>
                <w:rFonts w:ascii="Arial" w:hAnsi="Arial" w:cs="Arial"/>
              </w:rPr>
            </w:pPr>
            <w:r w:rsidRPr="007E2939">
              <w:rPr>
                <w:rFonts w:ascii="Arial" w:hAnsi="Arial" w:cs="Arial"/>
              </w:rPr>
              <w:t>Case study</w:t>
            </w:r>
          </w:p>
        </w:tc>
        <w:tc>
          <w:tcPr>
            <w:tcW w:w="388" w:type="pct"/>
            <w:vAlign w:val="center"/>
          </w:tcPr>
          <w:p w14:paraId="1D4D0C94"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17" w:type="pct"/>
            <w:vAlign w:val="center"/>
          </w:tcPr>
          <w:p w14:paraId="2FE84F86"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24" w:type="pct"/>
            <w:vAlign w:val="center"/>
          </w:tcPr>
          <w:p w14:paraId="7E3FA5A3" w14:textId="77777777" w:rsidR="00D4500C" w:rsidRPr="007E2939" w:rsidRDefault="00D4500C" w:rsidP="001E626E">
            <w:pPr>
              <w:spacing w:line="360" w:lineRule="auto"/>
              <w:jc w:val="center"/>
              <w:rPr>
                <w:rFonts w:ascii="Arial" w:hAnsi="Arial" w:cs="Arial"/>
              </w:rPr>
            </w:pPr>
            <w:r w:rsidRPr="007E2939">
              <w:rPr>
                <w:rFonts w:ascii="Arial" w:hAnsi="Arial" w:cs="Arial"/>
              </w:rPr>
              <w:t>The research context is only from one case.</w:t>
            </w:r>
          </w:p>
          <w:p w14:paraId="6AC255DF" w14:textId="77777777" w:rsidR="00D4500C" w:rsidRPr="007E2939" w:rsidRDefault="00D4500C" w:rsidP="001E626E">
            <w:pPr>
              <w:spacing w:line="360" w:lineRule="auto"/>
              <w:jc w:val="center"/>
              <w:rPr>
                <w:rFonts w:ascii="Arial" w:hAnsi="Arial" w:cs="Arial"/>
              </w:rPr>
            </w:pPr>
          </w:p>
        </w:tc>
        <w:tc>
          <w:tcPr>
            <w:tcW w:w="472" w:type="pct"/>
            <w:vAlign w:val="center"/>
          </w:tcPr>
          <w:p w14:paraId="3C654F5D" w14:textId="77777777" w:rsidR="00D4500C" w:rsidRPr="007E2939" w:rsidRDefault="00D4500C" w:rsidP="001E626E">
            <w:pPr>
              <w:spacing w:line="360" w:lineRule="auto"/>
              <w:jc w:val="center"/>
              <w:rPr>
                <w:rFonts w:ascii="Arial" w:hAnsi="Arial" w:cs="Arial"/>
              </w:rPr>
            </w:pPr>
            <w:r w:rsidRPr="007E2939">
              <w:rPr>
                <w:rFonts w:ascii="Arial" w:hAnsi="Arial" w:cs="Arial"/>
              </w:rPr>
              <w:t>Study the roles of digitization and sustainable behavior; use a broader sample</w:t>
            </w:r>
          </w:p>
        </w:tc>
      </w:tr>
      <w:tr w:rsidR="00D4500C" w:rsidRPr="007E2939" w14:paraId="0059E111" w14:textId="77777777" w:rsidTr="001E626E">
        <w:tc>
          <w:tcPr>
            <w:tcW w:w="158" w:type="pct"/>
            <w:vAlign w:val="center"/>
          </w:tcPr>
          <w:p w14:paraId="12385E78" w14:textId="77777777" w:rsidR="00D4500C" w:rsidRPr="007E2939" w:rsidRDefault="00D4500C" w:rsidP="001E626E">
            <w:pPr>
              <w:spacing w:line="360" w:lineRule="auto"/>
              <w:jc w:val="center"/>
              <w:rPr>
                <w:rFonts w:ascii="Arial" w:hAnsi="Arial" w:cs="Arial"/>
              </w:rPr>
            </w:pPr>
            <w:r w:rsidRPr="007E2939">
              <w:rPr>
                <w:rFonts w:ascii="Arial" w:hAnsi="Arial" w:cs="Arial"/>
              </w:rPr>
              <w:t>13</w:t>
            </w:r>
          </w:p>
        </w:tc>
        <w:tc>
          <w:tcPr>
            <w:tcW w:w="376" w:type="pct"/>
            <w:vAlign w:val="center"/>
          </w:tcPr>
          <w:p w14:paraId="178CD931"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{"citationItems":[{"id":"ITEM-1","itemData":{"DOI":"10.2478/rtuect-2020-0088","ISSN":"22558837","abstract":"While the capacities of larger enterprises enable them to adopt new circular design approaches and business models, small and medium-sized enterprises (SME) are also increasingly aware of the benefits of closing loops and improving resource efficiency. The SMEs in Estonia are confronted with several obstacles that hinder their circular design related actions. The organizational capacity and capability play a significant role in small businesses when developing concrete solutions for the circular economy, integrate those principles into their strategy and product development process and sustain those efforts. This paper aims to explore the SMEs' circular design capacity and capability for adopting new approaches in traditional small manufacturing companies who have a product-oriented focus and follow the dominant linear economy business strategy in Estonia. The circular design assessment method was developed to analyse a company's current status of circularity and evaluate the level of eco/circular design capacity. The results of the study show that the critical dimensions that are crucial for SMEs' ability to successfully perform circular design are related to their business strategy and planning, owners/manages leadership as well as ability to learn and cooperate and create relationships with external entities for internal dissemination.","author":[{"dropping-particle":"","family":"Vihma","given":"Markus","non-dropping-particle":"","parse-names":false,"suffix":""},{"dropping-particle":"","family":"Moora","given":"Harri","non-dropping-particle":"","parse-names":false,"suffix":""}],"container-title":"Environmental and Climate Technologies","id":"ITEM-1","issue":"3","issued":{"date-parts":[["2020"]]},"page":"94-103","title":"Potential of Circular Design in Estonian SMEs and their Capacity to Push it","type":"article-journal","volume":"24"},"uris":["http://www.mendeley.com/documents/?uuid=5c2a66cf-2948-44dc-9cb8-ecc550649d27"]}],"mendeley":{"formattedCitation":"(Vihma &amp; Moora, 2020)","manualFormatting":"Vihma &amp; Moora (2020)","plainTextFormattedCitation":"(Vihma &amp; Moora, 2020)","previouslyFormattedCitation":"(Vihma &amp; Moora, 2020)"},"properties":{"noteIndex":0},"schema":"https://github.com/citation-style-language/schema/raw/master/csl-citation.json"}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Vihma and Moora (2020)</w:t>
            </w:r>
            <w:r w:rsidRPr="007E2939">
              <w:rPr>
                <w:rFonts w:ascii="Arial" w:hAnsi="Arial" w:cs="Arial"/>
              </w:rPr>
              <w:fldChar w:fldCharType="end"/>
            </w:r>
          </w:p>
        </w:tc>
        <w:tc>
          <w:tcPr>
            <w:tcW w:w="368" w:type="pct"/>
            <w:vAlign w:val="center"/>
          </w:tcPr>
          <w:p w14:paraId="1174FE1A"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Innovation Diamond model</w:t>
            </w:r>
          </w:p>
        </w:tc>
        <w:tc>
          <w:tcPr>
            <w:tcW w:w="376" w:type="pct"/>
            <w:vAlign w:val="center"/>
          </w:tcPr>
          <w:p w14:paraId="5044E1FE" w14:textId="77777777" w:rsidR="00D4500C" w:rsidRPr="007E2939" w:rsidRDefault="00D4500C" w:rsidP="001E626E">
            <w:pPr>
              <w:spacing w:line="360" w:lineRule="auto"/>
              <w:jc w:val="center"/>
              <w:rPr>
                <w:rFonts w:ascii="Arial" w:hAnsi="Arial" w:cs="Arial"/>
              </w:rPr>
            </w:pPr>
            <w:r w:rsidRPr="007E2939">
              <w:rPr>
                <w:rFonts w:ascii="Arial" w:hAnsi="Arial" w:cs="Arial"/>
              </w:rPr>
              <w:t>Estonia</w:t>
            </w:r>
          </w:p>
        </w:tc>
        <w:tc>
          <w:tcPr>
            <w:tcW w:w="368" w:type="pct"/>
            <w:vAlign w:val="center"/>
          </w:tcPr>
          <w:p w14:paraId="7D9EB01A" w14:textId="77777777" w:rsidR="00D4500C" w:rsidRPr="007E2939" w:rsidRDefault="00D4500C" w:rsidP="001E626E">
            <w:pPr>
              <w:spacing w:line="360" w:lineRule="auto"/>
              <w:jc w:val="center"/>
              <w:rPr>
                <w:rFonts w:ascii="Arial" w:hAnsi="Arial" w:cs="Arial"/>
              </w:rPr>
            </w:pPr>
            <w:r w:rsidRPr="007E2939">
              <w:rPr>
                <w:rFonts w:ascii="Arial" w:hAnsi="Arial" w:cs="Arial"/>
              </w:rPr>
              <w:t>Manufacturing</w:t>
            </w:r>
          </w:p>
          <w:p w14:paraId="4BD6C5B0" w14:textId="77777777" w:rsidR="00D4500C" w:rsidRPr="007E2939" w:rsidRDefault="00D4500C" w:rsidP="001E626E">
            <w:pPr>
              <w:spacing w:line="360" w:lineRule="auto"/>
              <w:jc w:val="center"/>
              <w:rPr>
                <w:rFonts w:ascii="Arial" w:hAnsi="Arial" w:cs="Arial"/>
              </w:rPr>
            </w:pPr>
          </w:p>
        </w:tc>
        <w:tc>
          <w:tcPr>
            <w:tcW w:w="368" w:type="pct"/>
            <w:vAlign w:val="center"/>
          </w:tcPr>
          <w:p w14:paraId="096ACEAD" w14:textId="77777777" w:rsidR="00D4500C" w:rsidRPr="007E2939" w:rsidRDefault="00D4500C" w:rsidP="001E626E">
            <w:pPr>
              <w:spacing w:line="360" w:lineRule="auto"/>
              <w:jc w:val="center"/>
              <w:rPr>
                <w:rFonts w:ascii="Arial" w:hAnsi="Arial" w:cs="Arial"/>
              </w:rPr>
            </w:pPr>
            <w:r w:rsidRPr="007E2939">
              <w:rPr>
                <w:rFonts w:ascii="Arial" w:hAnsi="Arial" w:cs="Arial"/>
              </w:rPr>
              <w:t>Multiorganization</w:t>
            </w:r>
          </w:p>
        </w:tc>
        <w:tc>
          <w:tcPr>
            <w:tcW w:w="509" w:type="pct"/>
            <w:vAlign w:val="center"/>
          </w:tcPr>
          <w:p w14:paraId="61877F3D" w14:textId="77777777" w:rsidR="00D4500C" w:rsidRPr="007E2939" w:rsidRDefault="00D4500C" w:rsidP="001E626E">
            <w:pPr>
              <w:spacing w:line="360" w:lineRule="auto"/>
              <w:jc w:val="center"/>
              <w:rPr>
                <w:rFonts w:ascii="Arial" w:hAnsi="Arial" w:cs="Arial"/>
              </w:rPr>
            </w:pPr>
            <w:r w:rsidRPr="007E2939">
              <w:rPr>
                <w:rFonts w:ascii="Arial" w:hAnsi="Arial" w:cs="Arial"/>
              </w:rPr>
              <w:t xml:space="preserve">Capacity to implement CE-based business </w:t>
            </w:r>
            <w:r w:rsidRPr="007E2939">
              <w:rPr>
                <w:rFonts w:ascii="Arial" w:hAnsi="Arial" w:cs="Arial"/>
              </w:rPr>
              <w:lastRenderedPageBreak/>
              <w:t>models</w:t>
            </w:r>
          </w:p>
        </w:tc>
        <w:tc>
          <w:tcPr>
            <w:tcW w:w="429" w:type="pct"/>
            <w:vAlign w:val="center"/>
          </w:tcPr>
          <w:p w14:paraId="26293070"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w:t>
            </w:r>
          </w:p>
        </w:tc>
        <w:tc>
          <w:tcPr>
            <w:tcW w:w="344" w:type="pct"/>
            <w:vAlign w:val="center"/>
          </w:tcPr>
          <w:p w14:paraId="1533F409"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388" w:type="pct"/>
            <w:vAlign w:val="center"/>
          </w:tcPr>
          <w:p w14:paraId="0525AB5B"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417" w:type="pct"/>
            <w:vAlign w:val="center"/>
          </w:tcPr>
          <w:p w14:paraId="112B6A60" w14:textId="77777777" w:rsidR="00D4500C" w:rsidRPr="007E2939" w:rsidRDefault="00D4500C" w:rsidP="001E626E">
            <w:pPr>
              <w:spacing w:line="360" w:lineRule="auto"/>
              <w:jc w:val="center"/>
              <w:rPr>
                <w:rFonts w:ascii="Arial" w:hAnsi="Arial" w:cs="Arial"/>
              </w:rPr>
            </w:pPr>
            <w:r w:rsidRPr="007E2939">
              <w:rPr>
                <w:rFonts w:ascii="Arial" w:hAnsi="Arial" w:cs="Arial"/>
              </w:rPr>
              <w:t xml:space="preserve">Survey and </w:t>
            </w:r>
            <w:r w:rsidRPr="007E2939">
              <w:rPr>
                <w:rFonts w:ascii="Tahoma" w:hAnsi="Tahoma" w:cs="Tahoma"/>
              </w:rPr>
              <w:t>﻿</w:t>
            </w:r>
            <w:r w:rsidRPr="007E2939">
              <w:rPr>
                <w:rFonts w:ascii="Arial" w:hAnsi="Arial" w:cs="Arial"/>
              </w:rPr>
              <w:t>in-depth semi-</w:t>
            </w:r>
            <w:r w:rsidRPr="007E2939">
              <w:rPr>
                <w:rFonts w:ascii="Arial" w:hAnsi="Arial" w:cs="Arial"/>
              </w:rPr>
              <w:lastRenderedPageBreak/>
              <w:t>structured group interviews</w:t>
            </w:r>
          </w:p>
        </w:tc>
        <w:tc>
          <w:tcPr>
            <w:tcW w:w="424" w:type="pct"/>
            <w:vAlign w:val="center"/>
          </w:tcPr>
          <w:p w14:paraId="499C8DB6"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w:t>
            </w:r>
          </w:p>
        </w:tc>
        <w:tc>
          <w:tcPr>
            <w:tcW w:w="472" w:type="pct"/>
            <w:vAlign w:val="center"/>
          </w:tcPr>
          <w:p w14:paraId="15F558BC"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r>
    </w:tbl>
    <w:p w14:paraId="3BFBDA14" w14:textId="35816FC8" w:rsidR="00D4500C" w:rsidRDefault="00D4500C"/>
    <w:p w14:paraId="59DAE861" w14:textId="77777777" w:rsidR="00D4500C" w:rsidRPr="007E2939" w:rsidRDefault="00D4500C" w:rsidP="00D4500C">
      <w:pPr>
        <w:spacing w:line="360" w:lineRule="auto"/>
        <w:jc w:val="center"/>
        <w:rPr>
          <w:rFonts w:ascii="Arial" w:hAnsi="Arial" w:cs="Arial"/>
        </w:rPr>
      </w:pPr>
      <w:r w:rsidRPr="007E2939">
        <w:rPr>
          <w:rFonts w:ascii="Arial" w:hAnsi="Arial" w:cs="Arial"/>
        </w:rPr>
        <w:t>Table 4. Summary of barriers to and enablers for the implementation of a CE-based business model based on previous research</w:t>
      </w:r>
    </w:p>
    <w:tbl>
      <w:tblPr>
        <w:tblStyle w:val="TableGrid"/>
        <w:tblW w:w="5000" w:type="pct"/>
        <w:jc w:val="center"/>
        <w:tblLook w:val="04A0" w:firstRow="1" w:lastRow="0" w:firstColumn="1" w:lastColumn="0" w:noHBand="0" w:noVBand="1"/>
      </w:tblPr>
      <w:tblGrid>
        <w:gridCol w:w="600"/>
        <w:gridCol w:w="1300"/>
        <w:gridCol w:w="5510"/>
        <w:gridCol w:w="6540"/>
      </w:tblGrid>
      <w:tr w:rsidR="00D4500C" w:rsidRPr="007E2939" w14:paraId="4CA7C8B5" w14:textId="77777777" w:rsidTr="001E626E">
        <w:trPr>
          <w:jc w:val="center"/>
        </w:trPr>
        <w:tc>
          <w:tcPr>
            <w:tcW w:w="215" w:type="pct"/>
            <w:vAlign w:val="center"/>
          </w:tcPr>
          <w:p w14:paraId="3E11A41C" w14:textId="77777777" w:rsidR="00D4500C" w:rsidRPr="007E2939" w:rsidRDefault="00D4500C" w:rsidP="001E626E">
            <w:pPr>
              <w:spacing w:line="360" w:lineRule="auto"/>
              <w:jc w:val="center"/>
              <w:rPr>
                <w:rFonts w:ascii="Arial" w:hAnsi="Arial" w:cs="Arial"/>
              </w:rPr>
            </w:pPr>
            <w:r w:rsidRPr="007E2939">
              <w:rPr>
                <w:rFonts w:ascii="Arial" w:hAnsi="Arial" w:cs="Arial"/>
              </w:rPr>
              <w:t>No.</w:t>
            </w:r>
          </w:p>
        </w:tc>
        <w:tc>
          <w:tcPr>
            <w:tcW w:w="466" w:type="pct"/>
            <w:vAlign w:val="center"/>
          </w:tcPr>
          <w:p w14:paraId="45D19BF7" w14:textId="77777777" w:rsidR="00D4500C" w:rsidRPr="007E2939" w:rsidRDefault="00D4500C" w:rsidP="001E626E">
            <w:pPr>
              <w:spacing w:line="360" w:lineRule="auto"/>
              <w:jc w:val="center"/>
              <w:rPr>
                <w:rFonts w:ascii="Arial" w:hAnsi="Arial" w:cs="Arial"/>
              </w:rPr>
            </w:pPr>
            <w:r w:rsidRPr="007E2939">
              <w:rPr>
                <w:rFonts w:ascii="Arial" w:hAnsi="Arial" w:cs="Arial"/>
              </w:rPr>
              <w:t>Author</w:t>
            </w:r>
          </w:p>
        </w:tc>
        <w:tc>
          <w:tcPr>
            <w:tcW w:w="1975" w:type="pct"/>
            <w:vAlign w:val="center"/>
          </w:tcPr>
          <w:p w14:paraId="15592BC0" w14:textId="77777777" w:rsidR="00D4500C" w:rsidRPr="007E2939" w:rsidRDefault="00D4500C" w:rsidP="001E626E">
            <w:pPr>
              <w:spacing w:line="360" w:lineRule="auto"/>
              <w:jc w:val="center"/>
              <w:rPr>
                <w:rFonts w:ascii="Arial" w:hAnsi="Arial" w:cs="Arial"/>
              </w:rPr>
            </w:pPr>
            <w:r w:rsidRPr="007E2939">
              <w:rPr>
                <w:rFonts w:ascii="Arial" w:hAnsi="Arial" w:cs="Arial"/>
              </w:rPr>
              <w:t>Barrier</w:t>
            </w:r>
          </w:p>
        </w:tc>
        <w:tc>
          <w:tcPr>
            <w:tcW w:w="2344" w:type="pct"/>
            <w:vAlign w:val="center"/>
          </w:tcPr>
          <w:p w14:paraId="18F01023" w14:textId="77777777" w:rsidR="00D4500C" w:rsidRPr="007E2939" w:rsidRDefault="00D4500C" w:rsidP="001E626E">
            <w:pPr>
              <w:spacing w:line="360" w:lineRule="auto"/>
              <w:jc w:val="center"/>
              <w:rPr>
                <w:rFonts w:ascii="Arial" w:hAnsi="Arial" w:cs="Arial"/>
              </w:rPr>
            </w:pPr>
            <w:r w:rsidRPr="007E2939">
              <w:rPr>
                <w:rFonts w:ascii="Arial" w:hAnsi="Arial" w:cs="Arial"/>
              </w:rPr>
              <w:t>Enabler</w:t>
            </w:r>
          </w:p>
        </w:tc>
      </w:tr>
      <w:tr w:rsidR="00D4500C" w:rsidRPr="007E2939" w14:paraId="1055753B" w14:textId="77777777" w:rsidTr="001E626E">
        <w:trPr>
          <w:jc w:val="center"/>
        </w:trPr>
        <w:tc>
          <w:tcPr>
            <w:tcW w:w="215" w:type="pct"/>
            <w:vMerge w:val="restart"/>
            <w:vAlign w:val="center"/>
          </w:tcPr>
          <w:p w14:paraId="5BCBB838" w14:textId="77777777" w:rsidR="00D4500C" w:rsidRPr="007E2939" w:rsidRDefault="00D4500C" w:rsidP="001E626E">
            <w:pPr>
              <w:spacing w:line="360" w:lineRule="auto"/>
              <w:jc w:val="center"/>
              <w:rPr>
                <w:rFonts w:ascii="Arial" w:hAnsi="Arial" w:cs="Arial"/>
              </w:rPr>
            </w:pPr>
            <w:r w:rsidRPr="007E2939">
              <w:rPr>
                <w:rFonts w:ascii="Arial" w:hAnsi="Arial" w:cs="Arial"/>
              </w:rPr>
              <w:t>1</w:t>
            </w:r>
          </w:p>
        </w:tc>
        <w:tc>
          <w:tcPr>
            <w:tcW w:w="466" w:type="pct"/>
            <w:vMerge w:val="restart"/>
            <w:vAlign w:val="center"/>
          </w:tcPr>
          <w:p w14:paraId="31672ED6"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{"citationItems":[{"id":"ITEM-1","itemData":{"DOI":"10.3390/su8111212","ISSN":"20711050","abstract":"Small and medium-sized enterprises (SMEs) are increasingly aware of the benefits of closing loops and improving resource efficiency, such as saving material costs, creating competitive advantages, and accessing new markets. At the same time, however, various barriers pose challenges to small businesses in their transition to a circular economy, namely a lack of financial resources and lack of technical skills. The aim of this paper is to increase knowledge and understanding about the barriers and enablers experienced by SMEs when implementing circular economy business models. Looking first at the barriers that prevent SMEs from realising the benefits of the circular economy, an investigation is carried out in the form of a literature review and an analysis of a sample of SME case studies that are featured on the GreenEcoNet EU-funded web platform. Several enabling factors that help SMEs adopt circular economy practices are then identified. The paper concludes that although various policy instruments are available to help SMEs incorporate circular economy principles into their business models, several barriers remain. The authors recommend that European and national policies strengthen their focus on greening consumer preferences, market value chains and company cultures, and support the recognition of SMEs' green business models. This can be achieved through the creation of dedicated marketplaces and communities of practice, for example..","author":[{"dropping-particle":"","family":"Rizos","given":"Vasileios","non-dropping-particle":"","parse-names":false,"suffix":""},{"dropping-particle":"","family":"Behrens","given":"Arno","non-dropping-particle":"","parse-names":false,"suffix":""},{"dropping-particle":"","family":"Gaast","given":"Wytze","non-dropping-particle":"van der","parse-names":false,"suffix":""},{"dropping-particle":"","family":"Hofman","given":"Erwin","non-dropping-particle":"","parse-names":false,"suffix":""},{"dropping-particle":"","family":"Ioannou","given":"Anastasia","non-dropping-particle":"","parse-names":false,"suffix":""},{"dropping-particle":"","family":"Kafyeke","given":"Terri","non-dropping-particle":"","parse-names":false,"suffix":""},{"dropping-particle":"","family":"Flamos","given":"Alexandros","non-dropping-particle":"","parse-names":false,"suffix":""},{"dropping-particle":"","family":"Rinaldi","given":"Roberto","non-dropping-particle":"","parse-names":false,"suffix":""},{"dropping-particle":"","family":"Papadelis","given":"Sotiris","non-dropping-particle":"","parse-names":false,"suffix":""},{"dropping-particle":"","family":"Hirschnitz-Garbers","given":"Martin","non-dropping-particle":"","parse-names":false,"suffix":""},{"dropping-particle":"","family":"Topi","given":"Corrado","non-dropping-particle":"","parse-names":false,"suffix":""}],"container-title":"Sustainability","id":"ITEM-1","issue":"11","issued":{"date-parts":[["2016"]]},"title":"Implementation of circular economy business models by small and medium-sized enterprises (SMEs): Barriers and enablers","type":"article-journal","volume":"8"},"uris":["http://www.mendeley.com/documents/?uuid=44d025ea-cc6a-4608-9f9f-0a02f648154c"]}],"mendeley":{"formattedCitation":"(Rizos et al., 2016)","manualFormatting":"Rizos et al. (2016)","plainTextFormattedCitation":"(Rizos et al., 2016)","previouslyFormattedCitation":"(Rizos et al., 2016)"},"properties":{"noteIndex":0},"schema":"https://github.com/citation-style-language/schema/raw/master/csl-citation.json"}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Rizos et al. (2016)</w:t>
            </w:r>
            <w:r w:rsidRPr="007E2939">
              <w:rPr>
                <w:rFonts w:ascii="Arial" w:hAnsi="Arial" w:cs="Arial"/>
              </w:rPr>
              <w:fldChar w:fldCharType="end"/>
            </w:r>
          </w:p>
        </w:tc>
        <w:tc>
          <w:tcPr>
            <w:tcW w:w="1975" w:type="pct"/>
            <w:vAlign w:val="center"/>
          </w:tcPr>
          <w:p w14:paraId="5E7C9032"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Lack of support from supply and demand networks</w:t>
            </w:r>
          </w:p>
        </w:tc>
        <w:tc>
          <w:tcPr>
            <w:tcW w:w="2344" w:type="pct"/>
            <w:vAlign w:val="center"/>
          </w:tcPr>
          <w:p w14:paraId="6BB4C0CD"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Company environmental culture</w:t>
            </w:r>
          </w:p>
        </w:tc>
      </w:tr>
      <w:tr w:rsidR="00D4500C" w:rsidRPr="007E2939" w14:paraId="37F28AD7" w14:textId="77777777" w:rsidTr="001E626E">
        <w:trPr>
          <w:jc w:val="center"/>
        </w:trPr>
        <w:tc>
          <w:tcPr>
            <w:tcW w:w="215" w:type="pct"/>
            <w:vMerge/>
            <w:vAlign w:val="center"/>
          </w:tcPr>
          <w:p w14:paraId="397F1C8B" w14:textId="77777777" w:rsidR="00D4500C" w:rsidRPr="007E2939" w:rsidRDefault="00D4500C" w:rsidP="001E626E">
            <w:pPr>
              <w:spacing w:line="360" w:lineRule="auto"/>
              <w:jc w:val="center"/>
              <w:rPr>
                <w:rFonts w:ascii="Arial" w:hAnsi="Arial" w:cs="Arial"/>
              </w:rPr>
            </w:pPr>
          </w:p>
        </w:tc>
        <w:tc>
          <w:tcPr>
            <w:tcW w:w="466" w:type="pct"/>
            <w:vMerge/>
            <w:vAlign w:val="center"/>
          </w:tcPr>
          <w:p w14:paraId="5C76DE9B" w14:textId="77777777" w:rsidR="00D4500C" w:rsidRPr="007E2939" w:rsidRDefault="00D4500C" w:rsidP="001E626E">
            <w:pPr>
              <w:spacing w:line="360" w:lineRule="auto"/>
              <w:jc w:val="center"/>
              <w:rPr>
                <w:rFonts w:ascii="Arial" w:hAnsi="Arial" w:cs="Arial"/>
              </w:rPr>
            </w:pPr>
          </w:p>
        </w:tc>
        <w:tc>
          <w:tcPr>
            <w:tcW w:w="1975" w:type="pct"/>
            <w:vAlign w:val="center"/>
          </w:tcPr>
          <w:p w14:paraId="5746BF8B"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Lack of capital</w:t>
            </w:r>
          </w:p>
        </w:tc>
        <w:tc>
          <w:tcPr>
            <w:tcW w:w="2344" w:type="pct"/>
            <w:vAlign w:val="center"/>
          </w:tcPr>
          <w:p w14:paraId="502F0C2A"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Networking</w:t>
            </w:r>
          </w:p>
        </w:tc>
      </w:tr>
      <w:tr w:rsidR="00D4500C" w:rsidRPr="007E2939" w14:paraId="09DE38E1" w14:textId="77777777" w:rsidTr="001E626E">
        <w:trPr>
          <w:jc w:val="center"/>
        </w:trPr>
        <w:tc>
          <w:tcPr>
            <w:tcW w:w="215" w:type="pct"/>
            <w:vMerge/>
            <w:vAlign w:val="center"/>
          </w:tcPr>
          <w:p w14:paraId="6EC51CF0" w14:textId="77777777" w:rsidR="00D4500C" w:rsidRPr="007E2939" w:rsidRDefault="00D4500C" w:rsidP="001E626E">
            <w:pPr>
              <w:spacing w:line="360" w:lineRule="auto"/>
              <w:jc w:val="center"/>
              <w:rPr>
                <w:rFonts w:ascii="Arial" w:hAnsi="Arial" w:cs="Arial"/>
              </w:rPr>
            </w:pPr>
          </w:p>
        </w:tc>
        <w:tc>
          <w:tcPr>
            <w:tcW w:w="466" w:type="pct"/>
            <w:vMerge/>
            <w:vAlign w:val="center"/>
          </w:tcPr>
          <w:p w14:paraId="1AF4244B" w14:textId="77777777" w:rsidR="00D4500C" w:rsidRPr="007E2939" w:rsidRDefault="00D4500C" w:rsidP="001E626E">
            <w:pPr>
              <w:spacing w:line="360" w:lineRule="auto"/>
              <w:jc w:val="center"/>
              <w:rPr>
                <w:rFonts w:ascii="Arial" w:hAnsi="Arial" w:cs="Arial"/>
              </w:rPr>
            </w:pPr>
          </w:p>
        </w:tc>
        <w:tc>
          <w:tcPr>
            <w:tcW w:w="1975" w:type="pct"/>
            <w:vAlign w:val="center"/>
          </w:tcPr>
          <w:p w14:paraId="23210386"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Lack of government support</w:t>
            </w:r>
          </w:p>
        </w:tc>
        <w:tc>
          <w:tcPr>
            <w:tcW w:w="2344" w:type="pct"/>
            <w:vAlign w:val="center"/>
          </w:tcPr>
          <w:p w14:paraId="449100F3"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Support from the demand network</w:t>
            </w:r>
          </w:p>
        </w:tc>
      </w:tr>
      <w:tr w:rsidR="00D4500C" w:rsidRPr="007E2939" w14:paraId="38A5988E" w14:textId="77777777" w:rsidTr="001E626E">
        <w:trPr>
          <w:jc w:val="center"/>
        </w:trPr>
        <w:tc>
          <w:tcPr>
            <w:tcW w:w="215" w:type="pct"/>
            <w:vMerge/>
            <w:vAlign w:val="center"/>
          </w:tcPr>
          <w:p w14:paraId="2D38D7F8" w14:textId="77777777" w:rsidR="00D4500C" w:rsidRPr="007E2939" w:rsidRDefault="00D4500C" w:rsidP="001E626E">
            <w:pPr>
              <w:spacing w:line="360" w:lineRule="auto"/>
              <w:jc w:val="center"/>
              <w:rPr>
                <w:rFonts w:ascii="Arial" w:hAnsi="Arial" w:cs="Arial"/>
              </w:rPr>
            </w:pPr>
          </w:p>
        </w:tc>
        <w:tc>
          <w:tcPr>
            <w:tcW w:w="466" w:type="pct"/>
            <w:vMerge/>
            <w:vAlign w:val="center"/>
          </w:tcPr>
          <w:p w14:paraId="78C222D3" w14:textId="77777777" w:rsidR="00D4500C" w:rsidRPr="007E2939" w:rsidRDefault="00D4500C" w:rsidP="001E626E">
            <w:pPr>
              <w:spacing w:line="360" w:lineRule="auto"/>
              <w:jc w:val="center"/>
              <w:rPr>
                <w:rFonts w:ascii="Arial" w:hAnsi="Arial" w:cs="Arial"/>
              </w:rPr>
            </w:pPr>
          </w:p>
        </w:tc>
        <w:tc>
          <w:tcPr>
            <w:tcW w:w="1975" w:type="pct"/>
            <w:vAlign w:val="center"/>
          </w:tcPr>
          <w:p w14:paraId="4ABF01C5"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Administrative burden</w:t>
            </w:r>
          </w:p>
        </w:tc>
        <w:tc>
          <w:tcPr>
            <w:tcW w:w="2344" w:type="pct"/>
            <w:vAlign w:val="center"/>
          </w:tcPr>
          <w:p w14:paraId="1CB3CBFE"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Financially attractive</w:t>
            </w:r>
          </w:p>
        </w:tc>
      </w:tr>
      <w:tr w:rsidR="00D4500C" w:rsidRPr="007E2939" w14:paraId="45590E87" w14:textId="77777777" w:rsidTr="001E626E">
        <w:trPr>
          <w:jc w:val="center"/>
        </w:trPr>
        <w:tc>
          <w:tcPr>
            <w:tcW w:w="215" w:type="pct"/>
            <w:vMerge/>
            <w:vAlign w:val="center"/>
          </w:tcPr>
          <w:p w14:paraId="43DA4BCA" w14:textId="77777777" w:rsidR="00D4500C" w:rsidRPr="007E2939" w:rsidRDefault="00D4500C" w:rsidP="001E626E">
            <w:pPr>
              <w:spacing w:line="360" w:lineRule="auto"/>
              <w:jc w:val="center"/>
              <w:rPr>
                <w:rFonts w:ascii="Arial" w:hAnsi="Arial" w:cs="Arial"/>
              </w:rPr>
            </w:pPr>
          </w:p>
        </w:tc>
        <w:tc>
          <w:tcPr>
            <w:tcW w:w="466" w:type="pct"/>
            <w:vMerge/>
            <w:vAlign w:val="center"/>
          </w:tcPr>
          <w:p w14:paraId="289A53CF" w14:textId="77777777" w:rsidR="00D4500C" w:rsidRPr="007E2939" w:rsidRDefault="00D4500C" w:rsidP="001E626E">
            <w:pPr>
              <w:spacing w:line="360" w:lineRule="auto"/>
              <w:jc w:val="center"/>
              <w:rPr>
                <w:rFonts w:ascii="Arial" w:hAnsi="Arial" w:cs="Arial"/>
              </w:rPr>
            </w:pPr>
          </w:p>
        </w:tc>
        <w:tc>
          <w:tcPr>
            <w:tcW w:w="1975" w:type="pct"/>
            <w:vAlign w:val="center"/>
          </w:tcPr>
          <w:p w14:paraId="438DF45B"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Lack of technical know-how</w:t>
            </w:r>
          </w:p>
        </w:tc>
        <w:tc>
          <w:tcPr>
            <w:tcW w:w="2344" w:type="pct"/>
            <w:vAlign w:val="center"/>
          </w:tcPr>
          <w:p w14:paraId="37E41DD4"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Recognition</w:t>
            </w:r>
          </w:p>
        </w:tc>
      </w:tr>
      <w:tr w:rsidR="00D4500C" w:rsidRPr="007E2939" w14:paraId="25005860" w14:textId="77777777" w:rsidTr="001E626E">
        <w:trPr>
          <w:jc w:val="center"/>
        </w:trPr>
        <w:tc>
          <w:tcPr>
            <w:tcW w:w="215" w:type="pct"/>
            <w:vMerge/>
            <w:vAlign w:val="center"/>
          </w:tcPr>
          <w:p w14:paraId="048F39F2" w14:textId="77777777" w:rsidR="00D4500C" w:rsidRPr="007E2939" w:rsidRDefault="00D4500C" w:rsidP="001E626E">
            <w:pPr>
              <w:spacing w:line="360" w:lineRule="auto"/>
              <w:jc w:val="center"/>
              <w:rPr>
                <w:rFonts w:ascii="Arial" w:hAnsi="Arial" w:cs="Arial"/>
              </w:rPr>
            </w:pPr>
          </w:p>
        </w:tc>
        <w:tc>
          <w:tcPr>
            <w:tcW w:w="466" w:type="pct"/>
            <w:vMerge/>
            <w:vAlign w:val="center"/>
          </w:tcPr>
          <w:p w14:paraId="05AEB7C8" w14:textId="77777777" w:rsidR="00D4500C" w:rsidRPr="007E2939" w:rsidRDefault="00D4500C" w:rsidP="001E626E">
            <w:pPr>
              <w:spacing w:line="360" w:lineRule="auto"/>
              <w:jc w:val="center"/>
              <w:rPr>
                <w:rFonts w:ascii="Arial" w:hAnsi="Arial" w:cs="Arial"/>
              </w:rPr>
            </w:pPr>
          </w:p>
        </w:tc>
        <w:tc>
          <w:tcPr>
            <w:tcW w:w="1975" w:type="pct"/>
            <w:vAlign w:val="center"/>
          </w:tcPr>
          <w:p w14:paraId="1ACD3658"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Lack of information</w:t>
            </w:r>
          </w:p>
        </w:tc>
        <w:tc>
          <w:tcPr>
            <w:tcW w:w="2344" w:type="pct"/>
            <w:vAlign w:val="center"/>
          </w:tcPr>
          <w:p w14:paraId="4DAA9AC5"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Personal knowledge</w:t>
            </w:r>
          </w:p>
        </w:tc>
      </w:tr>
      <w:tr w:rsidR="00D4500C" w:rsidRPr="007E2939" w14:paraId="6448E087" w14:textId="77777777" w:rsidTr="001E626E">
        <w:trPr>
          <w:jc w:val="center"/>
        </w:trPr>
        <w:tc>
          <w:tcPr>
            <w:tcW w:w="215" w:type="pct"/>
            <w:vMerge/>
            <w:vAlign w:val="center"/>
          </w:tcPr>
          <w:p w14:paraId="194B286E" w14:textId="77777777" w:rsidR="00D4500C" w:rsidRPr="007E2939" w:rsidRDefault="00D4500C" w:rsidP="001E626E">
            <w:pPr>
              <w:spacing w:line="360" w:lineRule="auto"/>
              <w:jc w:val="center"/>
              <w:rPr>
                <w:rFonts w:ascii="Arial" w:hAnsi="Arial" w:cs="Arial"/>
              </w:rPr>
            </w:pPr>
          </w:p>
        </w:tc>
        <w:tc>
          <w:tcPr>
            <w:tcW w:w="466" w:type="pct"/>
            <w:vMerge/>
            <w:vAlign w:val="center"/>
          </w:tcPr>
          <w:p w14:paraId="735AB75C" w14:textId="77777777" w:rsidR="00D4500C" w:rsidRPr="007E2939" w:rsidRDefault="00D4500C" w:rsidP="001E626E">
            <w:pPr>
              <w:spacing w:line="360" w:lineRule="auto"/>
              <w:jc w:val="center"/>
              <w:rPr>
                <w:rFonts w:ascii="Arial" w:hAnsi="Arial" w:cs="Arial"/>
              </w:rPr>
            </w:pPr>
          </w:p>
        </w:tc>
        <w:tc>
          <w:tcPr>
            <w:tcW w:w="1975" w:type="pct"/>
            <w:vAlign w:val="center"/>
          </w:tcPr>
          <w:p w14:paraId="7A39357C"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Other barriers</w:t>
            </w:r>
          </w:p>
        </w:tc>
        <w:tc>
          <w:tcPr>
            <w:tcW w:w="2344" w:type="pct"/>
            <w:vAlign w:val="center"/>
          </w:tcPr>
          <w:p w14:paraId="7FC5D9FE"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Government support</w:t>
            </w:r>
          </w:p>
        </w:tc>
      </w:tr>
      <w:tr w:rsidR="00D4500C" w:rsidRPr="007E2939" w14:paraId="0C8D967F" w14:textId="77777777" w:rsidTr="001E626E">
        <w:trPr>
          <w:jc w:val="center"/>
        </w:trPr>
        <w:tc>
          <w:tcPr>
            <w:tcW w:w="215" w:type="pct"/>
            <w:vMerge/>
            <w:vAlign w:val="center"/>
          </w:tcPr>
          <w:p w14:paraId="5ADA939A" w14:textId="77777777" w:rsidR="00D4500C" w:rsidRPr="007E2939" w:rsidRDefault="00D4500C" w:rsidP="001E626E">
            <w:pPr>
              <w:spacing w:line="360" w:lineRule="auto"/>
              <w:jc w:val="center"/>
              <w:rPr>
                <w:rFonts w:ascii="Arial" w:hAnsi="Arial" w:cs="Arial"/>
              </w:rPr>
            </w:pPr>
          </w:p>
        </w:tc>
        <w:tc>
          <w:tcPr>
            <w:tcW w:w="466" w:type="pct"/>
            <w:vMerge/>
            <w:vAlign w:val="center"/>
          </w:tcPr>
          <w:p w14:paraId="0E5D5EC1" w14:textId="77777777" w:rsidR="00D4500C" w:rsidRPr="007E2939" w:rsidRDefault="00D4500C" w:rsidP="001E626E">
            <w:pPr>
              <w:spacing w:line="360" w:lineRule="auto"/>
              <w:jc w:val="center"/>
              <w:rPr>
                <w:rFonts w:ascii="Arial" w:hAnsi="Arial" w:cs="Arial"/>
              </w:rPr>
            </w:pPr>
          </w:p>
        </w:tc>
        <w:tc>
          <w:tcPr>
            <w:tcW w:w="1975" w:type="pct"/>
            <w:vAlign w:val="center"/>
          </w:tcPr>
          <w:p w14:paraId="2F08C37E"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Company environmental culture</w:t>
            </w:r>
          </w:p>
        </w:tc>
        <w:tc>
          <w:tcPr>
            <w:tcW w:w="2344" w:type="pct"/>
            <w:vAlign w:val="center"/>
          </w:tcPr>
          <w:p w14:paraId="7E408725"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r>
      <w:tr w:rsidR="00D4500C" w:rsidRPr="007E2939" w14:paraId="360EC930" w14:textId="77777777" w:rsidTr="001E626E">
        <w:trPr>
          <w:jc w:val="center"/>
        </w:trPr>
        <w:tc>
          <w:tcPr>
            <w:tcW w:w="215" w:type="pct"/>
            <w:vMerge w:val="restart"/>
            <w:vAlign w:val="center"/>
          </w:tcPr>
          <w:p w14:paraId="2ED349F3" w14:textId="77777777" w:rsidR="00D4500C" w:rsidRPr="007E2939" w:rsidRDefault="00D4500C" w:rsidP="001E626E">
            <w:pPr>
              <w:spacing w:line="360" w:lineRule="auto"/>
              <w:jc w:val="center"/>
              <w:rPr>
                <w:rFonts w:ascii="Arial" w:hAnsi="Arial" w:cs="Arial"/>
              </w:rPr>
            </w:pPr>
            <w:r w:rsidRPr="007E2939">
              <w:rPr>
                <w:rFonts w:ascii="Arial" w:hAnsi="Arial" w:cs="Arial"/>
              </w:rPr>
              <w:t>2</w:t>
            </w:r>
          </w:p>
        </w:tc>
        <w:tc>
          <w:tcPr>
            <w:tcW w:w="466" w:type="pct"/>
            <w:vMerge w:val="restart"/>
            <w:vAlign w:val="center"/>
          </w:tcPr>
          <w:p w14:paraId="7AC8B183"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{"citationItems":[{"id":"ITEM-1","itemData":{"DOI":"10.2478/rtuect-2020-0088","ISSN":"22558837","abstract":"While the capacities of larger enterprises enable them to adopt new circular design approaches and business models, small and medium-sized enterprises (SME) are also increasingly aware of the benefits of closing loops and improving resource efficiency. The SMEs in Estonia are confronted with several obstacles that hinder their circular design related actions. The organizational capacity and capability play a significant role in small businesses when developing concrete solutions for the circular economy, integrate those principles into their strategy and product development process and sustain those efforts. This paper aims to explore the SMEs' circular design capacity and capability for adopting new approaches in traditional small manufacturing companies who have a product-oriented focus and follow the dominant linear economy business strategy in Estonia. The circular design assessment method was developed to analyse a company's current status of circularity and evaluate the level of eco/circular design capacity. The results of the study show that the critical dimensions that are crucial for SMEs' ability to successfully perform circular design are related to their business strategy and planning, owners/manages leadership as well as ability to learn and cooperate and create relationships with external entities for internal dissemination.","author":[{"dropping-particle":"","family":"Vihma","given":"Markus","non-dropping-particle":"","parse-names":false,"suffix":""},{"dropping-particle":"","family":"Moora","given":"Harri","non-dropping-particle":"","parse-names":false,"suffix":""}],"container-title":"Environmental and Climate Technologies","id":"ITEM-1","issue":"3","issued":{"date-parts":[["2020"]]},"page":"94-103","title":"Potential of Circular Design in Estonian SMEs and their Capacity to Push it","type":"article-journal","volume":"24"},"uris":["http://www.mendeley.com/documents/?uuid=5c2a66cf-2948-44dc-9cb8-ecc550649d27"]}],"mendeley":{"formattedCitation":"(Vihma &amp; Moora, 2020)","manualFormatting":"Vihma &amp; Moora (2020)","plainTextFormattedCitation":"(Vihma &amp; Moora, 2020)","previouslyFormattedCitation":"(Vihma &amp; Moora, 2020)"},"properties":{"noteIndex":0},"schema":"https://github.com/citation-style-language/schema/raw/master/csl-citation.json"}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Vihma and Moora (2020)</w:t>
            </w:r>
            <w:r w:rsidRPr="007E2939">
              <w:rPr>
                <w:rFonts w:ascii="Arial" w:hAnsi="Arial" w:cs="Arial"/>
              </w:rPr>
              <w:fldChar w:fldCharType="end"/>
            </w:r>
          </w:p>
        </w:tc>
        <w:tc>
          <w:tcPr>
            <w:tcW w:w="1975" w:type="pct"/>
            <w:vMerge w:val="restart"/>
            <w:vAlign w:val="center"/>
          </w:tcPr>
          <w:p w14:paraId="004EDE50" w14:textId="77777777" w:rsidR="00D4500C" w:rsidRPr="007E2939" w:rsidRDefault="00D4500C" w:rsidP="001E626E">
            <w:pPr>
              <w:spacing w:line="360" w:lineRule="auto"/>
              <w:jc w:val="center"/>
              <w:rPr>
                <w:rFonts w:ascii="Arial" w:hAnsi="Arial" w:cs="Arial"/>
              </w:rPr>
            </w:pPr>
            <w:r w:rsidRPr="007E2939">
              <w:rPr>
                <w:rFonts w:ascii="Arial" w:hAnsi="Arial" w:cs="Arial"/>
              </w:rPr>
              <w:t>-</w:t>
            </w:r>
          </w:p>
        </w:tc>
        <w:tc>
          <w:tcPr>
            <w:tcW w:w="2344" w:type="pct"/>
            <w:vAlign w:val="center"/>
          </w:tcPr>
          <w:p w14:paraId="6CB34FF1"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Relevant strategy and planning</w:t>
            </w:r>
          </w:p>
        </w:tc>
      </w:tr>
      <w:tr w:rsidR="00D4500C" w:rsidRPr="007E2939" w14:paraId="16D81521" w14:textId="77777777" w:rsidTr="001E626E">
        <w:trPr>
          <w:jc w:val="center"/>
        </w:trPr>
        <w:tc>
          <w:tcPr>
            <w:tcW w:w="215" w:type="pct"/>
            <w:vMerge/>
            <w:vAlign w:val="center"/>
          </w:tcPr>
          <w:p w14:paraId="7049093B" w14:textId="77777777" w:rsidR="00D4500C" w:rsidRPr="007E2939" w:rsidRDefault="00D4500C" w:rsidP="001E626E">
            <w:pPr>
              <w:spacing w:line="360" w:lineRule="auto"/>
              <w:jc w:val="center"/>
              <w:rPr>
                <w:rFonts w:ascii="Arial" w:hAnsi="Arial" w:cs="Arial"/>
              </w:rPr>
            </w:pPr>
          </w:p>
        </w:tc>
        <w:tc>
          <w:tcPr>
            <w:tcW w:w="466" w:type="pct"/>
            <w:vMerge/>
            <w:vAlign w:val="center"/>
          </w:tcPr>
          <w:p w14:paraId="3CF4119F" w14:textId="77777777" w:rsidR="00D4500C" w:rsidRPr="007E2939" w:rsidRDefault="00D4500C" w:rsidP="001E626E">
            <w:pPr>
              <w:spacing w:line="360" w:lineRule="auto"/>
              <w:jc w:val="center"/>
              <w:rPr>
                <w:rFonts w:ascii="Arial" w:hAnsi="Arial" w:cs="Arial"/>
              </w:rPr>
            </w:pPr>
          </w:p>
        </w:tc>
        <w:tc>
          <w:tcPr>
            <w:tcW w:w="1975" w:type="pct"/>
            <w:vMerge/>
            <w:vAlign w:val="center"/>
          </w:tcPr>
          <w:p w14:paraId="7A54DDE5" w14:textId="77777777" w:rsidR="00D4500C" w:rsidRPr="007E2939" w:rsidRDefault="00D4500C" w:rsidP="001E626E">
            <w:pPr>
              <w:spacing w:line="360" w:lineRule="auto"/>
              <w:jc w:val="center"/>
              <w:rPr>
                <w:rFonts w:ascii="Arial" w:hAnsi="Arial" w:cs="Arial"/>
              </w:rPr>
            </w:pPr>
          </w:p>
        </w:tc>
        <w:tc>
          <w:tcPr>
            <w:tcW w:w="2344" w:type="pct"/>
            <w:vAlign w:val="center"/>
          </w:tcPr>
          <w:p w14:paraId="24D191EE"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Network integration</w:t>
            </w:r>
          </w:p>
        </w:tc>
      </w:tr>
      <w:tr w:rsidR="00D4500C" w:rsidRPr="007E2939" w14:paraId="6F204A5B" w14:textId="77777777" w:rsidTr="001E626E">
        <w:trPr>
          <w:jc w:val="center"/>
        </w:trPr>
        <w:tc>
          <w:tcPr>
            <w:tcW w:w="215" w:type="pct"/>
            <w:vMerge/>
            <w:vAlign w:val="center"/>
          </w:tcPr>
          <w:p w14:paraId="7AAF5945" w14:textId="77777777" w:rsidR="00D4500C" w:rsidRPr="007E2939" w:rsidRDefault="00D4500C" w:rsidP="001E626E">
            <w:pPr>
              <w:spacing w:line="360" w:lineRule="auto"/>
              <w:jc w:val="center"/>
              <w:rPr>
                <w:rFonts w:ascii="Arial" w:hAnsi="Arial" w:cs="Arial"/>
              </w:rPr>
            </w:pPr>
          </w:p>
        </w:tc>
        <w:tc>
          <w:tcPr>
            <w:tcW w:w="466" w:type="pct"/>
            <w:vMerge/>
            <w:vAlign w:val="center"/>
          </w:tcPr>
          <w:p w14:paraId="34009471" w14:textId="77777777" w:rsidR="00D4500C" w:rsidRPr="007E2939" w:rsidRDefault="00D4500C" w:rsidP="001E626E">
            <w:pPr>
              <w:spacing w:line="360" w:lineRule="auto"/>
              <w:jc w:val="center"/>
              <w:rPr>
                <w:rFonts w:ascii="Arial" w:hAnsi="Arial" w:cs="Arial"/>
              </w:rPr>
            </w:pPr>
          </w:p>
        </w:tc>
        <w:tc>
          <w:tcPr>
            <w:tcW w:w="1975" w:type="pct"/>
            <w:vMerge/>
            <w:vAlign w:val="center"/>
          </w:tcPr>
          <w:p w14:paraId="154B8DF1" w14:textId="77777777" w:rsidR="00D4500C" w:rsidRPr="007E2939" w:rsidRDefault="00D4500C" w:rsidP="001E626E">
            <w:pPr>
              <w:spacing w:line="360" w:lineRule="auto"/>
              <w:jc w:val="center"/>
              <w:rPr>
                <w:rFonts w:ascii="Arial" w:hAnsi="Arial" w:cs="Arial"/>
              </w:rPr>
            </w:pPr>
          </w:p>
        </w:tc>
        <w:tc>
          <w:tcPr>
            <w:tcW w:w="2344" w:type="pct"/>
            <w:vAlign w:val="center"/>
          </w:tcPr>
          <w:p w14:paraId="0E9116B1"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 xml:space="preserve">Learning process </w:t>
            </w:r>
          </w:p>
        </w:tc>
      </w:tr>
      <w:tr w:rsidR="00D4500C" w:rsidRPr="007E2939" w14:paraId="0B08FFBA" w14:textId="77777777" w:rsidTr="001E626E">
        <w:trPr>
          <w:jc w:val="center"/>
        </w:trPr>
        <w:tc>
          <w:tcPr>
            <w:tcW w:w="215" w:type="pct"/>
            <w:vMerge/>
            <w:vAlign w:val="center"/>
          </w:tcPr>
          <w:p w14:paraId="44D17EE4" w14:textId="77777777" w:rsidR="00D4500C" w:rsidRPr="007E2939" w:rsidRDefault="00D4500C" w:rsidP="001E626E">
            <w:pPr>
              <w:spacing w:line="360" w:lineRule="auto"/>
              <w:jc w:val="center"/>
              <w:rPr>
                <w:rFonts w:ascii="Arial" w:hAnsi="Arial" w:cs="Arial"/>
              </w:rPr>
            </w:pPr>
          </w:p>
        </w:tc>
        <w:tc>
          <w:tcPr>
            <w:tcW w:w="466" w:type="pct"/>
            <w:vMerge/>
            <w:vAlign w:val="center"/>
          </w:tcPr>
          <w:p w14:paraId="33FDD828" w14:textId="77777777" w:rsidR="00D4500C" w:rsidRPr="007E2939" w:rsidRDefault="00D4500C" w:rsidP="001E626E">
            <w:pPr>
              <w:spacing w:line="360" w:lineRule="auto"/>
              <w:jc w:val="center"/>
              <w:rPr>
                <w:rFonts w:ascii="Arial" w:hAnsi="Arial" w:cs="Arial"/>
              </w:rPr>
            </w:pPr>
          </w:p>
        </w:tc>
        <w:tc>
          <w:tcPr>
            <w:tcW w:w="1975" w:type="pct"/>
            <w:vMerge/>
            <w:vAlign w:val="center"/>
          </w:tcPr>
          <w:p w14:paraId="2C5A3C84" w14:textId="77777777" w:rsidR="00D4500C" w:rsidRPr="007E2939" w:rsidRDefault="00D4500C" w:rsidP="001E626E">
            <w:pPr>
              <w:spacing w:line="360" w:lineRule="auto"/>
              <w:jc w:val="center"/>
              <w:rPr>
                <w:rFonts w:ascii="Arial" w:hAnsi="Arial" w:cs="Arial"/>
              </w:rPr>
            </w:pPr>
          </w:p>
        </w:tc>
        <w:tc>
          <w:tcPr>
            <w:tcW w:w="2344" w:type="pct"/>
            <w:vAlign w:val="center"/>
          </w:tcPr>
          <w:p w14:paraId="1CD06075"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Owner and manager</w:t>
            </w:r>
          </w:p>
          <w:p w14:paraId="01112D71"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leadership</w:t>
            </w:r>
          </w:p>
        </w:tc>
      </w:tr>
      <w:tr w:rsidR="00D4500C" w:rsidRPr="007E2939" w14:paraId="20304DB5" w14:textId="77777777" w:rsidTr="001E626E">
        <w:trPr>
          <w:jc w:val="center"/>
        </w:trPr>
        <w:tc>
          <w:tcPr>
            <w:tcW w:w="215" w:type="pct"/>
            <w:vMerge w:val="restart"/>
            <w:vAlign w:val="center"/>
          </w:tcPr>
          <w:p w14:paraId="73473479"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3</w:t>
            </w:r>
          </w:p>
        </w:tc>
        <w:tc>
          <w:tcPr>
            <w:tcW w:w="466" w:type="pct"/>
            <w:vMerge w:val="restart"/>
            <w:vAlign w:val="center"/>
          </w:tcPr>
          <w:p w14:paraId="0DB4EA41"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{"citationItems":[{"id":"ITEM-1","itemData":{"DOI":"10.1007/s00191-019-00651-w","ISSN":"14321386","abstract":"This paper investigates the extent to which the adoption of Circular Economy (CE) practices by Small and Medium-sized Enterprises (SMEs) correlates with the choices they make in their financing. Referring to the debate about CE business models (CEBM) and intersecting it with emerging research on the CE barriers/enablers revealed by SMEs, we focus on the argument that “financing-as-usual”, by relying on standard financial sources according to the “pecking-order-theory”, could not work in supporting the CE transition of SMEs. Using data on more than 2000 European SMEs from the 2016 Eurobarometer, we instead find that financing as usual still matters for the sake of CE. Self-financing (extended to some forms of capital sources) appears a significant enabler of the adoption of generic CE practices, as well as debt financing, and the latter matter less than the former, consistent with the “pecking-order-theory”. Public funds do also matter, having a larger impact than self-financing, but a lower one than debt financing. On the other hand, not only does the availability of alternative forms of financing not support CE(BM), but it even crowds-out the resort to CE, possibly in favor of more linear-risk activities. With some few interesting exceptions, the previous results are confirmed when the adoption of specific kinds CE(BM) practices is considered, as well as the SMEs’ capacity of extending their portfolio.","author":[{"dropping-particle":"","family":"Ghisetti","given":"Claudia","non-dropping-particle":"","parse-names":false,"suffix":""},{"dropping-particle":"","family":"Montresor","given":"Sandro","non-dropping-particle":"","parse-names":false,"suffix":""}],"container-title":"Journal of Evolutionary Economics","id":"ITEM-1","issue":"2","issued":{"date-parts":[["2020"]]},"page":"559-586","publisher":"Journal of Evolutionary Economics","title":"On the adoption of circular economy practices by small and medium-size enterprises (SMEs): does “financing-as-usual” still matter?","type":"article-journal","volume":"30"},"uris":["http://www.mendeley.com/documents/?uuid=521a8ee3-70c8-43b9-9c8b-00c418ef3bb8"]}],"mendeley":{"formattedCitation":"(Ghisetti &amp; Montresor, 2020)","manualFormatting":"Ghisetti &amp; Montresor (2020)","plainTextFormattedCitation":"(Ghisetti &amp; Montresor, 2020)","previouslyFormattedCitation":"(Ghisetti &amp; Montresor, 2020)"},"properties":{"noteIndex":0},"schema":"https://github.com/citation-style-language/schema/raw/master/csl-citation.json"}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Ghisetti and Montresor (2020)</w:t>
            </w:r>
            <w:r w:rsidRPr="007E2939">
              <w:rPr>
                <w:rFonts w:ascii="Arial" w:hAnsi="Arial" w:cs="Arial"/>
              </w:rPr>
              <w:fldChar w:fldCharType="end"/>
            </w:r>
          </w:p>
        </w:tc>
        <w:tc>
          <w:tcPr>
            <w:tcW w:w="1975" w:type="pct"/>
            <w:vAlign w:val="center"/>
          </w:tcPr>
          <w:p w14:paraId="708B64DA"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Inadequacy of standard financial sources</w:t>
            </w:r>
          </w:p>
        </w:tc>
        <w:tc>
          <w:tcPr>
            <w:tcW w:w="2344" w:type="pct"/>
            <w:vAlign w:val="center"/>
          </w:tcPr>
          <w:p w14:paraId="2EA8E39A" w14:textId="77777777" w:rsidR="00D4500C" w:rsidRPr="007E2939" w:rsidRDefault="00D4500C" w:rsidP="001E626E">
            <w:pPr>
              <w:spacing w:line="360" w:lineRule="auto"/>
              <w:jc w:val="center"/>
              <w:rPr>
                <w:rFonts w:ascii="Arial" w:hAnsi="Arial" w:cs="Arial"/>
              </w:rPr>
            </w:pPr>
            <w:r w:rsidRPr="007E2939">
              <w:rPr>
                <w:rFonts w:ascii="Arial" w:hAnsi="Arial" w:cs="Arial"/>
              </w:rPr>
              <w:t>Self-financing</w:t>
            </w:r>
          </w:p>
        </w:tc>
      </w:tr>
      <w:tr w:rsidR="00D4500C" w:rsidRPr="007E2939" w14:paraId="1108C9CC" w14:textId="77777777" w:rsidTr="001E626E">
        <w:trPr>
          <w:jc w:val="center"/>
        </w:trPr>
        <w:tc>
          <w:tcPr>
            <w:tcW w:w="215" w:type="pct"/>
            <w:vMerge/>
            <w:vAlign w:val="center"/>
          </w:tcPr>
          <w:p w14:paraId="7821EC85" w14:textId="77777777" w:rsidR="00D4500C" w:rsidRPr="007E2939" w:rsidRDefault="00D4500C" w:rsidP="001E626E">
            <w:pPr>
              <w:spacing w:line="360" w:lineRule="auto"/>
              <w:jc w:val="center"/>
              <w:rPr>
                <w:rFonts w:ascii="Arial" w:hAnsi="Arial" w:cs="Arial"/>
              </w:rPr>
            </w:pPr>
          </w:p>
        </w:tc>
        <w:tc>
          <w:tcPr>
            <w:tcW w:w="466" w:type="pct"/>
            <w:vMerge/>
            <w:vAlign w:val="center"/>
          </w:tcPr>
          <w:p w14:paraId="487BAD5E" w14:textId="77777777" w:rsidR="00D4500C" w:rsidRPr="007E2939" w:rsidRDefault="00D4500C" w:rsidP="001E626E">
            <w:pPr>
              <w:spacing w:line="360" w:lineRule="auto"/>
              <w:jc w:val="center"/>
              <w:rPr>
                <w:rFonts w:ascii="Arial" w:hAnsi="Arial" w:cs="Arial"/>
              </w:rPr>
            </w:pPr>
          </w:p>
        </w:tc>
        <w:tc>
          <w:tcPr>
            <w:tcW w:w="1975" w:type="pct"/>
            <w:vAlign w:val="center"/>
          </w:tcPr>
          <w:p w14:paraId="4BB6BD26"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Lack of expertise to implement activities</w:t>
            </w:r>
          </w:p>
        </w:tc>
        <w:tc>
          <w:tcPr>
            <w:tcW w:w="2344" w:type="pct"/>
            <w:vAlign w:val="center"/>
          </w:tcPr>
          <w:p w14:paraId="3C833804" w14:textId="77777777" w:rsidR="00D4500C" w:rsidRPr="007E2939" w:rsidRDefault="00D4500C" w:rsidP="001E626E">
            <w:pPr>
              <w:spacing w:line="360" w:lineRule="auto"/>
              <w:jc w:val="center"/>
              <w:rPr>
                <w:rFonts w:ascii="Arial" w:hAnsi="Arial" w:cs="Arial"/>
              </w:rPr>
            </w:pPr>
            <w:r w:rsidRPr="007E2939">
              <w:rPr>
                <w:rFonts w:ascii="Arial" w:hAnsi="Arial" w:cs="Arial"/>
              </w:rPr>
              <w:t>Debt financing</w:t>
            </w:r>
          </w:p>
        </w:tc>
      </w:tr>
      <w:tr w:rsidR="00D4500C" w:rsidRPr="007E2939" w14:paraId="27C80350" w14:textId="77777777" w:rsidTr="001E626E">
        <w:trPr>
          <w:jc w:val="center"/>
        </w:trPr>
        <w:tc>
          <w:tcPr>
            <w:tcW w:w="215" w:type="pct"/>
            <w:vMerge/>
            <w:vAlign w:val="center"/>
          </w:tcPr>
          <w:p w14:paraId="19325082" w14:textId="77777777" w:rsidR="00D4500C" w:rsidRPr="007E2939" w:rsidRDefault="00D4500C" w:rsidP="001E626E">
            <w:pPr>
              <w:spacing w:line="360" w:lineRule="auto"/>
              <w:jc w:val="center"/>
              <w:rPr>
                <w:rFonts w:ascii="Arial" w:hAnsi="Arial" w:cs="Arial"/>
              </w:rPr>
            </w:pPr>
          </w:p>
        </w:tc>
        <w:tc>
          <w:tcPr>
            <w:tcW w:w="466" w:type="pct"/>
            <w:vMerge/>
            <w:vAlign w:val="center"/>
          </w:tcPr>
          <w:p w14:paraId="3A4743F3" w14:textId="77777777" w:rsidR="00D4500C" w:rsidRPr="007E2939" w:rsidRDefault="00D4500C" w:rsidP="001E626E">
            <w:pPr>
              <w:spacing w:line="360" w:lineRule="auto"/>
              <w:jc w:val="center"/>
              <w:rPr>
                <w:rFonts w:ascii="Arial" w:hAnsi="Arial" w:cs="Arial"/>
              </w:rPr>
            </w:pPr>
          </w:p>
        </w:tc>
        <w:tc>
          <w:tcPr>
            <w:tcW w:w="1975" w:type="pct"/>
            <w:vAlign w:val="center"/>
          </w:tcPr>
          <w:p w14:paraId="5B068802"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Complex administrative or legal procedures</w:t>
            </w:r>
          </w:p>
        </w:tc>
        <w:tc>
          <w:tcPr>
            <w:tcW w:w="2344" w:type="pct"/>
            <w:vAlign w:val="center"/>
          </w:tcPr>
          <w:p w14:paraId="249CA08D" w14:textId="77777777" w:rsidR="00D4500C" w:rsidRPr="007E2939" w:rsidRDefault="00D4500C" w:rsidP="001E626E">
            <w:pPr>
              <w:spacing w:line="360" w:lineRule="auto"/>
              <w:jc w:val="center"/>
              <w:rPr>
                <w:rFonts w:ascii="Arial" w:hAnsi="Arial" w:cs="Arial"/>
              </w:rPr>
            </w:pPr>
            <w:r w:rsidRPr="007E2939">
              <w:rPr>
                <w:rFonts w:ascii="Arial" w:hAnsi="Arial" w:cs="Arial"/>
              </w:rPr>
              <w:t>Public fund</w:t>
            </w:r>
          </w:p>
        </w:tc>
      </w:tr>
      <w:tr w:rsidR="00D4500C" w:rsidRPr="007E2939" w14:paraId="73BBE99F" w14:textId="77777777" w:rsidTr="001E626E">
        <w:trPr>
          <w:jc w:val="center"/>
        </w:trPr>
        <w:tc>
          <w:tcPr>
            <w:tcW w:w="215" w:type="pct"/>
            <w:vMerge/>
            <w:vAlign w:val="center"/>
          </w:tcPr>
          <w:p w14:paraId="3F33CF7B" w14:textId="77777777" w:rsidR="00D4500C" w:rsidRPr="007E2939" w:rsidRDefault="00D4500C" w:rsidP="001E626E">
            <w:pPr>
              <w:spacing w:line="360" w:lineRule="auto"/>
              <w:jc w:val="center"/>
              <w:rPr>
                <w:rFonts w:ascii="Arial" w:hAnsi="Arial" w:cs="Arial"/>
              </w:rPr>
            </w:pPr>
          </w:p>
        </w:tc>
        <w:tc>
          <w:tcPr>
            <w:tcW w:w="466" w:type="pct"/>
            <w:vMerge/>
            <w:vAlign w:val="center"/>
          </w:tcPr>
          <w:p w14:paraId="41AB7D19" w14:textId="77777777" w:rsidR="00D4500C" w:rsidRPr="007E2939" w:rsidRDefault="00D4500C" w:rsidP="001E626E">
            <w:pPr>
              <w:spacing w:line="360" w:lineRule="auto"/>
              <w:jc w:val="center"/>
              <w:rPr>
                <w:rFonts w:ascii="Arial" w:hAnsi="Arial" w:cs="Arial"/>
              </w:rPr>
            </w:pPr>
          </w:p>
        </w:tc>
        <w:tc>
          <w:tcPr>
            <w:tcW w:w="1975" w:type="pct"/>
            <w:vAlign w:val="center"/>
          </w:tcPr>
          <w:p w14:paraId="6AEAF2A2"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Cost of meeting regulations or standards</w:t>
            </w:r>
          </w:p>
        </w:tc>
        <w:tc>
          <w:tcPr>
            <w:tcW w:w="2344" w:type="pct"/>
            <w:vMerge w:val="restart"/>
            <w:vAlign w:val="center"/>
          </w:tcPr>
          <w:p w14:paraId="526B26CA" w14:textId="77777777" w:rsidR="00D4500C" w:rsidRPr="007E2939" w:rsidRDefault="00D4500C" w:rsidP="001E626E">
            <w:pPr>
              <w:spacing w:line="360" w:lineRule="auto"/>
              <w:jc w:val="center"/>
              <w:rPr>
                <w:rFonts w:ascii="Arial" w:hAnsi="Arial" w:cs="Arial"/>
              </w:rPr>
            </w:pPr>
            <w:r>
              <w:rPr>
                <w:rFonts w:ascii="Arial" w:hAnsi="Arial" w:cs="Arial"/>
              </w:rPr>
              <w:t>-</w:t>
            </w:r>
          </w:p>
        </w:tc>
      </w:tr>
      <w:tr w:rsidR="00D4500C" w:rsidRPr="007E2939" w14:paraId="2DB683BF" w14:textId="77777777" w:rsidTr="001E626E">
        <w:trPr>
          <w:jc w:val="center"/>
        </w:trPr>
        <w:tc>
          <w:tcPr>
            <w:tcW w:w="215" w:type="pct"/>
            <w:vMerge/>
            <w:vAlign w:val="center"/>
          </w:tcPr>
          <w:p w14:paraId="0AFE7B97" w14:textId="77777777" w:rsidR="00D4500C" w:rsidRPr="007E2939" w:rsidRDefault="00D4500C" w:rsidP="001E626E">
            <w:pPr>
              <w:spacing w:line="360" w:lineRule="auto"/>
              <w:jc w:val="center"/>
              <w:rPr>
                <w:rFonts w:ascii="Arial" w:hAnsi="Arial" w:cs="Arial"/>
              </w:rPr>
            </w:pPr>
          </w:p>
        </w:tc>
        <w:tc>
          <w:tcPr>
            <w:tcW w:w="466" w:type="pct"/>
            <w:vMerge/>
            <w:vAlign w:val="center"/>
          </w:tcPr>
          <w:p w14:paraId="5FD80906" w14:textId="77777777" w:rsidR="00D4500C" w:rsidRPr="007E2939" w:rsidRDefault="00D4500C" w:rsidP="001E626E">
            <w:pPr>
              <w:spacing w:line="360" w:lineRule="auto"/>
              <w:jc w:val="center"/>
              <w:rPr>
                <w:rFonts w:ascii="Arial" w:hAnsi="Arial" w:cs="Arial"/>
              </w:rPr>
            </w:pPr>
          </w:p>
        </w:tc>
        <w:tc>
          <w:tcPr>
            <w:tcW w:w="1975" w:type="pct"/>
            <w:vAlign w:val="center"/>
          </w:tcPr>
          <w:p w14:paraId="7DDF1BB8" w14:textId="77777777" w:rsidR="00D4500C" w:rsidRPr="007E2939" w:rsidRDefault="00D4500C" w:rsidP="001E626E">
            <w:pPr>
              <w:spacing w:line="360" w:lineRule="auto"/>
              <w:jc w:val="center"/>
              <w:rPr>
                <w:rFonts w:ascii="Arial" w:hAnsi="Arial" w:cs="Arial"/>
              </w:rPr>
            </w:pPr>
            <w:r w:rsidRPr="007E2939">
              <w:rPr>
                <w:rFonts w:ascii="Tahoma" w:hAnsi="Tahoma" w:cs="Tahoma"/>
              </w:rPr>
              <w:t>﻿</w:t>
            </w:r>
            <w:r w:rsidRPr="007E2939">
              <w:rPr>
                <w:rFonts w:ascii="Arial" w:hAnsi="Arial" w:cs="Arial"/>
              </w:rPr>
              <w:t>Difficulty in accessing finance</w:t>
            </w:r>
          </w:p>
        </w:tc>
        <w:tc>
          <w:tcPr>
            <w:tcW w:w="2344" w:type="pct"/>
            <w:vMerge/>
            <w:vAlign w:val="center"/>
          </w:tcPr>
          <w:p w14:paraId="73375B4D" w14:textId="77777777" w:rsidR="00D4500C" w:rsidRPr="007E2939" w:rsidRDefault="00D4500C" w:rsidP="001E626E">
            <w:pPr>
              <w:spacing w:line="360" w:lineRule="auto"/>
              <w:jc w:val="center"/>
              <w:rPr>
                <w:rFonts w:ascii="Arial" w:hAnsi="Arial" w:cs="Arial"/>
              </w:rPr>
            </w:pPr>
          </w:p>
        </w:tc>
      </w:tr>
      <w:tr w:rsidR="00D4500C" w:rsidRPr="007E2939" w14:paraId="75DCF62D" w14:textId="77777777" w:rsidTr="001E626E">
        <w:trPr>
          <w:jc w:val="center"/>
        </w:trPr>
        <w:tc>
          <w:tcPr>
            <w:tcW w:w="215" w:type="pct"/>
            <w:vAlign w:val="center"/>
          </w:tcPr>
          <w:p w14:paraId="4DE90A15" w14:textId="77777777" w:rsidR="00D4500C" w:rsidRPr="007E2939" w:rsidRDefault="00D4500C" w:rsidP="001E626E">
            <w:pPr>
              <w:spacing w:line="360" w:lineRule="auto"/>
              <w:jc w:val="center"/>
              <w:rPr>
                <w:rFonts w:ascii="Arial" w:hAnsi="Arial" w:cs="Arial"/>
              </w:rPr>
            </w:pPr>
            <w:r w:rsidRPr="007E2939">
              <w:rPr>
                <w:rFonts w:ascii="Arial" w:hAnsi="Arial" w:cs="Arial"/>
              </w:rPr>
              <w:t>4</w:t>
            </w:r>
          </w:p>
        </w:tc>
        <w:tc>
          <w:tcPr>
            <w:tcW w:w="466" w:type="pct"/>
            <w:vAlign w:val="center"/>
          </w:tcPr>
          <w:p w14:paraId="00349D5A"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{"citationItems":[{"id":"ITEM-1","itemData":{"DOI":"10.3390/su13031021","ISBN":"3934529860","ISSN":"20711050","abstract":"To contribute to small and medium enterprises’ (SMEs) sustainable transition into the circular economy, the study proposes the activation of organizational learning (OL) processes—denoted here as multi-level knowledge creation, transfer, and retention processes—as a key phase in introducing circular business models (CBMs) at SME and supply chain (SC) level. The research employs a mixed-method approach, using the focus group methodology to identify contextual elements impacting on CBM-related OL processes, and a survey-based evaluation to single out the most frequently used OL processes inside Italian construction SMEs. As a main result, a CBM-oriented OL multi-level model offers a fine-grained understanding of contextual elements acting mutually as barriers and drivers for OL processes, as possible OL dynamics among them. The multilevel culture construct—composed of external stakeholders’, SC stakeholders’, and organizational culture—identify the key element to activate CBM-oriented OL processes. Main implications are related to the identification of cultural, structural, regulatory, and process contextual elements across the external, SC, and organizational levels, and their interrelation with applicable intraorganizational and interorganizational learning processes. The proposed model would contribute to an improved implementation of transitioning into the circular economy utilizing sustainable business models in the construction SMEs.","author":[{"dropping-particle":"","family":"Scipioni","given":"Sara","non-dropping-particle":"","parse-names":false,"suffix":""},{"dropping-particle":"","family":"Russ","given":"Meir","non-dropping-particle":"","parse-names":false,"suffix":""},{"dropping-particle":"","family":"Niccolini","given":"Federico","non-dropping-particle":"","parse-names":false,"suffix":""}],"container-title":"Sustainability","id":"ITEM-1","issue":"3","issued":{"date-parts":[["2021"]]},"number-of-pages":"1-32","title":"From barriers to enablers: The role of organizational learning in transitioning smes into the circular economy","type":"book","volume":"13"},"uris":["http://www.mendeley.com/documents/?uuid=cc88e0cb-adc0-423e-89a0-236e8509aaf0"]}],"mendeley":{"formattedCitation":"(Scipioni et al., 2021)","manualFormatting":"Scipioni et al. (2021)","plainTextFormattedCitation":"(Scipioni et al., 2021)","previouslyFormattedCitation":"(Scipioni et al.,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Scipioni et al. (2021)</w:t>
            </w:r>
            <w:r w:rsidRPr="007E2939">
              <w:rPr>
                <w:rFonts w:ascii="Arial" w:hAnsi="Arial" w:cs="Arial"/>
              </w:rPr>
              <w:fldChar w:fldCharType="end"/>
            </w:r>
          </w:p>
        </w:tc>
        <w:tc>
          <w:tcPr>
            <w:tcW w:w="1975" w:type="pct"/>
            <w:vAlign w:val="center"/>
          </w:tcPr>
          <w:p w14:paraId="7D853160" w14:textId="77777777" w:rsidR="00D4500C" w:rsidRPr="007E2939" w:rsidRDefault="00D4500C" w:rsidP="001E626E">
            <w:pPr>
              <w:spacing w:line="360" w:lineRule="auto"/>
              <w:jc w:val="center"/>
              <w:rPr>
                <w:rFonts w:ascii="Arial" w:hAnsi="Arial" w:cs="Arial"/>
              </w:rPr>
            </w:pPr>
            <w:r w:rsidRPr="007E2939">
              <w:rPr>
                <w:rFonts w:ascii="Arial" w:hAnsi="Arial" w:cs="Arial"/>
              </w:rPr>
              <w:t>OL as a barrier with an outside view</w:t>
            </w:r>
            <w:r>
              <w:rPr>
                <w:rFonts w:ascii="Arial" w:hAnsi="Arial" w:cs="Arial"/>
              </w:rPr>
              <w:t>point</w:t>
            </w:r>
            <w:r w:rsidRPr="007E2939">
              <w:rPr>
                <w:rFonts w:ascii="Arial" w:hAnsi="Arial" w:cs="Arial"/>
              </w:rPr>
              <w:t xml:space="preserve"> starts from external stakeholders (related to culture and regulations) mediated by associations to supply chain stakeholders (related to culture, structure, and process) mediated by alliances and networks and finally enters the internal SME organization (also related to culture, structure, and process)</w:t>
            </w:r>
          </w:p>
        </w:tc>
        <w:tc>
          <w:tcPr>
            <w:tcW w:w="2344" w:type="pct"/>
            <w:vAlign w:val="center"/>
          </w:tcPr>
          <w:p w14:paraId="79C42C1B" w14:textId="77777777" w:rsidR="00D4500C" w:rsidRPr="007E2939" w:rsidRDefault="00D4500C" w:rsidP="001E626E">
            <w:pPr>
              <w:spacing w:line="360" w:lineRule="auto"/>
              <w:jc w:val="center"/>
              <w:rPr>
                <w:rFonts w:ascii="Arial" w:hAnsi="Arial" w:cs="Arial"/>
              </w:rPr>
            </w:pPr>
            <w:r w:rsidRPr="007E2939">
              <w:rPr>
                <w:rFonts w:ascii="Arial" w:hAnsi="Arial" w:cs="Arial"/>
              </w:rPr>
              <w:t>OL as an enabler with an inside out view</w:t>
            </w:r>
            <w:r>
              <w:rPr>
                <w:rFonts w:ascii="Arial" w:hAnsi="Arial" w:cs="Arial"/>
              </w:rPr>
              <w:t>point</w:t>
            </w:r>
            <w:r w:rsidRPr="007E2939">
              <w:rPr>
                <w:rFonts w:ascii="Arial" w:hAnsi="Arial" w:cs="Arial"/>
              </w:rPr>
              <w:t xml:space="preserve"> starts from the internal SME organization (related to culture, structure, and process) mediated by alliances and networks to supply chain stakeholders (also related to culture, structure, and process) and finally mediated by associations to external stakeholders (related to culture and regulation).</w:t>
            </w:r>
          </w:p>
        </w:tc>
      </w:tr>
      <w:tr w:rsidR="00D4500C" w:rsidRPr="007E2939" w14:paraId="3DDE68EB" w14:textId="77777777" w:rsidTr="001E626E">
        <w:trPr>
          <w:jc w:val="center"/>
        </w:trPr>
        <w:tc>
          <w:tcPr>
            <w:tcW w:w="215" w:type="pct"/>
            <w:vMerge w:val="restart"/>
            <w:vAlign w:val="center"/>
          </w:tcPr>
          <w:p w14:paraId="38DD0B9E" w14:textId="77777777" w:rsidR="00D4500C" w:rsidRPr="007E2939" w:rsidRDefault="00D4500C" w:rsidP="001E626E">
            <w:pPr>
              <w:spacing w:line="360" w:lineRule="auto"/>
              <w:jc w:val="center"/>
              <w:rPr>
                <w:rFonts w:ascii="Arial" w:hAnsi="Arial" w:cs="Arial"/>
              </w:rPr>
            </w:pPr>
            <w:r w:rsidRPr="007E2939">
              <w:rPr>
                <w:rFonts w:ascii="Arial" w:hAnsi="Arial" w:cs="Arial"/>
              </w:rPr>
              <w:t>5</w:t>
            </w:r>
          </w:p>
        </w:tc>
        <w:tc>
          <w:tcPr>
            <w:tcW w:w="466" w:type="pct"/>
            <w:vMerge w:val="restart"/>
            <w:vAlign w:val="center"/>
          </w:tcPr>
          <w:p w14:paraId="13137C33"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author":[{"dropping-particle":"","family":"Cantú","given":"Andrea","non-dropping-particle":"","parse-names":false,"suffix":""},{"dropping-particle":"","family":"Aguiñaga","given":"Eduardo","non-dropping-particle":"","parse-names":false,"suffix":""},{"dropping-particle":"","family":"Scheel","given":"Carlos","non-dropping-particle":"","parse-names":false,"suffix":""},{"dropping-particle":"","family":"Noland","given":"Kenneth","non-dropping-particle":"","parse-names":false,"suffix":""}],"container-title":"Sustainability","id":"ITEM-1","issued":{"date-parts":[["2021"]]},"title":"Learning from Failure and Success : The Challenges for Circular Economy Implementation in SMEs in an Emerging Economy","type":"article-journal","volume":"13"},"uris":["http://www.mendeley.com/documents/?uuid=01a6263e-80c0-4da8-add3-4b5292217270"]}],"mendeley":{"formattedCitation":"(Cantú et al., 2021)","manualFormatting":"Cantú et al. (2021)","plainTextFormattedCitation":"(Cantú et al., 2021)","previouslyFormattedCitation":"(Cantú et al.,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Cantú et al. (2021)</w:t>
            </w:r>
            <w:r w:rsidRPr="007E2939">
              <w:rPr>
                <w:rFonts w:ascii="Arial" w:hAnsi="Arial" w:cs="Arial"/>
              </w:rPr>
              <w:fldChar w:fldCharType="end"/>
            </w:r>
          </w:p>
        </w:tc>
        <w:tc>
          <w:tcPr>
            <w:tcW w:w="1975" w:type="pct"/>
            <w:vAlign w:val="center"/>
          </w:tcPr>
          <w:p w14:paraId="6D907529" w14:textId="77777777" w:rsidR="00D4500C" w:rsidRPr="007E2939" w:rsidRDefault="00D4500C" w:rsidP="001E626E">
            <w:pPr>
              <w:spacing w:line="360" w:lineRule="auto"/>
              <w:jc w:val="center"/>
              <w:rPr>
                <w:rFonts w:ascii="Arial" w:hAnsi="Arial" w:cs="Arial"/>
              </w:rPr>
            </w:pPr>
            <w:r w:rsidRPr="007E2939">
              <w:rPr>
                <w:rFonts w:ascii="Arial" w:hAnsi="Arial" w:cs="Arial"/>
              </w:rPr>
              <w:t>External barriers:</w:t>
            </w:r>
            <w:r w:rsidRPr="007E2939">
              <w:rPr>
                <w:rFonts w:ascii="Tahoma" w:hAnsi="Tahoma" w:cs="Tahoma"/>
              </w:rPr>
              <w:t>﻿</w:t>
            </w:r>
          </w:p>
          <w:p w14:paraId="59EB8E6B" w14:textId="77777777" w:rsidR="00D4500C" w:rsidRPr="007E2939" w:rsidRDefault="00D4500C" w:rsidP="006E2B22">
            <w:pPr>
              <w:pStyle w:val="ListParagraph"/>
              <w:numPr>
                <w:ilvl w:val="0"/>
                <w:numId w:val="5"/>
              </w:numPr>
              <w:spacing w:line="360" w:lineRule="auto"/>
              <w:ind w:hanging="468"/>
              <w:jc w:val="center"/>
              <w:rPr>
                <w:rFonts w:ascii="Arial" w:hAnsi="Arial" w:cs="Arial"/>
              </w:rPr>
            </w:pPr>
            <w:r w:rsidRPr="007E2939">
              <w:rPr>
                <w:rFonts w:ascii="Arial" w:hAnsi="Arial" w:cs="Arial"/>
              </w:rPr>
              <w:t>User behavior (budget, preference, and demand; understanding and perception)</w:t>
            </w:r>
          </w:p>
          <w:p w14:paraId="3CC387B2" w14:textId="77777777" w:rsidR="00D4500C" w:rsidRPr="007E2939" w:rsidRDefault="00D4500C" w:rsidP="00D4500C">
            <w:pPr>
              <w:pStyle w:val="ListParagraph"/>
              <w:numPr>
                <w:ilvl w:val="0"/>
                <w:numId w:val="5"/>
              </w:numPr>
              <w:spacing w:line="360" w:lineRule="auto"/>
              <w:jc w:val="both"/>
              <w:rPr>
                <w:rFonts w:ascii="Arial" w:hAnsi="Arial" w:cs="Arial"/>
              </w:rPr>
            </w:pPr>
            <w:r w:rsidRPr="007E2939">
              <w:rPr>
                <w:rFonts w:ascii="Arial" w:hAnsi="Arial" w:cs="Arial"/>
              </w:rPr>
              <w:t>Regulatory (implementation, incentives, political landscape, promotion and awareness, regulation)</w:t>
            </w:r>
          </w:p>
          <w:p w14:paraId="343995ED" w14:textId="77777777" w:rsidR="00D4500C" w:rsidRPr="007E2939" w:rsidRDefault="00D4500C" w:rsidP="00D4500C">
            <w:pPr>
              <w:pStyle w:val="ListParagraph"/>
              <w:numPr>
                <w:ilvl w:val="0"/>
                <w:numId w:val="5"/>
              </w:numPr>
              <w:spacing w:line="360" w:lineRule="auto"/>
              <w:jc w:val="both"/>
              <w:rPr>
                <w:rFonts w:ascii="Arial" w:hAnsi="Arial" w:cs="Arial"/>
              </w:rPr>
            </w:pPr>
            <w:r w:rsidRPr="007E2939">
              <w:rPr>
                <w:rFonts w:ascii="Arial" w:hAnsi="Arial" w:cs="Arial"/>
              </w:rPr>
              <w:t>Infrastructure (</w:t>
            </w:r>
            <w:r w:rsidRPr="007E2939">
              <w:rPr>
                <w:rFonts w:ascii="Tahoma" w:hAnsi="Tahoma" w:cs="Tahoma"/>
              </w:rPr>
              <w:t>﻿</w:t>
            </w:r>
            <w:r w:rsidRPr="007E2939">
              <w:rPr>
                <w:rFonts w:ascii="Arial" w:hAnsi="Arial" w:cs="Arial"/>
              </w:rPr>
              <w:t>infrastructure irregularity, technology)</w:t>
            </w:r>
          </w:p>
          <w:p w14:paraId="20396BE8" w14:textId="77777777" w:rsidR="00D4500C" w:rsidRPr="007E2939" w:rsidRDefault="00D4500C" w:rsidP="00D4500C">
            <w:pPr>
              <w:pStyle w:val="ListParagraph"/>
              <w:numPr>
                <w:ilvl w:val="0"/>
                <w:numId w:val="5"/>
              </w:numPr>
              <w:spacing w:line="360" w:lineRule="auto"/>
              <w:jc w:val="both"/>
              <w:rPr>
                <w:rFonts w:ascii="Arial" w:hAnsi="Arial" w:cs="Arial"/>
              </w:rPr>
            </w:pPr>
            <w:r w:rsidRPr="007E2939">
              <w:rPr>
                <w:rFonts w:ascii="Tahoma" w:hAnsi="Tahoma" w:cs="Tahoma"/>
              </w:rPr>
              <w:lastRenderedPageBreak/>
              <w:t>﻿</w:t>
            </w:r>
            <w:r w:rsidRPr="007E2939">
              <w:rPr>
                <w:rFonts w:ascii="Arial" w:hAnsi="Arial" w:cs="Arial"/>
              </w:rPr>
              <w:t>Economy and competitive markets (</w:t>
            </w:r>
            <w:r w:rsidRPr="007E2939">
              <w:rPr>
                <w:rFonts w:ascii="Tahoma" w:hAnsi="Tahoma" w:cs="Tahoma"/>
              </w:rPr>
              <w:t>﻿</w:t>
            </w:r>
            <w:r w:rsidRPr="007E2939">
              <w:rPr>
                <w:rFonts w:ascii="Arial" w:hAnsi="Arial" w:cs="Arial"/>
              </w:rPr>
              <w:t xml:space="preserve">capital and funding, market competition, </w:t>
            </w:r>
            <w:r w:rsidRPr="007E2939">
              <w:rPr>
                <w:rFonts w:ascii="Tahoma" w:hAnsi="Tahoma" w:cs="Tahoma"/>
              </w:rPr>
              <w:t>﻿</w:t>
            </w:r>
            <w:r w:rsidRPr="007E2939">
              <w:rPr>
                <w:rFonts w:ascii="Arial" w:hAnsi="Arial" w:cs="Arial"/>
              </w:rPr>
              <w:t>market trend)</w:t>
            </w:r>
          </w:p>
          <w:p w14:paraId="55ED6FB5" w14:textId="77777777" w:rsidR="00D4500C" w:rsidRPr="007E2939" w:rsidRDefault="00D4500C" w:rsidP="00D4500C">
            <w:pPr>
              <w:pStyle w:val="ListParagraph"/>
              <w:numPr>
                <w:ilvl w:val="0"/>
                <w:numId w:val="5"/>
              </w:numPr>
              <w:spacing w:line="360" w:lineRule="auto"/>
              <w:jc w:val="both"/>
              <w:rPr>
                <w:rFonts w:ascii="Arial" w:hAnsi="Arial" w:cs="Arial"/>
              </w:rPr>
            </w:pPr>
            <w:r w:rsidRPr="007E2939">
              <w:rPr>
                <w:rFonts w:ascii="Tahoma" w:hAnsi="Tahoma" w:cs="Tahoma"/>
              </w:rPr>
              <w:t>﻿</w:t>
            </w:r>
            <w:r w:rsidRPr="007E2939">
              <w:rPr>
                <w:rFonts w:ascii="Arial" w:hAnsi="Arial" w:cs="Arial"/>
              </w:rPr>
              <w:t>Supply Chain (</w:t>
            </w:r>
            <w:r w:rsidRPr="007E2939">
              <w:rPr>
                <w:rFonts w:ascii="Tahoma" w:hAnsi="Tahoma" w:cs="Tahoma"/>
              </w:rPr>
              <w:t>﻿</w:t>
            </w:r>
            <w:r w:rsidRPr="007E2939">
              <w:rPr>
                <w:rFonts w:ascii="Arial" w:hAnsi="Arial" w:cs="Arial"/>
              </w:rPr>
              <w:t xml:space="preserve">availability, cooperation, </w:t>
            </w:r>
            <w:r w:rsidRPr="007E2939">
              <w:rPr>
                <w:rFonts w:ascii="Tahoma" w:hAnsi="Tahoma" w:cs="Tahoma"/>
              </w:rPr>
              <w:t>﻿</w:t>
            </w:r>
            <w:r w:rsidRPr="007E2939">
              <w:rPr>
                <w:rFonts w:ascii="Arial" w:hAnsi="Arial" w:cs="Arial"/>
              </w:rPr>
              <w:t>logistics)</w:t>
            </w:r>
          </w:p>
        </w:tc>
        <w:tc>
          <w:tcPr>
            <w:tcW w:w="2344" w:type="pct"/>
            <w:vAlign w:val="center"/>
          </w:tcPr>
          <w:p w14:paraId="10E35716" w14:textId="77777777" w:rsidR="00D4500C" w:rsidRPr="007E2939" w:rsidRDefault="00D4500C" w:rsidP="001E626E">
            <w:pPr>
              <w:spacing w:line="360" w:lineRule="auto"/>
              <w:jc w:val="center"/>
              <w:rPr>
                <w:rFonts w:ascii="Arial" w:hAnsi="Arial" w:cs="Arial"/>
              </w:rPr>
            </w:pPr>
            <w:r w:rsidRPr="007E2939">
              <w:rPr>
                <w:rFonts w:ascii="Arial" w:hAnsi="Arial" w:cs="Arial"/>
              </w:rPr>
              <w:lastRenderedPageBreak/>
              <w:t>External enablers</w:t>
            </w:r>
            <w:r w:rsidRPr="007E2939">
              <w:rPr>
                <w:rFonts w:ascii="Tahoma" w:hAnsi="Tahoma" w:cs="Tahoma"/>
              </w:rPr>
              <w:t>﻿</w:t>
            </w:r>
          </w:p>
          <w:p w14:paraId="7C90A2C8" w14:textId="77777777" w:rsidR="00D4500C" w:rsidRPr="007E2939" w:rsidRDefault="00D4500C" w:rsidP="00D4500C">
            <w:pPr>
              <w:pStyle w:val="ListParagraph"/>
              <w:numPr>
                <w:ilvl w:val="0"/>
                <w:numId w:val="7"/>
              </w:numPr>
              <w:spacing w:line="360" w:lineRule="auto"/>
              <w:jc w:val="both"/>
              <w:rPr>
                <w:rFonts w:ascii="Arial" w:hAnsi="Arial" w:cs="Arial"/>
              </w:rPr>
            </w:pPr>
            <w:r w:rsidRPr="007E2939">
              <w:rPr>
                <w:rFonts w:ascii="Arial" w:hAnsi="Arial" w:cs="Arial"/>
              </w:rPr>
              <w:t>User behavior (budget, preference and demand, understanding and perception)</w:t>
            </w:r>
          </w:p>
          <w:p w14:paraId="53C1D0E9" w14:textId="77777777" w:rsidR="00D4500C" w:rsidRPr="007E2939" w:rsidRDefault="00D4500C" w:rsidP="00D4500C">
            <w:pPr>
              <w:pStyle w:val="ListParagraph"/>
              <w:numPr>
                <w:ilvl w:val="0"/>
                <w:numId w:val="7"/>
              </w:numPr>
              <w:spacing w:line="360" w:lineRule="auto"/>
              <w:jc w:val="both"/>
              <w:rPr>
                <w:rFonts w:ascii="Arial" w:hAnsi="Arial" w:cs="Arial"/>
              </w:rPr>
            </w:pPr>
            <w:r w:rsidRPr="007E2939">
              <w:rPr>
                <w:rFonts w:ascii="Arial" w:hAnsi="Arial" w:cs="Arial"/>
              </w:rPr>
              <w:t>Regulatory (implementation, incentives, promotion and awareness, regulation)</w:t>
            </w:r>
          </w:p>
          <w:p w14:paraId="4D785708" w14:textId="77777777" w:rsidR="00D4500C" w:rsidRPr="007E2939" w:rsidRDefault="00D4500C" w:rsidP="00D4500C">
            <w:pPr>
              <w:pStyle w:val="ListParagraph"/>
              <w:numPr>
                <w:ilvl w:val="0"/>
                <w:numId w:val="7"/>
              </w:numPr>
              <w:spacing w:line="360" w:lineRule="auto"/>
              <w:jc w:val="both"/>
              <w:rPr>
                <w:rFonts w:ascii="Arial" w:hAnsi="Arial" w:cs="Arial"/>
              </w:rPr>
            </w:pPr>
            <w:r w:rsidRPr="007E2939">
              <w:rPr>
                <w:rFonts w:ascii="Arial" w:hAnsi="Arial" w:cs="Arial"/>
              </w:rPr>
              <w:t>Infrastructure (</w:t>
            </w:r>
            <w:r w:rsidRPr="007E2939">
              <w:rPr>
                <w:rFonts w:ascii="Tahoma" w:hAnsi="Tahoma" w:cs="Tahoma"/>
              </w:rPr>
              <w:t>﻿</w:t>
            </w:r>
            <w:r w:rsidRPr="007E2939">
              <w:rPr>
                <w:rFonts w:ascii="Arial" w:hAnsi="Arial" w:cs="Arial"/>
              </w:rPr>
              <w:t>available infrastructure, technology)</w:t>
            </w:r>
          </w:p>
          <w:p w14:paraId="1CAFA653" w14:textId="77777777" w:rsidR="00D4500C" w:rsidRPr="007E2939" w:rsidRDefault="00D4500C" w:rsidP="00D4500C">
            <w:pPr>
              <w:pStyle w:val="ListParagraph"/>
              <w:numPr>
                <w:ilvl w:val="0"/>
                <w:numId w:val="7"/>
              </w:numPr>
              <w:spacing w:line="360" w:lineRule="auto"/>
              <w:jc w:val="both"/>
              <w:rPr>
                <w:rFonts w:ascii="Arial" w:hAnsi="Arial" w:cs="Arial"/>
              </w:rPr>
            </w:pPr>
            <w:r w:rsidRPr="007E2939">
              <w:rPr>
                <w:rFonts w:ascii="Tahoma" w:hAnsi="Tahoma" w:cs="Tahoma"/>
              </w:rPr>
              <w:t>﻿</w:t>
            </w:r>
            <w:r w:rsidRPr="007E2939">
              <w:rPr>
                <w:rFonts w:ascii="Arial" w:hAnsi="Arial" w:cs="Arial"/>
              </w:rPr>
              <w:t>Economy and competitive markets (</w:t>
            </w:r>
            <w:r w:rsidRPr="007E2939">
              <w:rPr>
                <w:rFonts w:ascii="Tahoma" w:hAnsi="Tahoma" w:cs="Tahoma"/>
              </w:rPr>
              <w:t>﻿</w:t>
            </w:r>
            <w:r w:rsidRPr="007E2939">
              <w:rPr>
                <w:rFonts w:ascii="Arial" w:hAnsi="Arial" w:cs="Arial"/>
              </w:rPr>
              <w:t xml:space="preserve">capital and funding, </w:t>
            </w:r>
            <w:r w:rsidRPr="007E2939">
              <w:rPr>
                <w:rFonts w:ascii="Tahoma" w:hAnsi="Tahoma" w:cs="Tahoma"/>
              </w:rPr>
              <w:t>﻿</w:t>
            </w:r>
            <w:r w:rsidRPr="007E2939">
              <w:rPr>
                <w:rFonts w:ascii="Arial" w:hAnsi="Arial" w:cs="Arial"/>
              </w:rPr>
              <w:t>market competition)</w:t>
            </w:r>
          </w:p>
          <w:p w14:paraId="198C7E85" w14:textId="77777777" w:rsidR="00D4500C" w:rsidRPr="007E2939" w:rsidRDefault="00D4500C" w:rsidP="00D4500C">
            <w:pPr>
              <w:pStyle w:val="ListParagraph"/>
              <w:numPr>
                <w:ilvl w:val="0"/>
                <w:numId w:val="7"/>
              </w:numPr>
              <w:spacing w:line="360" w:lineRule="auto"/>
              <w:jc w:val="both"/>
              <w:rPr>
                <w:rFonts w:ascii="Arial" w:hAnsi="Arial" w:cs="Arial"/>
              </w:rPr>
            </w:pPr>
            <w:r w:rsidRPr="007E2939">
              <w:rPr>
                <w:rFonts w:ascii="Arial" w:hAnsi="Arial" w:cs="Arial"/>
              </w:rPr>
              <w:lastRenderedPageBreak/>
              <w:t>Supply chain (</w:t>
            </w:r>
            <w:r w:rsidRPr="007E2939">
              <w:rPr>
                <w:rFonts w:ascii="Tahoma" w:hAnsi="Tahoma" w:cs="Tahoma"/>
              </w:rPr>
              <w:t>﻿</w:t>
            </w:r>
            <w:r w:rsidRPr="007E2939">
              <w:rPr>
                <w:rFonts w:ascii="Arial" w:hAnsi="Arial" w:cs="Arial"/>
              </w:rPr>
              <w:t xml:space="preserve">leadership, </w:t>
            </w:r>
            <w:r w:rsidRPr="007E2939">
              <w:rPr>
                <w:rFonts w:ascii="Tahoma" w:hAnsi="Tahoma" w:cs="Tahoma"/>
              </w:rPr>
              <w:t>﻿</w:t>
            </w:r>
            <w:r w:rsidRPr="007E2939">
              <w:rPr>
                <w:rFonts w:ascii="Arial" w:hAnsi="Arial" w:cs="Arial"/>
              </w:rPr>
              <w:t>cooperation, incentives to suppliers, logistics)</w:t>
            </w:r>
          </w:p>
        </w:tc>
      </w:tr>
      <w:tr w:rsidR="00D4500C" w:rsidRPr="007E2939" w14:paraId="4CA7FEFC" w14:textId="77777777" w:rsidTr="001E626E">
        <w:trPr>
          <w:jc w:val="center"/>
        </w:trPr>
        <w:tc>
          <w:tcPr>
            <w:tcW w:w="215" w:type="pct"/>
            <w:vMerge/>
            <w:vAlign w:val="center"/>
          </w:tcPr>
          <w:p w14:paraId="186BC67B" w14:textId="77777777" w:rsidR="00D4500C" w:rsidRPr="007E2939" w:rsidRDefault="00D4500C" w:rsidP="001E626E">
            <w:pPr>
              <w:spacing w:line="360" w:lineRule="auto"/>
              <w:jc w:val="center"/>
              <w:rPr>
                <w:rFonts w:ascii="Arial" w:hAnsi="Arial" w:cs="Arial"/>
              </w:rPr>
            </w:pPr>
          </w:p>
        </w:tc>
        <w:tc>
          <w:tcPr>
            <w:tcW w:w="466" w:type="pct"/>
            <w:vMerge/>
            <w:vAlign w:val="center"/>
          </w:tcPr>
          <w:p w14:paraId="79AA1E9E" w14:textId="77777777" w:rsidR="00D4500C" w:rsidRPr="007E2939" w:rsidRDefault="00D4500C" w:rsidP="001E626E">
            <w:pPr>
              <w:spacing w:line="360" w:lineRule="auto"/>
              <w:jc w:val="center"/>
              <w:rPr>
                <w:rFonts w:ascii="Arial" w:hAnsi="Arial" w:cs="Arial"/>
              </w:rPr>
            </w:pPr>
          </w:p>
        </w:tc>
        <w:tc>
          <w:tcPr>
            <w:tcW w:w="1975" w:type="pct"/>
            <w:vAlign w:val="center"/>
          </w:tcPr>
          <w:p w14:paraId="0E658D9C" w14:textId="77777777" w:rsidR="00D4500C" w:rsidRPr="007E2939" w:rsidRDefault="00D4500C" w:rsidP="001E626E">
            <w:pPr>
              <w:spacing w:line="360" w:lineRule="auto"/>
              <w:jc w:val="center"/>
              <w:rPr>
                <w:rFonts w:ascii="Arial" w:hAnsi="Arial" w:cs="Arial"/>
              </w:rPr>
            </w:pPr>
            <w:r w:rsidRPr="007E2939">
              <w:rPr>
                <w:rFonts w:ascii="Arial" w:hAnsi="Arial" w:cs="Arial"/>
              </w:rPr>
              <w:t>Internal barriers:</w:t>
            </w:r>
          </w:p>
          <w:p w14:paraId="68F65709" w14:textId="77777777" w:rsidR="00D4500C" w:rsidRPr="007E2939" w:rsidRDefault="00D4500C" w:rsidP="00D4500C">
            <w:pPr>
              <w:pStyle w:val="ListParagraph"/>
              <w:numPr>
                <w:ilvl w:val="0"/>
                <w:numId w:val="6"/>
              </w:numPr>
              <w:spacing w:line="360" w:lineRule="auto"/>
              <w:jc w:val="both"/>
              <w:rPr>
                <w:rFonts w:ascii="Arial" w:hAnsi="Arial" w:cs="Arial"/>
              </w:rPr>
            </w:pPr>
            <w:r w:rsidRPr="007E2939">
              <w:rPr>
                <w:rFonts w:ascii="Tahoma" w:hAnsi="Tahoma" w:cs="Tahoma"/>
              </w:rPr>
              <w:t>﻿</w:t>
            </w:r>
            <w:r w:rsidRPr="007E2939">
              <w:rPr>
                <w:rFonts w:ascii="Arial" w:hAnsi="Arial" w:cs="Arial"/>
              </w:rPr>
              <w:t>Knowledge (</w:t>
            </w:r>
            <w:r w:rsidRPr="007E2939">
              <w:rPr>
                <w:rFonts w:ascii="Tahoma" w:hAnsi="Tahoma" w:cs="Tahoma"/>
              </w:rPr>
              <w:t>﻿</w:t>
            </w:r>
            <w:r w:rsidRPr="007E2939">
              <w:rPr>
                <w:rFonts w:ascii="Arial" w:hAnsi="Arial" w:cs="Arial"/>
              </w:rPr>
              <w:t>communication, information access and awareness, information on CE)</w:t>
            </w:r>
          </w:p>
          <w:p w14:paraId="4D75EB68" w14:textId="77777777" w:rsidR="00D4500C" w:rsidRPr="007E2939" w:rsidRDefault="00D4500C" w:rsidP="00D4500C">
            <w:pPr>
              <w:pStyle w:val="ListParagraph"/>
              <w:numPr>
                <w:ilvl w:val="0"/>
                <w:numId w:val="6"/>
              </w:numPr>
              <w:spacing w:line="360" w:lineRule="auto"/>
              <w:jc w:val="both"/>
              <w:rPr>
                <w:rFonts w:ascii="Arial" w:hAnsi="Arial" w:cs="Arial"/>
              </w:rPr>
            </w:pPr>
            <w:r w:rsidRPr="007E2939">
              <w:rPr>
                <w:rFonts w:ascii="Tahoma" w:hAnsi="Tahoma" w:cs="Tahoma"/>
              </w:rPr>
              <w:t>﻿</w:t>
            </w:r>
            <w:r w:rsidRPr="007E2939">
              <w:rPr>
                <w:rFonts w:ascii="Arial" w:hAnsi="Arial" w:cs="Arial"/>
              </w:rPr>
              <w:t>Financial (</w:t>
            </w:r>
            <w:r w:rsidRPr="007E2939">
              <w:rPr>
                <w:rFonts w:ascii="Tahoma" w:hAnsi="Tahoma" w:cs="Tahoma"/>
              </w:rPr>
              <w:t>﻿</w:t>
            </w:r>
            <w:r w:rsidRPr="007E2939">
              <w:rPr>
                <w:rFonts w:ascii="Arial" w:hAnsi="Arial" w:cs="Arial"/>
              </w:rPr>
              <w:t>investment cost, revenue model, cost structure, and risk)</w:t>
            </w:r>
          </w:p>
          <w:p w14:paraId="3FD4C747" w14:textId="77777777" w:rsidR="00D4500C" w:rsidRPr="007E2939" w:rsidRDefault="00D4500C" w:rsidP="00D4500C">
            <w:pPr>
              <w:pStyle w:val="ListParagraph"/>
              <w:numPr>
                <w:ilvl w:val="0"/>
                <w:numId w:val="6"/>
              </w:numPr>
              <w:spacing w:line="360" w:lineRule="auto"/>
              <w:jc w:val="both"/>
              <w:rPr>
                <w:rFonts w:ascii="Arial" w:hAnsi="Arial" w:cs="Arial"/>
              </w:rPr>
            </w:pPr>
            <w:r w:rsidRPr="007E2939">
              <w:rPr>
                <w:rFonts w:ascii="Tahoma" w:hAnsi="Tahoma" w:cs="Tahoma"/>
              </w:rPr>
              <w:t>﻿</w:t>
            </w:r>
            <w:r w:rsidRPr="007E2939">
              <w:rPr>
                <w:rFonts w:ascii="Arial" w:hAnsi="Arial" w:cs="Arial"/>
              </w:rPr>
              <w:t>Organizational (</w:t>
            </w:r>
            <w:r w:rsidRPr="007E2939">
              <w:rPr>
                <w:rFonts w:ascii="Tahoma" w:hAnsi="Tahoma" w:cs="Tahoma"/>
              </w:rPr>
              <w:t>﻿</w:t>
            </w:r>
            <w:r w:rsidRPr="007E2939">
              <w:rPr>
                <w:rFonts w:ascii="Arial" w:hAnsi="Arial" w:cs="Arial"/>
              </w:rPr>
              <w:t xml:space="preserve">corporate governance, culture, management, </w:t>
            </w:r>
            <w:r w:rsidRPr="007E2939">
              <w:rPr>
                <w:rFonts w:ascii="Tahoma" w:hAnsi="Tahoma" w:cs="Tahoma"/>
              </w:rPr>
              <w:t>﻿</w:t>
            </w:r>
            <w:r w:rsidRPr="007E2939">
              <w:rPr>
                <w:rFonts w:ascii="Arial" w:hAnsi="Arial" w:cs="Arial"/>
              </w:rPr>
              <w:t xml:space="preserve">organizational capabilities, </w:t>
            </w:r>
            <w:r w:rsidRPr="007E2939">
              <w:rPr>
                <w:rFonts w:ascii="Tahoma" w:hAnsi="Tahoma" w:cs="Tahoma"/>
              </w:rPr>
              <w:t>﻿</w:t>
            </w:r>
            <w:r w:rsidRPr="007E2939">
              <w:rPr>
                <w:rFonts w:ascii="Arial" w:hAnsi="Arial" w:cs="Arial"/>
              </w:rPr>
              <w:t xml:space="preserve">organizational resources, </w:t>
            </w:r>
            <w:r w:rsidRPr="007E2939">
              <w:rPr>
                <w:rFonts w:ascii="Tahoma" w:hAnsi="Tahoma" w:cs="Tahoma"/>
              </w:rPr>
              <w:t>﻿</w:t>
            </w:r>
            <w:r w:rsidRPr="007E2939">
              <w:rPr>
                <w:rFonts w:ascii="Arial" w:hAnsi="Arial" w:cs="Arial"/>
              </w:rPr>
              <w:t>strategies)</w:t>
            </w:r>
          </w:p>
          <w:p w14:paraId="60EDC81B" w14:textId="77777777" w:rsidR="00D4500C" w:rsidRPr="007E2939" w:rsidRDefault="00D4500C" w:rsidP="00D4500C">
            <w:pPr>
              <w:pStyle w:val="ListParagraph"/>
              <w:numPr>
                <w:ilvl w:val="0"/>
                <w:numId w:val="6"/>
              </w:numPr>
              <w:spacing w:line="360" w:lineRule="auto"/>
              <w:jc w:val="both"/>
              <w:rPr>
                <w:rFonts w:ascii="Arial" w:hAnsi="Arial" w:cs="Arial"/>
              </w:rPr>
            </w:pPr>
            <w:r w:rsidRPr="007E2939">
              <w:rPr>
                <w:rFonts w:ascii="Tahoma" w:hAnsi="Tahoma" w:cs="Tahoma"/>
              </w:rPr>
              <w:t>﻿</w:t>
            </w:r>
            <w:r w:rsidRPr="007E2939">
              <w:rPr>
                <w:rFonts w:ascii="Arial" w:hAnsi="Arial" w:cs="Arial"/>
              </w:rPr>
              <w:t>Product and material characteristics (design)</w:t>
            </w:r>
          </w:p>
        </w:tc>
        <w:tc>
          <w:tcPr>
            <w:tcW w:w="2344" w:type="pct"/>
            <w:vAlign w:val="center"/>
          </w:tcPr>
          <w:p w14:paraId="1D22A16E" w14:textId="77777777" w:rsidR="00D4500C" w:rsidRPr="007E2939" w:rsidRDefault="00D4500C" w:rsidP="001E626E">
            <w:pPr>
              <w:spacing w:line="360" w:lineRule="auto"/>
              <w:jc w:val="center"/>
              <w:rPr>
                <w:rFonts w:ascii="Arial" w:hAnsi="Arial" w:cs="Arial"/>
              </w:rPr>
            </w:pPr>
            <w:r w:rsidRPr="007E2939">
              <w:rPr>
                <w:rFonts w:ascii="Arial" w:hAnsi="Arial" w:cs="Arial"/>
              </w:rPr>
              <w:t>External enablers</w:t>
            </w:r>
          </w:p>
          <w:p w14:paraId="5497C8D5" w14:textId="77777777" w:rsidR="00D4500C" w:rsidRPr="007E2939" w:rsidRDefault="00D4500C" w:rsidP="00D4500C">
            <w:pPr>
              <w:pStyle w:val="ListParagraph"/>
              <w:numPr>
                <w:ilvl w:val="0"/>
                <w:numId w:val="8"/>
              </w:numPr>
              <w:spacing w:line="360" w:lineRule="auto"/>
              <w:jc w:val="both"/>
              <w:rPr>
                <w:rFonts w:ascii="Arial" w:hAnsi="Arial" w:cs="Arial"/>
              </w:rPr>
            </w:pPr>
            <w:r w:rsidRPr="007E2939">
              <w:rPr>
                <w:rFonts w:ascii="Tahoma" w:hAnsi="Tahoma" w:cs="Tahoma"/>
              </w:rPr>
              <w:t>﻿</w:t>
            </w:r>
            <w:r w:rsidRPr="007E2939">
              <w:rPr>
                <w:rFonts w:ascii="Arial" w:hAnsi="Arial" w:cs="Arial"/>
              </w:rPr>
              <w:t>Knowledge (</w:t>
            </w:r>
            <w:r w:rsidRPr="007E2939">
              <w:rPr>
                <w:rFonts w:ascii="Tahoma" w:hAnsi="Tahoma" w:cs="Tahoma"/>
              </w:rPr>
              <w:t>﻿</w:t>
            </w:r>
            <w:r w:rsidRPr="007E2939">
              <w:rPr>
                <w:rFonts w:ascii="Arial" w:hAnsi="Arial" w:cs="Arial"/>
              </w:rPr>
              <w:t xml:space="preserve">communication, </w:t>
            </w:r>
            <w:r w:rsidRPr="007E2939">
              <w:rPr>
                <w:rFonts w:ascii="Tahoma" w:hAnsi="Tahoma" w:cs="Tahoma"/>
              </w:rPr>
              <w:t>﻿</w:t>
            </w:r>
            <w:r w:rsidRPr="007E2939">
              <w:rPr>
                <w:rFonts w:ascii="Arial" w:hAnsi="Arial" w:cs="Arial"/>
              </w:rPr>
              <w:t xml:space="preserve">information access and awareness, </w:t>
            </w:r>
            <w:r w:rsidRPr="007E2939">
              <w:rPr>
                <w:rFonts w:ascii="Tahoma" w:hAnsi="Tahoma" w:cs="Tahoma"/>
              </w:rPr>
              <w:t>﻿</w:t>
            </w:r>
            <w:r w:rsidRPr="007E2939">
              <w:rPr>
                <w:rFonts w:ascii="Arial" w:hAnsi="Arial" w:cs="Arial"/>
              </w:rPr>
              <w:t>information on CE)</w:t>
            </w:r>
          </w:p>
          <w:p w14:paraId="5E008558" w14:textId="77777777" w:rsidR="00D4500C" w:rsidRPr="007E2939" w:rsidRDefault="00D4500C" w:rsidP="00D4500C">
            <w:pPr>
              <w:pStyle w:val="ListParagraph"/>
              <w:numPr>
                <w:ilvl w:val="0"/>
                <w:numId w:val="8"/>
              </w:numPr>
              <w:spacing w:line="360" w:lineRule="auto"/>
              <w:jc w:val="both"/>
              <w:rPr>
                <w:rFonts w:ascii="Arial" w:hAnsi="Arial" w:cs="Arial"/>
              </w:rPr>
            </w:pPr>
            <w:r w:rsidRPr="007E2939">
              <w:rPr>
                <w:rFonts w:ascii="Tahoma" w:hAnsi="Tahoma" w:cs="Tahoma"/>
              </w:rPr>
              <w:t>﻿</w:t>
            </w:r>
            <w:r w:rsidRPr="007E2939">
              <w:rPr>
                <w:rFonts w:ascii="Arial" w:hAnsi="Arial" w:cs="Arial"/>
              </w:rPr>
              <w:t>Financial (</w:t>
            </w:r>
            <w:r w:rsidRPr="007E2939">
              <w:rPr>
                <w:rFonts w:ascii="Tahoma" w:hAnsi="Tahoma" w:cs="Tahoma"/>
              </w:rPr>
              <w:t>﻿</w:t>
            </w:r>
            <w:r w:rsidRPr="007E2939">
              <w:rPr>
                <w:rFonts w:ascii="Arial" w:hAnsi="Arial" w:cs="Arial"/>
              </w:rPr>
              <w:t>financial support, risk)</w:t>
            </w:r>
          </w:p>
          <w:p w14:paraId="5508655F" w14:textId="77777777" w:rsidR="00D4500C" w:rsidRPr="007E2939" w:rsidRDefault="00D4500C" w:rsidP="00D4500C">
            <w:pPr>
              <w:pStyle w:val="ListParagraph"/>
              <w:numPr>
                <w:ilvl w:val="0"/>
                <w:numId w:val="8"/>
              </w:numPr>
              <w:spacing w:line="360" w:lineRule="auto"/>
              <w:jc w:val="both"/>
              <w:rPr>
                <w:rFonts w:ascii="Arial" w:hAnsi="Arial" w:cs="Arial"/>
              </w:rPr>
            </w:pPr>
            <w:r w:rsidRPr="007E2939">
              <w:rPr>
                <w:rFonts w:ascii="Tahoma" w:hAnsi="Tahoma" w:cs="Tahoma"/>
              </w:rPr>
              <w:t>﻿</w:t>
            </w:r>
            <w:r w:rsidRPr="007E2939">
              <w:rPr>
                <w:rFonts w:ascii="Arial" w:hAnsi="Arial" w:cs="Arial"/>
              </w:rPr>
              <w:t>Organizational (</w:t>
            </w:r>
            <w:r w:rsidRPr="007E2939">
              <w:rPr>
                <w:rFonts w:ascii="Tahoma" w:hAnsi="Tahoma" w:cs="Tahoma"/>
              </w:rPr>
              <w:t>﻿</w:t>
            </w:r>
            <w:r w:rsidRPr="007E2939">
              <w:rPr>
                <w:rFonts w:ascii="Arial" w:hAnsi="Arial" w:cs="Arial"/>
              </w:rPr>
              <w:t xml:space="preserve">corporate governance, culture, management, </w:t>
            </w:r>
            <w:r w:rsidRPr="007E2939">
              <w:rPr>
                <w:rFonts w:ascii="Tahoma" w:hAnsi="Tahoma" w:cs="Tahoma"/>
              </w:rPr>
              <w:t>﻿</w:t>
            </w:r>
            <w:r w:rsidRPr="007E2939">
              <w:rPr>
                <w:rFonts w:ascii="Arial" w:hAnsi="Arial" w:cs="Arial"/>
              </w:rPr>
              <w:t xml:space="preserve">organizational capabilities, </w:t>
            </w:r>
            <w:r w:rsidRPr="007E2939">
              <w:rPr>
                <w:rFonts w:ascii="Tahoma" w:hAnsi="Tahoma" w:cs="Tahoma"/>
              </w:rPr>
              <w:t>﻿</w:t>
            </w:r>
            <w:r w:rsidRPr="007E2939">
              <w:rPr>
                <w:rFonts w:ascii="Arial" w:hAnsi="Arial" w:cs="Arial"/>
              </w:rPr>
              <w:t>organizational resources)</w:t>
            </w:r>
          </w:p>
          <w:p w14:paraId="3E25D6A3" w14:textId="77777777" w:rsidR="00D4500C" w:rsidRPr="007E2939" w:rsidRDefault="00D4500C" w:rsidP="00D4500C">
            <w:pPr>
              <w:pStyle w:val="ListParagraph"/>
              <w:numPr>
                <w:ilvl w:val="0"/>
                <w:numId w:val="8"/>
              </w:numPr>
              <w:spacing w:line="360" w:lineRule="auto"/>
              <w:jc w:val="both"/>
              <w:rPr>
                <w:rFonts w:ascii="Arial" w:hAnsi="Arial" w:cs="Arial"/>
              </w:rPr>
            </w:pPr>
            <w:r w:rsidRPr="007E2939">
              <w:rPr>
                <w:rFonts w:ascii="Arial" w:hAnsi="Arial" w:cs="Arial"/>
              </w:rPr>
              <w:t>Product and material characteristics (design)</w:t>
            </w:r>
          </w:p>
        </w:tc>
      </w:tr>
      <w:tr w:rsidR="00D4500C" w:rsidRPr="007E2939" w14:paraId="4DC7BF8B" w14:textId="77777777" w:rsidTr="001E626E">
        <w:trPr>
          <w:jc w:val="center"/>
        </w:trPr>
        <w:tc>
          <w:tcPr>
            <w:tcW w:w="215" w:type="pct"/>
            <w:vAlign w:val="center"/>
          </w:tcPr>
          <w:p w14:paraId="63EDE63B" w14:textId="77777777" w:rsidR="00D4500C" w:rsidRPr="007E2939" w:rsidRDefault="00D4500C" w:rsidP="001E626E">
            <w:pPr>
              <w:spacing w:line="360" w:lineRule="auto"/>
              <w:jc w:val="center"/>
              <w:rPr>
                <w:rFonts w:ascii="Arial" w:hAnsi="Arial" w:cs="Arial"/>
              </w:rPr>
            </w:pPr>
            <w:r w:rsidRPr="007E2939">
              <w:rPr>
                <w:rFonts w:ascii="Arial" w:hAnsi="Arial" w:cs="Arial"/>
              </w:rPr>
              <w:t>6</w:t>
            </w:r>
          </w:p>
        </w:tc>
        <w:tc>
          <w:tcPr>
            <w:tcW w:w="466" w:type="pct"/>
            <w:vAlign w:val="center"/>
          </w:tcPr>
          <w:p w14:paraId="38A659B9" w14:textId="77777777" w:rsidR="00D4500C" w:rsidRPr="007E2939" w:rsidRDefault="00D4500C" w:rsidP="001E626E">
            <w:pPr>
              <w:spacing w:line="360" w:lineRule="auto"/>
              <w:jc w:val="center"/>
              <w:rPr>
                <w:rFonts w:ascii="Arial" w:hAnsi="Arial" w:cs="Arial"/>
              </w:rPr>
            </w:pPr>
            <w:r w:rsidRPr="007E2939">
              <w:rPr>
                <w:rFonts w:ascii="Arial" w:hAnsi="Arial" w:cs="Arial"/>
              </w:rPr>
              <w:fldChar w:fldCharType="begin" w:fldLock="1"/>
            </w:r>
            <w:r w:rsidRPr="007E2939">
              <w:rPr>
                <w:rFonts w:ascii="Arial" w:hAnsi="Arial" w:cs="Arial"/>
              </w:rPr>
              <w:instrText>ADDIN CSL_CITATION {"citationItems":[{"id":"ITEM-1","itemData":{"DOI":"10.1108/meq-01-2021-0011","ISSN":"1477-7835","abstract":"Purpose: This study aims to investigate the evolutionary pathways adopted by a digital platform to favor the development of an entrepreneurial ecosystem inspired by circular economy behaviors, becoming an enabler in the development of a coevolutionary relationship between entrepreneurial ecosystems and circular economy. Design/methodology/approach: An in-depth single-case study method has been applied, investigating the case of circularity.com, the first and only circular economy industrial symbiosis platform in Italy. Findings: The paper shows how digital platforms can transition towards circular business models, particularly for small and medium enterprises (SMEs). Moreover, the findings show how sustainable platforms' need to revise their business models to effectively engage with stakeholders. The analysis also shows the central role covered by entrepreneurial ecosystems in the transition towards a more circular and sustainable business models. Originality/value: This paper contributes to theoretical development by offering new and insightful explanations of firms' behavior and coevolution, moving beyond the classic interpretation of industry dynamics and analyzing a unique case study. This study has implications for both practice and research, as it offers a better and more holistic understanding of the enabling role of digital platforms for a circular economy.","author":[{"dropping-particle":"","family":"Pizzi","given":"Simone","non-dropping-particle":"","parse-names":false,"suffix":""},{"dropping-particle":"","family":"Leopizzi","given":"Rossella","non-dropping-particle":"","parse-names":false,"suffix":""},{"dropping-particle":"","family":"Caputo","given":"Andrea","non-dropping-particle":"","parse-names":false,"suffix":""}],"container-title":"Management of Environmental Quality","id":"ITEM-1","issued":{"date-parts":[["2021"]]},"title":"The enablers in the relationship between entrepreneurial ecosystems and the circular economy: the case of circularity.com","type":"article-journal"},"uris":["http://www.mendeley.com/documents/?uuid=d77b424a-4ed3-4b72-8e2f-44914e971761"]}],"mendeley":{"formattedCitation":"(Pizzi et al., 2021)","manualFormatting":"Pizzi et al. (2021)","plainTextFormattedCitation":"(Pizzi et al., 2021)","previouslyFormattedCitation":"(Pizzi et al., 2021)"},"properties":{"noteIndex":0},"schema":"https://github.com/citation-style-language/schema/raw/master/csl-citation.json"}</w:instrText>
            </w:r>
            <w:r w:rsidRPr="007E2939">
              <w:rPr>
                <w:rFonts w:ascii="Arial" w:hAnsi="Arial" w:cs="Arial"/>
              </w:rPr>
              <w:fldChar w:fldCharType="separate"/>
            </w:r>
            <w:r w:rsidRPr="007E2939">
              <w:rPr>
                <w:rFonts w:ascii="Arial" w:hAnsi="Arial" w:cs="Arial"/>
                <w:noProof/>
              </w:rPr>
              <w:t>Pizzi et al. (2021)</w:t>
            </w:r>
            <w:r w:rsidRPr="007E2939">
              <w:rPr>
                <w:rFonts w:ascii="Arial" w:hAnsi="Arial" w:cs="Arial"/>
              </w:rPr>
              <w:fldChar w:fldCharType="end"/>
            </w:r>
          </w:p>
        </w:tc>
        <w:tc>
          <w:tcPr>
            <w:tcW w:w="1975" w:type="pct"/>
            <w:vAlign w:val="center"/>
          </w:tcPr>
          <w:p w14:paraId="60CCE473" w14:textId="77777777" w:rsidR="00D4500C" w:rsidRPr="007E2939" w:rsidRDefault="00D4500C" w:rsidP="001E626E">
            <w:pPr>
              <w:spacing w:line="360" w:lineRule="auto"/>
              <w:jc w:val="center"/>
              <w:rPr>
                <w:rFonts w:ascii="Arial" w:hAnsi="Arial" w:cs="Arial"/>
              </w:rPr>
            </w:pPr>
            <w:r w:rsidRPr="007E2939">
              <w:rPr>
                <w:rFonts w:ascii="Arial" w:hAnsi="Arial" w:cs="Arial"/>
              </w:rPr>
              <w:t>Technical, cultural, financial</w:t>
            </w:r>
          </w:p>
        </w:tc>
        <w:tc>
          <w:tcPr>
            <w:tcW w:w="2344" w:type="pct"/>
            <w:vAlign w:val="center"/>
          </w:tcPr>
          <w:p w14:paraId="2F64EC3D" w14:textId="77777777" w:rsidR="00D4500C" w:rsidRPr="007E2939" w:rsidRDefault="00D4500C" w:rsidP="001E626E">
            <w:pPr>
              <w:spacing w:line="360" w:lineRule="auto"/>
              <w:jc w:val="center"/>
              <w:rPr>
                <w:rFonts w:ascii="Arial" w:hAnsi="Arial" w:cs="Arial"/>
              </w:rPr>
            </w:pPr>
            <w:r w:rsidRPr="007E2939">
              <w:rPr>
                <w:rFonts w:ascii="Arial" w:hAnsi="Arial" w:cs="Arial"/>
              </w:rPr>
              <w:t>Role of digital platforms as enablers in the entrepreneurial ecosystem relationship and as enablers of CE-based business models for SMEs</w:t>
            </w:r>
          </w:p>
        </w:tc>
      </w:tr>
    </w:tbl>
    <w:p w14:paraId="030C1A1B" w14:textId="77777777" w:rsidR="00D4500C" w:rsidRPr="007E2939" w:rsidRDefault="00D4500C" w:rsidP="00D4500C">
      <w:pPr>
        <w:spacing w:line="360" w:lineRule="auto"/>
        <w:jc w:val="center"/>
        <w:rPr>
          <w:rFonts w:ascii="Arial" w:hAnsi="Arial" w:cs="Arial"/>
        </w:rPr>
      </w:pPr>
    </w:p>
    <w:p w14:paraId="41AA09FA" w14:textId="77777777" w:rsidR="00D4500C" w:rsidRDefault="00D4500C"/>
    <w:sectPr w:rsidR="00D4500C" w:rsidSect="00D4500C">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B59F9"/>
    <w:multiLevelType w:val="hybridMultilevel"/>
    <w:tmpl w:val="C1B00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664EF"/>
    <w:multiLevelType w:val="hybridMultilevel"/>
    <w:tmpl w:val="0B865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D25925"/>
    <w:multiLevelType w:val="hybridMultilevel"/>
    <w:tmpl w:val="449E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E47040"/>
    <w:multiLevelType w:val="hybridMultilevel"/>
    <w:tmpl w:val="0B865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50206"/>
    <w:multiLevelType w:val="hybridMultilevel"/>
    <w:tmpl w:val="C1B00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36A04"/>
    <w:multiLevelType w:val="hybridMultilevel"/>
    <w:tmpl w:val="E6E8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A97E6E"/>
    <w:multiLevelType w:val="hybridMultilevel"/>
    <w:tmpl w:val="3A6E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2F6B70"/>
    <w:multiLevelType w:val="hybridMultilevel"/>
    <w:tmpl w:val="7FA0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0C"/>
    <w:rsid w:val="00067017"/>
    <w:rsid w:val="006E2B22"/>
    <w:rsid w:val="00D450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F6F7B96"/>
  <w15:chartTrackingRefBased/>
  <w15:docId w15:val="{48D0A03F-50CB-5C4D-B4FC-36D8D18D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00C"/>
    <w:pPr>
      <w:widowControl w:val="0"/>
      <w:autoSpaceDE w:val="0"/>
      <w:autoSpaceDN w:val="0"/>
      <w:adjustRightInd w:val="0"/>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14325</Words>
  <Characters>81657</Characters>
  <Application>Microsoft Office Word</Application>
  <DocSecurity>0</DocSecurity>
  <Lines>680</Lines>
  <Paragraphs>191</Paragraphs>
  <ScaleCrop>false</ScaleCrop>
  <Company/>
  <LinksUpToDate>false</LinksUpToDate>
  <CharactersWithSpaces>95791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2021-07-13T09:04:00Z</dcterms:created>
  <dcterms:modified xsi:type="dcterms:W3CDTF">2021-08-10T07:32:00Z</dcterms:modified>
</cp:coreProperties>
</file>