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090" w:rsidRDefault="00AA7090" w:rsidP="00AA7090">
      <w:pPr>
        <w:ind w:right="-419"/>
        <w:jc w:val="center"/>
        <w:rPr>
          <w:b/>
          <w:sz w:val="30"/>
          <w:szCs w:val="30"/>
        </w:rPr>
      </w:pPr>
      <w:r>
        <w:rPr>
          <w:b/>
          <w:sz w:val="30"/>
          <w:szCs w:val="30"/>
        </w:rPr>
        <w:t>Halal Tourism a</w:t>
      </w:r>
      <w:r w:rsidRPr="00455F7B">
        <w:rPr>
          <w:b/>
          <w:sz w:val="30"/>
          <w:szCs w:val="30"/>
        </w:rPr>
        <w:t>nd Foreign Exchange Reserves</w:t>
      </w:r>
      <w:r>
        <w:rPr>
          <w:b/>
          <w:sz w:val="30"/>
          <w:szCs w:val="30"/>
        </w:rPr>
        <w:t xml:space="preserve"> in Indonesia</w:t>
      </w:r>
      <w:r w:rsidRPr="00455F7B">
        <w:rPr>
          <w:b/>
          <w:sz w:val="30"/>
          <w:szCs w:val="30"/>
        </w:rPr>
        <w:t xml:space="preserve">: </w:t>
      </w:r>
    </w:p>
    <w:p w:rsidR="00AA7090" w:rsidRPr="00114C1C" w:rsidRDefault="00AA7090" w:rsidP="00AA7090">
      <w:pPr>
        <w:jc w:val="center"/>
        <w:rPr>
          <w:b/>
          <w:sz w:val="28"/>
          <w:szCs w:val="28"/>
        </w:rPr>
      </w:pPr>
      <w:r w:rsidRPr="00455F7B">
        <w:rPr>
          <w:b/>
          <w:sz w:val="30"/>
          <w:szCs w:val="30"/>
        </w:rPr>
        <w:t>Error Correction Model</w:t>
      </w:r>
      <w:r w:rsidRPr="00B93923">
        <w:rPr>
          <w:b/>
          <w:sz w:val="24"/>
          <w:szCs w:val="24"/>
        </w:rPr>
        <w:t xml:space="preserve"> </w:t>
      </w:r>
    </w:p>
    <w:p w:rsidR="00AA7090" w:rsidRDefault="00AA7090" w:rsidP="00AA7090">
      <w:pPr>
        <w:spacing w:line="200" w:lineRule="exact"/>
      </w:pPr>
    </w:p>
    <w:p w:rsidR="00AA7090" w:rsidRDefault="00AA7090" w:rsidP="00AA7090">
      <w:pPr>
        <w:spacing w:before="2" w:line="240" w:lineRule="exact"/>
        <w:rPr>
          <w:sz w:val="24"/>
          <w:szCs w:val="24"/>
        </w:rPr>
      </w:pPr>
    </w:p>
    <w:p w:rsidR="00AA7090" w:rsidRPr="00676033" w:rsidRDefault="00AA7090" w:rsidP="00AA7090">
      <w:pPr>
        <w:ind w:left="2123" w:right="2143"/>
        <w:jc w:val="center"/>
        <w:rPr>
          <w:sz w:val="13"/>
          <w:szCs w:val="13"/>
        </w:rPr>
      </w:pPr>
      <w:r w:rsidRPr="00676033">
        <w:rPr>
          <w:b/>
          <w:spacing w:val="-3"/>
          <w:sz w:val="22"/>
          <w:szCs w:val="22"/>
        </w:rPr>
        <w:t>Layali Rahmatun</w:t>
      </w:r>
      <w:r w:rsidRPr="00676033">
        <w:rPr>
          <w:b/>
          <w:position w:val="7"/>
          <w:sz w:val="13"/>
          <w:szCs w:val="13"/>
        </w:rPr>
        <w:t>1</w:t>
      </w:r>
      <w:r w:rsidRPr="00676033">
        <w:rPr>
          <w:b/>
          <w:sz w:val="22"/>
          <w:szCs w:val="22"/>
        </w:rPr>
        <w:t>,</w:t>
      </w:r>
      <w:r w:rsidRPr="00676033">
        <w:rPr>
          <w:b/>
          <w:spacing w:val="2"/>
          <w:sz w:val="22"/>
          <w:szCs w:val="22"/>
        </w:rPr>
        <w:t xml:space="preserve"> Suriani</w:t>
      </w:r>
      <w:r w:rsidRPr="00676033">
        <w:rPr>
          <w:b/>
          <w:w w:val="99"/>
          <w:position w:val="7"/>
          <w:sz w:val="13"/>
          <w:szCs w:val="13"/>
        </w:rPr>
        <w:t>2</w:t>
      </w:r>
      <w:r w:rsidRPr="00E93B71">
        <w:rPr>
          <w:b/>
          <w:w w:val="99"/>
          <w:position w:val="7"/>
          <w:sz w:val="15"/>
          <w:szCs w:val="13"/>
        </w:rPr>
        <w:t>*</w:t>
      </w:r>
      <w:bookmarkStart w:id="0" w:name="_GoBack"/>
      <w:bookmarkEnd w:id="0"/>
    </w:p>
    <w:p w:rsidR="00AA7090" w:rsidRPr="00676033" w:rsidRDefault="00AA7090" w:rsidP="00AA7090">
      <w:pPr>
        <w:spacing w:before="62"/>
        <w:ind w:left="3340" w:right="3360"/>
        <w:jc w:val="center"/>
        <w:rPr>
          <w:w w:val="109"/>
        </w:rPr>
      </w:pPr>
      <w:r w:rsidRPr="00676033">
        <w:t>*</w:t>
      </w:r>
      <w:r w:rsidRPr="00676033">
        <w:rPr>
          <w:spacing w:val="-2"/>
        </w:rPr>
        <w:t>C</w:t>
      </w:r>
      <w:r w:rsidRPr="00676033">
        <w:t>o</w:t>
      </w:r>
      <w:r w:rsidRPr="00676033">
        <w:rPr>
          <w:spacing w:val="1"/>
        </w:rPr>
        <w:t>r</w:t>
      </w:r>
      <w:r w:rsidRPr="00676033">
        <w:rPr>
          <w:spacing w:val="-2"/>
        </w:rPr>
        <w:t>r</w:t>
      </w:r>
      <w:r w:rsidRPr="00676033">
        <w:t xml:space="preserve">esponding </w:t>
      </w:r>
      <w:r w:rsidRPr="00676033">
        <w:rPr>
          <w:spacing w:val="10"/>
        </w:rPr>
        <w:t xml:space="preserve"> </w:t>
      </w:r>
      <w:r w:rsidRPr="00676033">
        <w:rPr>
          <w:w w:val="109"/>
        </w:rPr>
        <w:t>author</w:t>
      </w:r>
    </w:p>
    <w:p w:rsidR="00AA7090" w:rsidRDefault="00AA7090" w:rsidP="00AA7090">
      <w:pPr>
        <w:spacing w:before="62"/>
        <w:ind w:left="3340" w:right="3360"/>
        <w:jc w:val="center"/>
      </w:pPr>
    </w:p>
    <w:p w:rsidR="00AA7090" w:rsidRDefault="00AA7090" w:rsidP="00AA7090">
      <w:pPr>
        <w:spacing w:before="62"/>
        <w:ind w:left="3340" w:right="3360"/>
        <w:jc w:val="center"/>
      </w:pPr>
    </w:p>
    <w:p w:rsidR="00AA7090" w:rsidRDefault="00AA7090" w:rsidP="006E65BB">
      <w:pPr>
        <w:spacing w:line="264" w:lineRule="auto"/>
        <w:ind w:left="669" w:right="649"/>
        <w:jc w:val="both"/>
        <w:rPr>
          <w:sz w:val="22"/>
          <w:szCs w:val="22"/>
        </w:rPr>
      </w:pPr>
      <w:r w:rsidRPr="00676033">
        <w:rPr>
          <w:b/>
          <w:spacing w:val="-1"/>
          <w:sz w:val="22"/>
          <w:szCs w:val="22"/>
        </w:rPr>
        <w:t>A</w:t>
      </w:r>
      <w:r w:rsidRPr="00676033">
        <w:rPr>
          <w:b/>
          <w:sz w:val="22"/>
          <w:szCs w:val="22"/>
        </w:rPr>
        <w:t>bstract.</w:t>
      </w:r>
      <w:r>
        <w:rPr>
          <w:b/>
          <w:color w:val="363435"/>
          <w:spacing w:val="-13"/>
          <w:sz w:val="22"/>
          <w:szCs w:val="22"/>
        </w:rPr>
        <w:t xml:space="preserve"> </w:t>
      </w:r>
      <w:r w:rsidRPr="006D70CF">
        <w:rPr>
          <w:bCs/>
          <w:i/>
          <w:sz w:val="22"/>
          <w:szCs w:val="22"/>
          <w:lang w:eastAsia="id-ID"/>
        </w:rPr>
        <w:t>This study aims to analyze the effect of the number of tourists and the exchange rate on foreign exchange reserves in Indonesia before and after the implementation of halal tourism. The variables used are foreign exchange reserves, exchange rates, and halal tourism. To see the differences before and after the implementation of halal tourism, the Paired t-Test model is used to analyze the effect and the balanced relationship, the Error Correction Model (ECM) is used. The results show that the implementation of halal tourism contributes to foreign exchange reserves in Indonesia in the long term. Then the exchange rate has a negative effect on foreign exchange reserves. Meanwhile, the number of foreign tourists has a positive effect on foreign exchange reserves both in the short and long term. This confirms that another alternative to increase the country's foreign exchange reserves is to develop halal tourism in Indonesia</w:t>
      </w:r>
      <w:r w:rsidRPr="00613BAD">
        <w:rPr>
          <w:bCs/>
          <w:lang w:eastAsia="id-ID"/>
        </w:rPr>
        <w:t>.</w:t>
      </w:r>
      <w:r>
        <w:rPr>
          <w:i/>
          <w:color w:val="363435"/>
          <w:spacing w:val="24"/>
          <w:w w:val="85"/>
          <w:sz w:val="22"/>
          <w:szCs w:val="22"/>
        </w:rPr>
        <w:t xml:space="preserve"> </w:t>
      </w:r>
    </w:p>
    <w:p w:rsidR="00AA7090" w:rsidRDefault="00AA7090" w:rsidP="006E65BB">
      <w:pPr>
        <w:spacing w:before="57" w:line="264" w:lineRule="auto"/>
        <w:ind w:left="669" w:right="652"/>
        <w:jc w:val="both"/>
        <w:rPr>
          <w:sz w:val="22"/>
          <w:szCs w:val="22"/>
        </w:rPr>
      </w:pPr>
      <w:r w:rsidRPr="00676033">
        <w:rPr>
          <w:b/>
          <w:spacing w:val="-4"/>
          <w:w w:val="92"/>
          <w:sz w:val="22"/>
          <w:szCs w:val="22"/>
        </w:rPr>
        <w:t>K</w:t>
      </w:r>
      <w:r w:rsidRPr="00676033">
        <w:rPr>
          <w:b/>
          <w:spacing w:val="-3"/>
          <w:w w:val="92"/>
          <w:sz w:val="22"/>
          <w:szCs w:val="22"/>
        </w:rPr>
        <w:t>e</w:t>
      </w:r>
      <w:r w:rsidRPr="00676033">
        <w:rPr>
          <w:b/>
          <w:spacing w:val="-2"/>
          <w:w w:val="92"/>
          <w:sz w:val="22"/>
          <w:szCs w:val="22"/>
        </w:rPr>
        <w:t>ywo</w:t>
      </w:r>
      <w:r w:rsidRPr="00676033">
        <w:rPr>
          <w:b/>
          <w:spacing w:val="-6"/>
          <w:w w:val="92"/>
          <w:sz w:val="22"/>
          <w:szCs w:val="22"/>
        </w:rPr>
        <w:t>r</w:t>
      </w:r>
      <w:r w:rsidRPr="00676033">
        <w:rPr>
          <w:b/>
          <w:spacing w:val="-2"/>
          <w:w w:val="92"/>
          <w:sz w:val="22"/>
          <w:szCs w:val="22"/>
        </w:rPr>
        <w:t>ds</w:t>
      </w:r>
      <w:r>
        <w:rPr>
          <w:b/>
          <w:color w:val="363435"/>
          <w:w w:val="92"/>
          <w:sz w:val="22"/>
          <w:szCs w:val="22"/>
        </w:rPr>
        <w:t>:</w:t>
      </w:r>
      <w:r>
        <w:rPr>
          <w:b/>
          <w:color w:val="363435"/>
          <w:spacing w:val="-8"/>
          <w:w w:val="92"/>
          <w:sz w:val="22"/>
          <w:szCs w:val="22"/>
        </w:rPr>
        <w:t xml:space="preserve"> </w:t>
      </w:r>
      <w:r>
        <w:rPr>
          <w:i/>
          <w:color w:val="363435"/>
          <w:spacing w:val="-2"/>
          <w:w w:val="84"/>
          <w:sz w:val="22"/>
          <w:szCs w:val="22"/>
        </w:rPr>
        <w:t>halal tourism, exchange rate, foreign exchange r</w:t>
      </w:r>
      <w:r w:rsidR="006E65BB">
        <w:rPr>
          <w:i/>
          <w:color w:val="363435"/>
          <w:spacing w:val="-2"/>
          <w:w w:val="84"/>
          <w:sz w:val="22"/>
          <w:szCs w:val="22"/>
        </w:rPr>
        <w:t>eserves, error correction model.</w:t>
      </w:r>
    </w:p>
    <w:p w:rsidR="00AA7090" w:rsidRDefault="00AA7090" w:rsidP="000D2A3A">
      <w:pPr>
        <w:spacing w:before="57"/>
        <w:ind w:left="668" w:right="4915"/>
        <w:jc w:val="both"/>
        <w:rPr>
          <w:sz w:val="22"/>
          <w:szCs w:val="22"/>
        </w:rPr>
      </w:pPr>
      <w:r>
        <w:rPr>
          <w:color w:val="363435"/>
          <w:w w:val="92"/>
          <w:sz w:val="22"/>
          <w:szCs w:val="22"/>
        </w:rPr>
        <w:t>JEL</w:t>
      </w:r>
      <w:r>
        <w:rPr>
          <w:color w:val="363435"/>
          <w:spacing w:val="4"/>
          <w:w w:val="92"/>
          <w:sz w:val="22"/>
          <w:szCs w:val="22"/>
        </w:rPr>
        <w:t xml:space="preserve"> </w:t>
      </w:r>
      <w:r>
        <w:rPr>
          <w:color w:val="363435"/>
          <w:w w:val="92"/>
          <w:sz w:val="22"/>
          <w:szCs w:val="22"/>
        </w:rPr>
        <w:t>Classification:</w:t>
      </w:r>
      <w:r>
        <w:rPr>
          <w:color w:val="363435"/>
          <w:spacing w:val="17"/>
          <w:w w:val="92"/>
          <w:sz w:val="22"/>
          <w:szCs w:val="22"/>
        </w:rPr>
        <w:t xml:space="preserve"> </w:t>
      </w:r>
      <w:r w:rsidR="000D2A3A">
        <w:rPr>
          <w:color w:val="363435"/>
          <w:spacing w:val="17"/>
          <w:w w:val="92"/>
          <w:sz w:val="22"/>
          <w:szCs w:val="22"/>
        </w:rPr>
        <w:t>C61, F15, O11</w:t>
      </w:r>
    </w:p>
    <w:p w:rsidR="00AA7090" w:rsidRDefault="00AA7090" w:rsidP="00AA7090">
      <w:pPr>
        <w:spacing w:line="200" w:lineRule="exact"/>
      </w:pPr>
    </w:p>
    <w:p w:rsidR="00AA7090" w:rsidRDefault="00AA7090" w:rsidP="00AA7090">
      <w:pPr>
        <w:spacing w:line="220" w:lineRule="exact"/>
        <w:rPr>
          <w:sz w:val="22"/>
          <w:szCs w:val="22"/>
        </w:rPr>
      </w:pPr>
    </w:p>
    <w:p w:rsidR="006E65BB" w:rsidRPr="006E65BB" w:rsidRDefault="00AA7090" w:rsidP="006E65BB">
      <w:pPr>
        <w:spacing w:after="120" w:line="264" w:lineRule="auto"/>
        <w:ind w:left="669" w:right="663"/>
        <w:jc w:val="both"/>
        <w:rPr>
          <w:i/>
          <w:sz w:val="22"/>
          <w:szCs w:val="22"/>
        </w:rPr>
      </w:pPr>
      <w:r w:rsidRPr="006E65BB">
        <w:rPr>
          <w:b/>
          <w:spacing w:val="1"/>
          <w:w w:val="91"/>
          <w:sz w:val="22"/>
          <w:szCs w:val="22"/>
        </w:rPr>
        <w:t>A</w:t>
      </w:r>
      <w:r w:rsidRPr="006E65BB">
        <w:rPr>
          <w:b/>
          <w:spacing w:val="2"/>
          <w:w w:val="91"/>
          <w:sz w:val="22"/>
          <w:szCs w:val="22"/>
        </w:rPr>
        <w:t>bstrak</w:t>
      </w:r>
      <w:r w:rsidRPr="006E65BB">
        <w:rPr>
          <w:b/>
          <w:w w:val="91"/>
          <w:sz w:val="22"/>
          <w:szCs w:val="22"/>
        </w:rPr>
        <w:t>.</w:t>
      </w:r>
      <w:r w:rsidRPr="006E65BB">
        <w:rPr>
          <w:b/>
          <w:spacing w:val="17"/>
          <w:w w:val="91"/>
          <w:sz w:val="22"/>
          <w:szCs w:val="22"/>
        </w:rPr>
        <w:t xml:space="preserve"> </w:t>
      </w:r>
      <w:r w:rsidR="006E65BB" w:rsidRPr="006E65BB">
        <w:rPr>
          <w:i/>
          <w:sz w:val="22"/>
          <w:szCs w:val="22"/>
        </w:rPr>
        <w:t>Penelitian ini bertujuan untuk menganalisis pengaruh jumlah wisatawan dan nilai tukar terhadap cadangan devisa di Indonesia sebelum dan sesudah penerapan wisata halal. Variabel yang digunakan adalah cadangan devisa, nilai tukar, dan wisata halal. Untuk melihat perbedaan sebelum dan sesudah implementasi wisata halal digunakan model Paired t-Test untuk menganalisis pengaruh dan hubungan yang seimbang tersebut maka digunakan Error Correction Model (ECM). Hasil penelitian menunjukkan bahwa penyelenggaraan wisata halal memberikan kontribusi terhadap cadangan devisa di Indonesia dalam jangka panjang. Kemudian nilai tukar berpengaruh negatif terhadap cadangan devisa. Sedangkan jumlah wisman berpengaruh positif terhadap cadangan devisa baik dalam jangka pendek maupun jangka panjang. Hal tersebut menegaskan bahwa alternatif lain untuk menambah cadangan devisa negara adalah dengan mengembangkan wisata halal di Indonesia.</w:t>
      </w:r>
    </w:p>
    <w:p w:rsidR="006E65BB" w:rsidRDefault="006E65BB" w:rsidP="006E65BB">
      <w:pPr>
        <w:spacing w:after="120" w:line="264" w:lineRule="auto"/>
        <w:ind w:left="669" w:right="663"/>
        <w:jc w:val="both"/>
      </w:pPr>
      <w:r w:rsidRPr="006E65BB">
        <w:rPr>
          <w:b/>
          <w:sz w:val="22"/>
          <w:szCs w:val="22"/>
        </w:rPr>
        <w:t>Kata kunci</w:t>
      </w:r>
      <w:r w:rsidRPr="006E65BB">
        <w:rPr>
          <w:sz w:val="22"/>
          <w:szCs w:val="22"/>
        </w:rPr>
        <w:t xml:space="preserve">: </w:t>
      </w:r>
      <w:r w:rsidRPr="006E65BB">
        <w:rPr>
          <w:i/>
          <w:sz w:val="22"/>
          <w:szCs w:val="22"/>
        </w:rPr>
        <w:t>pariwisata halal, nilai tukar, cadangan devisa, model koreksi kesalahan</w:t>
      </w:r>
    </w:p>
    <w:p w:rsidR="006E65BB" w:rsidRDefault="006E65BB"/>
    <w:p w:rsidR="00AA7090" w:rsidRDefault="00AA7090"/>
    <w:p w:rsidR="00AA7090" w:rsidRPr="006E65BB" w:rsidRDefault="00AA7090" w:rsidP="00AA7090">
      <w:pPr>
        <w:spacing w:beforeLines="58" w:before="139" w:line="23" w:lineRule="atLeast"/>
        <w:ind w:left="121" w:right="-87"/>
        <w:rPr>
          <w:sz w:val="24"/>
          <w:szCs w:val="24"/>
        </w:rPr>
      </w:pPr>
      <w:r w:rsidRPr="006E65BB">
        <w:rPr>
          <w:b/>
          <w:w w:val="92"/>
          <w:sz w:val="24"/>
          <w:szCs w:val="24"/>
        </w:rPr>
        <w:t>I</w:t>
      </w:r>
      <w:r w:rsidRPr="006E65BB">
        <w:rPr>
          <w:b/>
          <w:spacing w:val="-1"/>
          <w:w w:val="92"/>
          <w:sz w:val="24"/>
          <w:szCs w:val="24"/>
        </w:rPr>
        <w:t>n</w:t>
      </w:r>
      <w:r w:rsidRPr="006E65BB">
        <w:rPr>
          <w:b/>
          <w:w w:val="96"/>
          <w:sz w:val="24"/>
          <w:szCs w:val="24"/>
        </w:rPr>
        <w:t>t</w:t>
      </w:r>
      <w:r w:rsidRPr="006E65BB">
        <w:rPr>
          <w:b/>
          <w:spacing w:val="-2"/>
          <w:w w:val="96"/>
          <w:sz w:val="24"/>
          <w:szCs w:val="24"/>
        </w:rPr>
        <w:t>r</w:t>
      </w:r>
      <w:r w:rsidRPr="006E65BB">
        <w:rPr>
          <w:b/>
          <w:w w:val="107"/>
          <w:sz w:val="24"/>
          <w:szCs w:val="24"/>
        </w:rPr>
        <w:t>odu</w:t>
      </w:r>
      <w:r w:rsidRPr="006E65BB">
        <w:rPr>
          <w:b/>
          <w:spacing w:val="4"/>
          <w:w w:val="107"/>
          <w:sz w:val="24"/>
          <w:szCs w:val="24"/>
        </w:rPr>
        <w:t>c</w:t>
      </w:r>
      <w:r w:rsidRPr="006E65BB">
        <w:rPr>
          <w:b/>
          <w:w w:val="108"/>
          <w:sz w:val="24"/>
          <w:szCs w:val="24"/>
        </w:rPr>
        <w:t>tion</w:t>
      </w:r>
    </w:p>
    <w:p w:rsidR="00AA7090" w:rsidRDefault="00AA7090" w:rsidP="00163EE1">
      <w:pPr>
        <w:spacing w:beforeLines="58" w:before="139" w:line="23" w:lineRule="atLeast"/>
        <w:ind w:left="119" w:right="237" w:firstLine="567"/>
        <w:jc w:val="both"/>
        <w:rPr>
          <w:spacing w:val="1"/>
          <w:sz w:val="24"/>
          <w:szCs w:val="24"/>
        </w:rPr>
      </w:pPr>
      <w:r w:rsidRPr="00455F7B">
        <w:rPr>
          <w:sz w:val="24"/>
          <w:szCs w:val="24"/>
        </w:rPr>
        <w:t>The era of globalization has made every country cooperate in terms of politics, economy and socio-culture. In the economic field, cooperation can be carried out through international trade, which occurs because of the limited resources of each country, so that there are export and import activities as a mea</w:t>
      </w:r>
      <w:r>
        <w:rPr>
          <w:sz w:val="24"/>
          <w:szCs w:val="24"/>
        </w:rPr>
        <w:t xml:space="preserve">ns of meeting these limitations </w:t>
      </w:r>
      <w:r w:rsidRPr="00455F7B">
        <w:rPr>
          <w:sz w:val="24"/>
          <w:szCs w:val="24"/>
        </w:rPr>
        <w:fldChar w:fldCharType="begin" w:fldLock="1"/>
      </w:r>
      <w:r w:rsidRPr="00455F7B">
        <w:rPr>
          <w:sz w:val="24"/>
          <w:szCs w:val="24"/>
        </w:rPr>
        <w:instrText>ADDIN CSL_CITATION {"citationItems":[{"id":"ITEM-1","itemData":{"author":[{"dropping-particle":"","family":"Ichsan","given":"Syaukani","non-dropping-particle":"","parse-names":false,"suffix":""}],"id":"ITEM-1","issue":"2","issued":{"date-parts":[["2014"]]},"page":"94-103","title":"TERHADAP EKSPOR DAN IMPOR INDONESIA ( Studi Pada Bank Indonesia Periode 2012-2014 )","type":"article-journal","volume":"35"},"uris":["http://www.mendeley.com/documents/?uuid=c930b853-99a4-4fff-951f-4189ce039030"]}],"mendeley":{"formattedCitation":"(Ichsan, 2014)","plainTextFormattedCitation":"(Ichsan, 2014)","previouslyFormattedCitation":"(Ichsan, 2014)"},"properties":{"noteIndex":0},"schema":"https://github.com/citation-style-language/schema/raw/master/csl-citation.json"}</w:instrText>
      </w:r>
      <w:r w:rsidRPr="00455F7B">
        <w:rPr>
          <w:sz w:val="24"/>
          <w:szCs w:val="24"/>
        </w:rPr>
        <w:fldChar w:fldCharType="separate"/>
      </w:r>
      <w:r w:rsidRPr="00455F7B">
        <w:rPr>
          <w:noProof/>
          <w:sz w:val="24"/>
          <w:szCs w:val="24"/>
        </w:rPr>
        <w:t>(Ichsan, 2014)</w:t>
      </w:r>
      <w:r w:rsidRPr="00455F7B">
        <w:rPr>
          <w:sz w:val="24"/>
          <w:szCs w:val="24"/>
        </w:rPr>
        <w:fldChar w:fldCharType="end"/>
      </w:r>
      <w:r w:rsidRPr="00455F7B">
        <w:rPr>
          <w:sz w:val="24"/>
          <w:szCs w:val="24"/>
        </w:rPr>
        <w:t>. In international trade, every country needs financing to make transactions. One of the sources of financing is foreign exchange reserves</w:t>
      </w:r>
      <w:r>
        <w:rPr>
          <w:sz w:val="24"/>
          <w:szCs w:val="24"/>
        </w:rPr>
        <w:t xml:space="preserve"> </w:t>
      </w:r>
      <w:r w:rsidRPr="00455F7B">
        <w:rPr>
          <w:spacing w:val="1"/>
          <w:sz w:val="24"/>
          <w:szCs w:val="24"/>
        </w:rPr>
        <w:fldChar w:fldCharType="begin" w:fldLock="1"/>
      </w:r>
      <w:r w:rsidRPr="00455F7B">
        <w:rPr>
          <w:spacing w:val="1"/>
          <w:sz w:val="24"/>
          <w:szCs w:val="24"/>
        </w:rPr>
        <w:instrText>ADDIN CSL_CITATION {"citationItems":[{"id":"ITEM-1","itemData":{"author":[{"dropping-particle":"","family":"Uli","given":"Lusia Bunga","non-dropping-particle":"","parse-names":false,"suffix":""}],"container-title":"Jurnal Perspektif Pembiayaan dan Pembangunan Daerah Universitas Jambi Abstract","id":"ITEM-1","issue":"1","issued":{"date-parts":[["2016"]]},"page":"15-24","title":"Analisis Cadangan Devisa Indonesia","type":"article-journal","volume":"4"},"uris":["http://www.mendeley.com/documents/?uuid=90fb23a9-01a9-49cf-8dbf-077c7c72f70c"]}],"mendeley":{"formattedCitation":"(Uli, 2016)","plainTextFormattedCitation":"(Uli, 2016)","previouslyFormattedCitation":"(Uli, 2016)"},"properties":{"noteIndex":0},"schema":"https://github.com/citation-style-language/schema/raw/master/csl-citation.json"}</w:instrText>
      </w:r>
      <w:r w:rsidRPr="00455F7B">
        <w:rPr>
          <w:spacing w:val="1"/>
          <w:sz w:val="24"/>
          <w:szCs w:val="24"/>
        </w:rPr>
        <w:fldChar w:fldCharType="separate"/>
      </w:r>
      <w:r w:rsidRPr="00455F7B">
        <w:rPr>
          <w:noProof/>
          <w:spacing w:val="1"/>
          <w:sz w:val="24"/>
          <w:szCs w:val="24"/>
        </w:rPr>
        <w:t>(Uli, 2016)</w:t>
      </w:r>
      <w:r w:rsidRPr="00455F7B">
        <w:rPr>
          <w:spacing w:val="1"/>
          <w:sz w:val="24"/>
          <w:szCs w:val="24"/>
        </w:rPr>
        <w:fldChar w:fldCharType="end"/>
      </w:r>
      <w:r w:rsidR="00997318">
        <w:rPr>
          <w:spacing w:val="1"/>
          <w:sz w:val="24"/>
          <w:szCs w:val="24"/>
        </w:rPr>
        <w:t>.</w:t>
      </w:r>
    </w:p>
    <w:p w:rsidR="00AA7090" w:rsidRDefault="00AA7090" w:rsidP="00163EE1">
      <w:pPr>
        <w:spacing w:before="58" w:line="278" w:lineRule="auto"/>
        <w:ind w:left="119" w:right="237" w:firstLine="567"/>
        <w:jc w:val="both"/>
        <w:rPr>
          <w:sz w:val="24"/>
          <w:szCs w:val="24"/>
        </w:rPr>
      </w:pPr>
      <w:r w:rsidRPr="00455F7B">
        <w:rPr>
          <w:sz w:val="24"/>
          <w:szCs w:val="24"/>
        </w:rPr>
        <w:t xml:space="preserve">Foreign exchange reserves have a relationship with exchange rates. The large foreign exchange reserves owned by a country will cause that country's international finances to </w:t>
      </w:r>
      <w:r w:rsidRPr="00455F7B">
        <w:rPr>
          <w:sz w:val="24"/>
          <w:szCs w:val="24"/>
        </w:rPr>
        <w:lastRenderedPageBreak/>
        <w:t>become strong, which means that the value of the country's currency strengthens. This is as already mentioned by</w:t>
      </w:r>
      <w:r w:rsidR="00997318">
        <w:rPr>
          <w:sz w:val="24"/>
          <w:szCs w:val="24"/>
        </w:rPr>
        <w:t xml:space="preserve"> </w:t>
      </w:r>
      <w:r w:rsidRPr="00455F7B">
        <w:rPr>
          <w:sz w:val="24"/>
          <w:szCs w:val="24"/>
        </w:rPr>
        <w:fldChar w:fldCharType="begin" w:fldLock="1"/>
      </w:r>
      <w:r w:rsidRPr="00455F7B">
        <w:rPr>
          <w:sz w:val="24"/>
          <w:szCs w:val="24"/>
        </w:rPr>
        <w:instrText>ADDIN CSL_CITATION {"citationItems":[{"id":"ITEM-1","itemData":{"ISSN":"0853-6708","author":[{"dropping-particle":"","family":"Pembangunan","given":"Jurusan Ekonomi","non-dropping-particle":"","parse-names":false,"suffix":""},{"dropping-particle":"","family":"Ekonomi","given":"Fakultas","non-dropping-particle":"","parse-names":false,"suffix":""}],"container-title":"Jurnal Berkala Ilmiah Efisiensi","id":"ITEM-1","issue":"02","issued":{"date-parts":[["2017"]]},"page":"84-93","title":"Analisis Kausalitas Nilai Tukar Rupiah Dan Cadangan Devisa Di Indonesia Periode 2009.1-2016.12","type":"article-journal","volume":"17"},"uris":["http://www.mendeley.com/documents/?uuid=1f593601-fb38-4791-959a-7b68d62ab138"]}],"mendeley":{"formattedCitation":"(Pembangunan &amp; Ekonomi, 2017)","manualFormatting":"Kaligis, Rotinsulu dan Njode (2017)","plainTextFormattedCitation":"(Pembangunan &amp; Ekonomi, 2017)","previouslyFormattedCitation":"(Pembangunan &amp; Ekonomi, 2017)"},"properties":{"noteIndex":0},"schema":"https://github.com/citation-style-language/schema/raw/master/csl-citation.json"}</w:instrText>
      </w:r>
      <w:r w:rsidRPr="00455F7B">
        <w:rPr>
          <w:sz w:val="24"/>
          <w:szCs w:val="24"/>
        </w:rPr>
        <w:fldChar w:fldCharType="separate"/>
      </w:r>
      <w:r w:rsidRPr="00455F7B">
        <w:rPr>
          <w:noProof/>
          <w:sz w:val="24"/>
          <w:szCs w:val="24"/>
        </w:rPr>
        <w:t>Kaligis, Rotinsulu and Njode (2017)</w:t>
      </w:r>
      <w:r w:rsidRPr="00455F7B">
        <w:rPr>
          <w:sz w:val="24"/>
          <w:szCs w:val="24"/>
        </w:rPr>
        <w:fldChar w:fldCharType="end"/>
      </w:r>
      <w:r w:rsidR="00997318">
        <w:rPr>
          <w:sz w:val="24"/>
          <w:szCs w:val="24"/>
        </w:rPr>
        <w:t xml:space="preserve"> </w:t>
      </w:r>
      <w:r w:rsidRPr="00455F7B">
        <w:rPr>
          <w:sz w:val="24"/>
          <w:szCs w:val="24"/>
        </w:rPr>
        <w:t>that there is a one-way (unidirectional) causality relationship between the variable foreign exchange reserves and the exchange rate, meaning that changes in foreign exchange reserves will affect the exchange rate. This shows that the stability of the rupiah exchange rate is influenced by the intervention of Bank Indonesia through foreign exchange reserves on the foreign exchange market. Yulianti</w:t>
      </w:r>
      <w:r w:rsidR="00997318">
        <w:rPr>
          <w:sz w:val="24"/>
          <w:szCs w:val="24"/>
        </w:rPr>
        <w:t xml:space="preserve"> </w:t>
      </w:r>
      <w:r w:rsidRPr="00455F7B">
        <w:rPr>
          <w:sz w:val="24"/>
          <w:szCs w:val="24"/>
        </w:rPr>
        <w:fldChar w:fldCharType="begin" w:fldLock="1"/>
      </w:r>
      <w:r w:rsidRPr="00455F7B">
        <w:rPr>
          <w:sz w:val="24"/>
          <w:szCs w:val="24"/>
        </w:rPr>
        <w:instrText>ADDIN CSL_CITATION {"citationItems":[{"id":"ITEM-1","itemData":{"DOI":"10.15294/edaj.v3i2.3834","ISSN":"2502-2725","author":[{"dropping-particle":"","family":"Cadangan","given":"D A N","non-dropping-particle":"","parse-names":false,"suffix":""},{"dropping-particle":"","family":"Terhadap","given":"Devisa","non-dropping-particle":"","parse-names":false,"suffix":""},{"dropping-particle":"","family":"Tukar","given":"Nilai","non-dropping-particle":"","parse-names":false,"suffix":""},{"dropping-particle":"","family":"Dolar","given":"Rupiah","non-dropping-particle":"","parse-names":false,"suffix":""},{"dropping-particle":"","family":"Tahun","given":"Amerika","non-dropping-particle":"","parse-names":false,"suffix":""}],"container-title":"Economics Development Analysis Journal","id":"ITEM-1","issue":"2","issued":{"date-parts":[["2014"]]},"page":"284-292","title":"Pengaruh Jumlah Uang Beredar (M2), Tingkat Suku Bunga Sbi, Impor, Dan Cadangan Devisa Terhadap Nilai Tukar Rupiah / Dolar Amerika Tahun 2001 - 2013","type":"article-journal","volume":"3"},"uris":["http://www.mendeley.com/documents/?uuid=e327664c-13cd-43f0-9b44-0fcc82fe27fa"]}],"mendeley":{"formattedCitation":"(Cadangan, Terhadap, Tukar, Dolar, &amp; Tahun, 2014)","manualFormatting":"(2014)","plainTextFormattedCitation":"(Cadangan, Terhadap, Tukar, Dolar, &amp; Tahun, 2014)"},"properties":{"noteIndex":0},"schema":"https://github.com/citation-style-language/schema/raw/master/csl-citation.json"}</w:instrText>
      </w:r>
      <w:r w:rsidRPr="00455F7B">
        <w:rPr>
          <w:sz w:val="24"/>
          <w:szCs w:val="24"/>
        </w:rPr>
        <w:fldChar w:fldCharType="separate"/>
      </w:r>
      <w:r w:rsidRPr="00455F7B">
        <w:rPr>
          <w:noProof/>
          <w:sz w:val="24"/>
          <w:szCs w:val="24"/>
        </w:rPr>
        <w:t>(2014)</w:t>
      </w:r>
      <w:r w:rsidRPr="00455F7B">
        <w:rPr>
          <w:sz w:val="24"/>
          <w:szCs w:val="24"/>
        </w:rPr>
        <w:fldChar w:fldCharType="end"/>
      </w:r>
      <w:r w:rsidRPr="00455F7B">
        <w:rPr>
          <w:sz w:val="24"/>
          <w:szCs w:val="24"/>
        </w:rPr>
        <w:t xml:space="preserve"> also stated that in the short and long term, foreign exchange reserves are affected by the exchange rate.</w:t>
      </w:r>
    </w:p>
    <w:p w:rsidR="00AA7090" w:rsidRDefault="00AA7090" w:rsidP="00163EE1">
      <w:pPr>
        <w:spacing w:before="58" w:line="278" w:lineRule="auto"/>
        <w:ind w:left="121" w:right="237" w:firstLine="567"/>
        <w:jc w:val="both"/>
        <w:rPr>
          <w:sz w:val="24"/>
          <w:szCs w:val="24"/>
        </w:rPr>
      </w:pPr>
      <w:r w:rsidRPr="00455F7B">
        <w:rPr>
          <w:sz w:val="24"/>
          <w:szCs w:val="24"/>
        </w:rPr>
        <w:t xml:space="preserve">The tourism sector has a major contribution to the country's foreign exchange earnings which will support the strengthening of foreign exchange reserves </w:t>
      </w:r>
      <w:r w:rsidRPr="00455F7B">
        <w:rPr>
          <w:sz w:val="24"/>
          <w:szCs w:val="24"/>
        </w:rPr>
        <w:fldChar w:fldCharType="begin" w:fldLock="1"/>
      </w:r>
      <w:r w:rsidRPr="00455F7B">
        <w:rPr>
          <w:sz w:val="24"/>
          <w:szCs w:val="24"/>
        </w:rPr>
        <w:instrText>ADDIN CSL_CITATION {"citationItems":[{"id":"ITEM-1","itemData":{"author":[{"dropping-particle":"","family":"Afdi","given":"Muhammad","non-dropping-particle":"","parse-names":false,"suffix":""}],"id":"ITEM-1","issue":"65631","issued":{"date-parts":[["2015"]]},"title":"Munich Personal RePEc Archive effect of tourism on international trade in Indonesia","type":"article-journal"},"uris":["http://www.mendeley.com/documents/?uuid=f7735a18-3da9-46d8-a0aa-b2a4496d3c7a"]}],"mendeley":{"formattedCitation":"(Afdi, 2015a)","manualFormatting":"(Afdi, 2015)","plainTextFormattedCitation":"(Afdi, 2015a)","previouslyFormattedCitation":"(Afdi, 2015a)"},"properties":{"noteIndex":0},"schema":"https://github.com/citation-style-language/schema/raw/master/csl-citation.json"}</w:instrText>
      </w:r>
      <w:r w:rsidRPr="00455F7B">
        <w:rPr>
          <w:sz w:val="24"/>
          <w:szCs w:val="24"/>
        </w:rPr>
        <w:fldChar w:fldCharType="separate"/>
      </w:r>
      <w:r w:rsidRPr="00455F7B">
        <w:rPr>
          <w:noProof/>
          <w:sz w:val="24"/>
          <w:szCs w:val="24"/>
        </w:rPr>
        <w:t>(Afdi, 2015)</w:t>
      </w:r>
      <w:r w:rsidRPr="00455F7B">
        <w:rPr>
          <w:sz w:val="24"/>
          <w:szCs w:val="24"/>
        </w:rPr>
        <w:fldChar w:fldCharType="end"/>
      </w:r>
      <w:r w:rsidRPr="00455F7B">
        <w:rPr>
          <w:sz w:val="24"/>
          <w:szCs w:val="24"/>
        </w:rPr>
        <w:t>. The increase in community income, the wider the level of employment opportunities, the distribution of development, and the increasing government revenue are positive influences from the tourism sector</w:t>
      </w:r>
      <w:r>
        <w:rPr>
          <w:sz w:val="24"/>
          <w:szCs w:val="24"/>
        </w:rPr>
        <w:t xml:space="preserve"> </w:t>
      </w:r>
      <w:r w:rsidRPr="00455F7B">
        <w:rPr>
          <w:sz w:val="24"/>
          <w:szCs w:val="24"/>
        </w:rPr>
        <w:fldChar w:fldCharType="begin" w:fldLock="1"/>
      </w:r>
      <w:r w:rsidRPr="00455F7B">
        <w:rPr>
          <w:sz w:val="24"/>
          <w:szCs w:val="24"/>
        </w:rPr>
        <w:instrText>ADDIN CSL_CITATION {"citationItems":[{"id":"ITEM-1","itemData":{"author":[{"dropping-particle":"","family":"Wisatawan","given":"Pengaruh Kunjungan","non-dropping-particle":"","parse-names":false,"suffix":""},{"dropping-particle":"","family":"Phr","given":"Pendapatan","non-dropping-particle":"","parse-names":false,"suffix":""},{"dropping-particle":"","family":"Budi","given":"I Kadek","non-dropping-particle":"","parse-names":false,"suffix":""},{"dropping-particle":"","family":"Swantara","given":"Praga","non-dropping-particle":"","parse-names":false,"suffix":""},{"dropping-particle":"","family":"Darsana","given":"Ida Bagus","non-dropping-particle":"","parse-names":false,"suffix":""}],"id":"ITEM-1","issued":{"date-parts":[["0"]]},"page":"2551-2582","title":"KABUPATEN GIANYAR Fakultas Ekonomi dan Bisnis Universitas Udayana ( Unud ), Bali , Indonesia Perkembangan pariwisata berdampak terhadap kondisi sosial ekonomi masyarakat , salah satu diantaranya adalah dampak pariwisata terhadap pendapatan pemerintah ( Co","type":"article-journal","volume":"6"},"uris":["http://www.mendeley.com/documents/?uuid=e6614c2a-24a0-4e4f-b5f6-d5c3323403c5"]}],"mendeley":{"formattedCitation":"(Wisatawan, Phr, Budi, Swantara, &amp; Darsana, n.d.)","manualFormatting":"(Budi &amp; Ida, 2015)","plainTextFormattedCitation":"(Wisatawan, Phr, Budi, Swantara, &amp; Darsana, n.d.)","previouslyFormattedCitation":"(Wisatawan, Phr, Budi, Swantara, &amp; Darsana, n.d.)"},"properties":{"noteIndex":0},"schema":"https://github.com/citation-style-language/schema/raw/master/csl-citation.json"}</w:instrText>
      </w:r>
      <w:r w:rsidRPr="00455F7B">
        <w:rPr>
          <w:sz w:val="24"/>
          <w:szCs w:val="24"/>
        </w:rPr>
        <w:fldChar w:fldCharType="separate"/>
      </w:r>
      <w:r w:rsidRPr="00455F7B">
        <w:rPr>
          <w:noProof/>
          <w:sz w:val="24"/>
          <w:szCs w:val="24"/>
        </w:rPr>
        <w:t>(Budi &amp; Ida, 2015)</w:t>
      </w:r>
      <w:r w:rsidRPr="00455F7B">
        <w:rPr>
          <w:sz w:val="24"/>
          <w:szCs w:val="24"/>
        </w:rPr>
        <w:fldChar w:fldCharType="end"/>
      </w:r>
      <w:r w:rsidRPr="00455F7B">
        <w:rPr>
          <w:sz w:val="24"/>
          <w:szCs w:val="24"/>
        </w:rPr>
        <w:t>.</w:t>
      </w:r>
    </w:p>
    <w:p w:rsidR="00AA7090" w:rsidRDefault="00AA7090" w:rsidP="00163EE1">
      <w:pPr>
        <w:ind w:right="237"/>
        <w:jc w:val="center"/>
        <w:rPr>
          <w:rFonts w:ascii="Century Gothic" w:hAnsi="Century Gothic"/>
        </w:rPr>
      </w:pPr>
    </w:p>
    <w:p w:rsidR="00AA7090" w:rsidRPr="00455F7B" w:rsidRDefault="00AA7090" w:rsidP="00163EE1">
      <w:pPr>
        <w:ind w:right="237"/>
        <w:jc w:val="center"/>
        <w:rPr>
          <w:rFonts w:ascii="Century Gothic" w:hAnsi="Century Gothic"/>
        </w:rPr>
      </w:pPr>
      <w:r w:rsidRPr="00455F7B">
        <w:rPr>
          <w:rFonts w:ascii="Century Gothic" w:hAnsi="Century Gothic"/>
        </w:rPr>
        <w:t>Figure 1. Foreign Exchange Receipts from Major Sectors</w:t>
      </w:r>
    </w:p>
    <w:p w:rsidR="00AA7090" w:rsidRDefault="00AA7090" w:rsidP="00163EE1">
      <w:pPr>
        <w:spacing w:before="58" w:line="278" w:lineRule="auto"/>
        <w:ind w:left="121" w:right="237" w:firstLine="21"/>
        <w:jc w:val="both"/>
        <w:rPr>
          <w:color w:val="363435"/>
          <w:spacing w:val="-3"/>
          <w:w w:val="93"/>
          <w:sz w:val="24"/>
          <w:szCs w:val="24"/>
        </w:rPr>
      </w:pPr>
      <w:r w:rsidRPr="00613BAD">
        <w:rPr>
          <w:noProof/>
          <w:lang w:val="en-ID" w:eastAsia="en-ID"/>
        </w:rPr>
        <w:drawing>
          <wp:inline distT="0" distB="0" distL="0" distR="0" wp14:anchorId="4A657A01" wp14:editId="3206587F">
            <wp:extent cx="5372100" cy="1939925"/>
            <wp:effectExtent l="0" t="0" r="0" b="3175"/>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AA7090" w:rsidRPr="00455F7B" w:rsidRDefault="00AA7090" w:rsidP="00163EE1">
      <w:pPr>
        <w:ind w:right="237"/>
        <w:jc w:val="center"/>
        <w:rPr>
          <w:sz w:val="16"/>
          <w:szCs w:val="16"/>
        </w:rPr>
      </w:pPr>
      <w:r w:rsidRPr="00455F7B">
        <w:rPr>
          <w:sz w:val="16"/>
          <w:szCs w:val="16"/>
        </w:rPr>
        <w:t>Source: Work Report of the Ministry of Tourism and the Central Bureau of Statistics, 2020,processed.</w:t>
      </w:r>
    </w:p>
    <w:p w:rsidR="00AA7090" w:rsidRDefault="00AA7090" w:rsidP="00163EE1">
      <w:pPr>
        <w:spacing w:before="58" w:line="278" w:lineRule="auto"/>
        <w:ind w:left="121" w:right="237" w:firstLine="21"/>
        <w:jc w:val="both"/>
        <w:rPr>
          <w:color w:val="363435"/>
          <w:spacing w:val="-3"/>
          <w:w w:val="93"/>
          <w:sz w:val="24"/>
          <w:szCs w:val="24"/>
        </w:rPr>
      </w:pPr>
    </w:p>
    <w:p w:rsidR="006B6FD6" w:rsidRDefault="006B6FD6" w:rsidP="00163EE1">
      <w:pPr>
        <w:spacing w:before="58" w:line="278" w:lineRule="auto"/>
        <w:ind w:left="142" w:right="237" w:firstLine="567"/>
        <w:jc w:val="both"/>
        <w:rPr>
          <w:sz w:val="24"/>
          <w:szCs w:val="24"/>
        </w:rPr>
      </w:pPr>
      <w:r>
        <w:rPr>
          <w:sz w:val="24"/>
          <w:szCs w:val="24"/>
        </w:rPr>
        <w:t>Based on the data from Figure 1</w:t>
      </w:r>
      <w:r w:rsidRPr="006D70CF">
        <w:rPr>
          <w:sz w:val="24"/>
          <w:szCs w:val="24"/>
        </w:rPr>
        <w:t>, it can be seen that tourism in Indonesia has advantages when compared to other sectors, namely the oil and gas, coal, and CPO</w:t>
      </w:r>
      <w:r w:rsidR="00997318">
        <w:rPr>
          <w:sz w:val="24"/>
          <w:szCs w:val="24"/>
        </w:rPr>
        <w:t xml:space="preserve"> (</w:t>
      </w:r>
      <w:r w:rsidR="00997318" w:rsidRPr="00997318">
        <w:rPr>
          <w:sz w:val="24"/>
          <w:szCs w:val="24"/>
        </w:rPr>
        <w:t>crude palm oil</w:t>
      </w:r>
      <w:r w:rsidR="00997318">
        <w:rPr>
          <w:sz w:val="24"/>
          <w:szCs w:val="24"/>
        </w:rPr>
        <w:t>)</w:t>
      </w:r>
      <w:r w:rsidRPr="006D70CF">
        <w:rPr>
          <w:sz w:val="24"/>
          <w:szCs w:val="24"/>
        </w:rPr>
        <w:t xml:space="preserve"> sectors. Therefore, the tourism sector is projected to have the highest growth rate compared to other sectors as the country's foreign exchange earnings. This makes tourism the main target for the government in improving the economy. </w:t>
      </w:r>
    </w:p>
    <w:p w:rsidR="006B6FD6" w:rsidRPr="006D70CF" w:rsidRDefault="006B6FD6" w:rsidP="00163EE1">
      <w:pPr>
        <w:spacing w:before="58" w:line="278" w:lineRule="auto"/>
        <w:ind w:left="121" w:right="237" w:firstLine="567"/>
        <w:jc w:val="both"/>
        <w:rPr>
          <w:sz w:val="24"/>
          <w:szCs w:val="24"/>
        </w:rPr>
      </w:pPr>
      <w:r w:rsidRPr="006D70CF">
        <w:rPr>
          <w:sz w:val="24"/>
          <w:szCs w:val="24"/>
        </w:rPr>
        <w:t xml:space="preserve">Tourism is the main source of driving the economy in developing countries </w:t>
      </w:r>
      <w:r w:rsidRPr="006D70CF">
        <w:rPr>
          <w:sz w:val="24"/>
          <w:szCs w:val="24"/>
        </w:rPr>
        <w:fldChar w:fldCharType="begin" w:fldLock="1"/>
      </w:r>
      <w:r w:rsidRPr="006D70CF">
        <w:rPr>
          <w:sz w:val="24"/>
          <w:szCs w:val="24"/>
        </w:rPr>
        <w:instrText>ADDIN CSL_CITATION {"citationItems":[{"id":"ITEM-1","itemData":{"DOI":"10.20473/jhpr.vol.1-issue.2.32-43","ISSN":"2654-9409","abstract":"The tourism sector is one sector that is able to increase employment and increase economic growth. At present, halal tourism  is starting to become popular. This is in line with the increase in Muslim tourists from year to year. The development of halal tourism began to be carried out by various countries, muslim and non-muslim countries. This article will explore the development of halal tourism in several countries, reviewing the concepts and principles of halal tourism, and discuss the chances and challenges.","author":[{"dropping-particle":"","family":"Satriana","given":"Eka Dewi","non-dropping-particle":"","parse-names":false,"suffix":""},{"dropping-particle":"","family":"Faridah","given":"Hayuun Durrotul","non-dropping-particle":"","parse-names":false,"suffix":""}],"container-title":"Journal of Halal Product and Research","id":"ITEM-1","issue":"2","issued":{"date-parts":[["2018"]]},"page":"32","title":"Halal Tourism: Development, Chance and Challenge","type":"article-journal","volume":"1"},"uris":["http://www.mendeley.com/documents/?uuid=096979d1-ec54-4bc6-881f-9c816179ce8c"]}],"mendeley":{"formattedCitation":"(Satriana &amp; Faridah, 2018)","manualFormatting":"(Satriana &amp; Faridah, 2018)","plainTextFormattedCitation":"(Satriana &amp; Faridah, 2018)","previouslyFormattedCitation":"(Satriana &amp; Faridah, 2018)"},"properties":{"noteIndex":0},"schema":"https://github.com/citation-style-language/schema/raw/master/csl-citation.json"}</w:instrText>
      </w:r>
      <w:r w:rsidRPr="006D70CF">
        <w:rPr>
          <w:sz w:val="24"/>
          <w:szCs w:val="24"/>
        </w:rPr>
        <w:fldChar w:fldCharType="separate"/>
      </w:r>
      <w:r w:rsidRPr="006D70CF">
        <w:rPr>
          <w:noProof/>
          <w:sz w:val="24"/>
          <w:szCs w:val="24"/>
        </w:rPr>
        <w:t>(Satriana &amp; Faridah, 2018)</w:t>
      </w:r>
      <w:r w:rsidRPr="006D70CF">
        <w:rPr>
          <w:sz w:val="24"/>
          <w:szCs w:val="24"/>
        </w:rPr>
        <w:fldChar w:fldCharType="end"/>
      </w:r>
      <w:r w:rsidRPr="006D70CF">
        <w:rPr>
          <w:sz w:val="24"/>
          <w:szCs w:val="24"/>
        </w:rPr>
        <w:t xml:space="preserve">. In addition, tourism development can also foster other supporting industries because tourism has linkages with a number of other industries, insurance companies, transportation, and so on </w:t>
      </w:r>
      <w:r w:rsidRPr="006D70CF">
        <w:rPr>
          <w:sz w:val="24"/>
          <w:szCs w:val="24"/>
        </w:rPr>
        <w:fldChar w:fldCharType="begin" w:fldLock="1"/>
      </w:r>
      <w:r w:rsidRPr="006D70CF">
        <w:rPr>
          <w:sz w:val="24"/>
          <w:szCs w:val="24"/>
        </w:rPr>
        <w:instrText>ADDIN CSL_CITATION {"citationItems":[{"id":"ITEM-1","itemData":{"author":[{"dropping-particle":"","family":"Afdi","given":"Muhammad","non-dropping-particle":"","parse-names":false,"suffix":""}],"id":"ITEM-1","issue":"65631","issued":{"date-parts":[["2015"]]},"title":"Munich Personal RePEc Archive effect of tourism on international trade in Indonesia","type":"article-journal"},"uris":["http://www.mendeley.com/documents/?uuid=f7735a18-3da9-46d8-a0aa-b2a4496d3c7a"]}],"mendeley":{"formattedCitation":"(Afdi, 2015a)","manualFormatting":"(Afdi, 2015)","plainTextFormattedCitation":"(Afdi, 2015a)","previouslyFormattedCitation":"(Afdi, 2015a)"},"properties":{"noteIndex":0},"schema":"https://github.com/citation-style-language/schema/raw/master/csl-citation.json"}</w:instrText>
      </w:r>
      <w:r w:rsidRPr="006D70CF">
        <w:rPr>
          <w:sz w:val="24"/>
          <w:szCs w:val="24"/>
        </w:rPr>
        <w:fldChar w:fldCharType="separate"/>
      </w:r>
      <w:r w:rsidRPr="006D70CF">
        <w:rPr>
          <w:noProof/>
          <w:sz w:val="24"/>
          <w:szCs w:val="24"/>
        </w:rPr>
        <w:t>(Afdi, 2015)</w:t>
      </w:r>
      <w:r w:rsidRPr="006D70CF">
        <w:rPr>
          <w:sz w:val="24"/>
          <w:szCs w:val="24"/>
        </w:rPr>
        <w:fldChar w:fldCharType="end"/>
      </w:r>
      <w:r w:rsidRPr="006D70CF">
        <w:rPr>
          <w:sz w:val="24"/>
          <w:szCs w:val="24"/>
        </w:rPr>
        <w:t xml:space="preserve">. </w:t>
      </w:r>
    </w:p>
    <w:p w:rsidR="006B6FD6" w:rsidRPr="00455F7B" w:rsidRDefault="006B6FD6" w:rsidP="00163EE1">
      <w:pPr>
        <w:spacing w:before="58" w:line="278" w:lineRule="auto"/>
        <w:ind w:left="142" w:right="237" w:firstLine="567"/>
        <w:jc w:val="both"/>
        <w:rPr>
          <w:sz w:val="24"/>
          <w:szCs w:val="24"/>
        </w:rPr>
      </w:pPr>
      <w:r w:rsidRPr="00455F7B">
        <w:rPr>
          <w:sz w:val="24"/>
          <w:szCs w:val="24"/>
        </w:rPr>
        <w:t>The development of tourism has undergone several changes, one of which is the trend of halal tourism. Halal tourism is a new trend in the management of the tourism sector, both in Muslim-majority countries and non-Muslim countries due to the increase in Mu</w:t>
      </w:r>
      <w:r w:rsidR="00997318">
        <w:rPr>
          <w:sz w:val="24"/>
          <w:szCs w:val="24"/>
        </w:rPr>
        <w:t xml:space="preserve">slim tourists from year to year </w:t>
      </w:r>
      <w:r w:rsidRPr="00455F7B">
        <w:rPr>
          <w:sz w:val="24"/>
          <w:szCs w:val="24"/>
        </w:rPr>
        <w:fldChar w:fldCharType="begin" w:fldLock="1"/>
      </w:r>
      <w:r w:rsidRPr="00455F7B">
        <w:rPr>
          <w:sz w:val="24"/>
          <w:szCs w:val="24"/>
        </w:rPr>
        <w:instrText>ADDIN CSL_CITATION {"citationItems":[{"id":"ITEM-1","itemData":{"DOI":"10.20473/jhpr.vol.1-issue.2.32-43","ISSN":"2654-9409","abstract":"The tourism sector is one sector that is able to increase employment and increase economic growth. At present, halal tourism  is starting to become popular. This is in line with the increase in Muslim tourists from year to year. The development of halal tourism began to be carried out by various countries, muslim and non-muslim countries. This article will explore the development of halal tourism in several countries, reviewing the concepts and principles of halal tourism, and discuss the chances and challenges.","author":[{"dropping-particle":"","family":"Satriana","given":"Eka Dewi","non-dropping-particle":"","parse-names":false,"suffix":""},{"dropping-particle":"","family":"Faridah","given":"Hayuun Durrotul","non-dropping-particle":"","parse-names":false,"suffix":""}],"container-title":"Journal of Halal Product and Research","id":"ITEM-1","issue":"2","issued":{"date-parts":[["2018"]]},"page":"32","title":"Halal Tourism: Development, Chance and Challenge","type":"article-journal","volume":"1"},"uris":["http://www.mendeley.com/documents/?uuid=096979d1-ec54-4bc6-881f-9c816179ce8c"]}],"mendeley":{"formattedCitation":"(Satriana &amp; Faridah, 2018)","plainTextFormattedCitation":"(Satriana &amp; Faridah, 2018)","previouslyFormattedCitation":"(Satriana &amp; Faridah, 2018)"},"properties":{"noteIndex":0},"schema":"https://github.com/citation-style-language/schema/raw/master/csl-citation.json"}</w:instrText>
      </w:r>
      <w:r w:rsidRPr="00455F7B">
        <w:rPr>
          <w:sz w:val="24"/>
          <w:szCs w:val="24"/>
        </w:rPr>
        <w:fldChar w:fldCharType="separate"/>
      </w:r>
      <w:r w:rsidRPr="00455F7B">
        <w:rPr>
          <w:noProof/>
          <w:sz w:val="24"/>
          <w:szCs w:val="24"/>
        </w:rPr>
        <w:t>(Satriana &amp; Faridah, 2018)</w:t>
      </w:r>
      <w:r w:rsidRPr="00455F7B">
        <w:rPr>
          <w:sz w:val="24"/>
          <w:szCs w:val="24"/>
        </w:rPr>
        <w:fldChar w:fldCharType="end"/>
      </w:r>
      <w:r w:rsidRPr="00455F7B">
        <w:rPr>
          <w:sz w:val="24"/>
          <w:szCs w:val="24"/>
        </w:rPr>
        <w:t xml:space="preserve">. This trend has the concept of tourism products compiled with a halal concept based on Islamic values ​​that can meet the needs of Muslim tourists (Rahmi, 2017). </w:t>
      </w:r>
    </w:p>
    <w:p w:rsidR="006B6FD6" w:rsidRPr="00455F7B" w:rsidRDefault="006B6FD6" w:rsidP="00163EE1">
      <w:pPr>
        <w:spacing w:before="58" w:line="278" w:lineRule="auto"/>
        <w:ind w:left="142" w:right="237" w:firstLine="567"/>
        <w:jc w:val="both"/>
        <w:rPr>
          <w:sz w:val="24"/>
          <w:szCs w:val="24"/>
        </w:rPr>
      </w:pPr>
      <w:r w:rsidRPr="00455F7B">
        <w:rPr>
          <w:sz w:val="24"/>
          <w:szCs w:val="24"/>
        </w:rPr>
        <w:lastRenderedPageBreak/>
        <w:t>The concept of halal tourism is a complement to the implementation of conventional tourism, meaning not only for Muslim tourists, but also for non-Muslim tourists, who are expected to become the identity of the country that implements it, and tourists who visit can feel secu</w:t>
      </w:r>
      <w:r>
        <w:rPr>
          <w:sz w:val="24"/>
          <w:szCs w:val="24"/>
        </w:rPr>
        <w:t xml:space="preserve">rity and comfort in their tour </w:t>
      </w:r>
      <w:r w:rsidRPr="00455F7B">
        <w:rPr>
          <w:sz w:val="24"/>
          <w:szCs w:val="24"/>
        </w:rPr>
        <w:fldChar w:fldCharType="begin" w:fldLock="1"/>
      </w:r>
      <w:r w:rsidRPr="00455F7B">
        <w:rPr>
          <w:sz w:val="24"/>
          <w:szCs w:val="24"/>
        </w:rPr>
        <w:instrText>ADDIN CSL_CITATION {"citationItems":[{"id":"ITEM-1","itemData":{"author":[{"dropping-particle":"","family":"Destiana","given":"Riska","non-dropping-particle":"","parse-names":false,"suffix":""}],"id":"ITEM-1","issued":{"date-parts":[["2019"]]},"page":"331-353","title":"Abstrak","type":"article-journal","volume":"01"},"uris":["http://www.mendeley.com/documents/?uuid=f8413cdb-e256-44a5-85c4-f8510837df0d"]}],"mendeley":{"formattedCitation":"(Destiana, 2019)","plainTextFormattedCitation":"(Destiana, 2019)","previouslyFormattedCitation":"(Destiana, 2019)"},"properties":{"noteIndex":0},"schema":"https://github.com/citation-style-language/schema/raw/master/csl-citation.json"}</w:instrText>
      </w:r>
      <w:r w:rsidRPr="00455F7B">
        <w:rPr>
          <w:sz w:val="24"/>
          <w:szCs w:val="24"/>
        </w:rPr>
        <w:fldChar w:fldCharType="separate"/>
      </w:r>
      <w:r w:rsidRPr="00455F7B">
        <w:rPr>
          <w:noProof/>
          <w:sz w:val="24"/>
          <w:szCs w:val="24"/>
        </w:rPr>
        <w:t>(Destiana, 2019)</w:t>
      </w:r>
      <w:r w:rsidRPr="00455F7B">
        <w:rPr>
          <w:sz w:val="24"/>
          <w:szCs w:val="24"/>
        </w:rPr>
        <w:fldChar w:fldCharType="end"/>
      </w:r>
      <w:r w:rsidRPr="00455F7B">
        <w:rPr>
          <w:sz w:val="24"/>
          <w:szCs w:val="24"/>
        </w:rPr>
        <w:t>. Some of the countries that have implemented halal tourism are Thailand and Malaysia. Malaysia has built the concept of halal tourism starting in 2006, and even has a special institution to handle halal tourism, namely the Directorate General of Sharia Tourism which was built in 2009. For Thailand, although the majority of the population is non-Muslim, the Thai government has designed halal tourism. in 2005, until now it has succeeded in developing its tourism performance, especially in the culinary and hospitality fields. In addition, the Thailand Muslim friendly destination application has also been provided to access the location of the nearest restaurant and mosque</w:t>
      </w:r>
      <w:r>
        <w:rPr>
          <w:sz w:val="24"/>
          <w:szCs w:val="24"/>
        </w:rPr>
        <w:t xml:space="preserve"> </w:t>
      </w:r>
      <w:r w:rsidRPr="00455F7B">
        <w:rPr>
          <w:sz w:val="24"/>
          <w:szCs w:val="24"/>
        </w:rPr>
        <w:fldChar w:fldCharType="begin" w:fldLock="1"/>
      </w:r>
      <w:r w:rsidRPr="00455F7B">
        <w:rPr>
          <w:sz w:val="24"/>
          <w:szCs w:val="24"/>
        </w:rPr>
        <w:instrText>ADDIN CSL_CITATION {"citationItems":[{"id":"ITEM-1","itemData":{"author":[{"dropping-particle":"","family":"Ramadhany","given":"Fitratun","non-dropping-particle":"","parse-names":false,"suffix":""},{"dropping-particle":"","family":"Ridlwan","given":"Ahmad Ajib","non-dropping-particle":"","parse-names":false,"suffix":""}],"id":"ITEM-1","issued":{"date-parts":[["0"]]},"page":"147-164","title":"KESEJAHTERAAN MASYARAKAT","type":"article-journal"},"uris":["http://www.mendeley.com/documents/?uuid=37cc7bd0-2092-463f-be11-525a6821f011"]}],"mendeley":{"formattedCitation":"(Ramadhany &amp; Ridlwan, n.d.)","manualFormatting":"(Ramadhany &amp; Ridlwan, 2018)","plainTextFormattedCitation":"(Ramadhany &amp; Ridlwan, n.d.)","previouslyFormattedCitation":"(Ramadhany &amp; Ridlwan, n.d.)"},"properties":{"noteIndex":0},"schema":"https://github.com/citation-style-language/schema/raw/master/csl-citation.json"}</w:instrText>
      </w:r>
      <w:r w:rsidRPr="00455F7B">
        <w:rPr>
          <w:sz w:val="24"/>
          <w:szCs w:val="24"/>
        </w:rPr>
        <w:fldChar w:fldCharType="separate"/>
      </w:r>
      <w:r w:rsidRPr="00455F7B">
        <w:rPr>
          <w:noProof/>
          <w:sz w:val="24"/>
          <w:szCs w:val="24"/>
        </w:rPr>
        <w:t>(Ramadhany &amp; Ridlwan, 2018)</w:t>
      </w:r>
      <w:r w:rsidRPr="00455F7B">
        <w:rPr>
          <w:sz w:val="24"/>
          <w:szCs w:val="24"/>
        </w:rPr>
        <w:fldChar w:fldCharType="end"/>
      </w:r>
      <w:r w:rsidRPr="00455F7B">
        <w:rPr>
          <w:sz w:val="24"/>
          <w:szCs w:val="24"/>
        </w:rPr>
        <w:t xml:space="preserve">. </w:t>
      </w:r>
    </w:p>
    <w:p w:rsidR="006B6FD6" w:rsidRDefault="006B6FD6" w:rsidP="00163EE1">
      <w:pPr>
        <w:spacing w:before="58" w:line="278" w:lineRule="auto"/>
        <w:ind w:left="142" w:right="237" w:firstLine="567"/>
        <w:jc w:val="both"/>
        <w:rPr>
          <w:sz w:val="24"/>
          <w:szCs w:val="24"/>
        </w:rPr>
      </w:pPr>
      <w:r w:rsidRPr="00455F7B">
        <w:rPr>
          <w:sz w:val="24"/>
          <w:szCs w:val="24"/>
        </w:rPr>
        <w:t>The halal tourism segment in Indonesia has actually been developed since 2015 which is managed by the Ministry of Tourism of the Republic of Indonesia. In 2018, the halal tourism market experienced growth reaching 18 percent with foreign exchange earnings reaching more than 40 trillion rupiah (Maritim.go.id, 19 April 2019), so the Ministry of Tourism has selected 10 provinces for halal tourism development, some of which are Nusa Province. West Southeast, Aceh, Riau Islands and West Sumatra (</w:t>
      </w:r>
      <w:r w:rsidRPr="00455F7B">
        <w:rPr>
          <w:sz w:val="24"/>
          <w:szCs w:val="24"/>
        </w:rPr>
        <w:fldChar w:fldCharType="begin" w:fldLock="1"/>
      </w:r>
      <w:r w:rsidRPr="00455F7B">
        <w:rPr>
          <w:sz w:val="24"/>
          <w:szCs w:val="24"/>
        </w:rPr>
        <w:instrText>ADDIN CSL_CITATION {"citationItems":[{"id":"ITEM-1","itemData":{"author":[{"dropping-particle":"","family":"Destiana","given":"Riska","non-dropping-particle":"","parse-names":false,"suffix":""}],"id":"ITEM-1","issued":{"date-parts":[["2019"]]},"page":"331-353","title":"Abstrak","type":"article-journal","volume":"01"},"uris":["http://www.mendeley.com/documents/?uuid=f8413cdb-e256-44a5-85c4-f8510837df0d"]}],"mendeley":{"formattedCitation":"(Destiana, 2019)","plainTextFormattedCitation":"(Destiana, 2019)","previouslyFormattedCitation":"(Destiana, 2019)"},"properties":{"noteIndex":0},"schema":"https://github.com/citation-style-language/schema/raw/master/csl-citation.json"}</w:instrText>
      </w:r>
      <w:r w:rsidRPr="00455F7B">
        <w:rPr>
          <w:sz w:val="24"/>
          <w:szCs w:val="24"/>
        </w:rPr>
        <w:fldChar w:fldCharType="separate"/>
      </w:r>
      <w:r w:rsidRPr="00455F7B">
        <w:rPr>
          <w:noProof/>
          <w:sz w:val="24"/>
          <w:szCs w:val="24"/>
        </w:rPr>
        <w:t>Destiana, 2019)</w:t>
      </w:r>
      <w:r w:rsidRPr="00455F7B">
        <w:rPr>
          <w:sz w:val="24"/>
          <w:szCs w:val="24"/>
        </w:rPr>
        <w:fldChar w:fldCharType="end"/>
      </w:r>
      <w:r w:rsidRPr="00455F7B">
        <w:rPr>
          <w:sz w:val="24"/>
          <w:szCs w:val="24"/>
        </w:rPr>
        <w:t xml:space="preserve">. </w:t>
      </w:r>
    </w:p>
    <w:p w:rsidR="006B6FD6" w:rsidRDefault="006B6FD6" w:rsidP="00163EE1">
      <w:pPr>
        <w:spacing w:before="58" w:line="278" w:lineRule="auto"/>
        <w:ind w:left="142" w:right="237" w:firstLine="567"/>
        <w:jc w:val="both"/>
        <w:rPr>
          <w:sz w:val="24"/>
          <w:szCs w:val="24"/>
        </w:rPr>
      </w:pPr>
      <w:r w:rsidRPr="00455F7B">
        <w:rPr>
          <w:sz w:val="24"/>
          <w:szCs w:val="24"/>
        </w:rPr>
        <w:t xml:space="preserve">Indonesia's participation in the Islamic Cooperation Organization (OIC) is also one way of developing its economic performance by offering a tourism sector with a halal tourism concept, in order to increase foreign exchange reserves. In addition, Indonesia's achievements which won 12 awards from 16 categories contested at the 2016 World Halal Tourism Awards in Dubai as well as Indonesia's achievements which won second place as a world halal tourist destination can also strengthen Indonesia to continue to develop its halal tourism performance (Global Muslim Travel Index, 2017). </w:t>
      </w:r>
    </w:p>
    <w:p w:rsidR="006B6FD6" w:rsidRDefault="006B6FD6" w:rsidP="00163EE1">
      <w:pPr>
        <w:spacing w:before="58" w:line="278" w:lineRule="auto"/>
        <w:ind w:left="142" w:right="237" w:firstLine="567"/>
        <w:jc w:val="both"/>
        <w:rPr>
          <w:sz w:val="24"/>
          <w:szCs w:val="24"/>
        </w:rPr>
      </w:pPr>
      <w:r w:rsidRPr="00455F7B">
        <w:rPr>
          <w:sz w:val="24"/>
          <w:szCs w:val="24"/>
        </w:rPr>
        <w:t>Indonesia's achievements are still below the ranks of the world's first halal tourist destinations for eight consecutive years among OIC countries (Global Data Muslim Travel Index, 2017). This is because government regulations regarding the development of halal tourism have not been resolved, and there are still tourism products and businesses that</w:t>
      </w:r>
      <w:r>
        <w:rPr>
          <w:sz w:val="24"/>
          <w:szCs w:val="24"/>
        </w:rPr>
        <w:t xml:space="preserve"> have not been certified halal </w:t>
      </w:r>
      <w:r w:rsidRPr="00455F7B">
        <w:rPr>
          <w:sz w:val="24"/>
          <w:szCs w:val="24"/>
        </w:rPr>
        <w:fldChar w:fldCharType="begin" w:fldLock="1"/>
      </w:r>
      <w:r w:rsidRPr="00455F7B">
        <w:rPr>
          <w:sz w:val="24"/>
          <w:szCs w:val="24"/>
        </w:rPr>
        <w:instrText>ADDIN CSL_CITATION {"citationItems":[{"id":"ITEM-1","itemData":{"author":[{"dropping-particle":"","family":"Destiana","given":"Riska","non-dropping-particle":"","parse-names":false,"suffix":""}],"id":"ITEM-1","issued":{"date-parts":[["2019"]]},"page":"331-353","title":"Abstrak","type":"article-journal","volume":"01"},"uris":["http://www.mendeley.com/documents/?uuid=f8413cdb-e256-44a5-85c4-f8510837df0d"]}],"mendeley":{"formattedCitation":"(Destiana, 2019)","plainTextFormattedCitation":"(Destiana, 2019)","previouslyFormattedCitation":"(Destiana, 2019)"},"properties":{"noteIndex":0},"schema":"https://github.com/citation-style-language/schema/raw/master/csl-citation.json"}</w:instrText>
      </w:r>
      <w:r w:rsidRPr="00455F7B">
        <w:rPr>
          <w:sz w:val="24"/>
          <w:szCs w:val="24"/>
        </w:rPr>
        <w:fldChar w:fldCharType="separate"/>
      </w:r>
      <w:r w:rsidRPr="00455F7B">
        <w:rPr>
          <w:noProof/>
          <w:sz w:val="24"/>
          <w:szCs w:val="24"/>
        </w:rPr>
        <w:t>(Destiana, 2019)</w:t>
      </w:r>
      <w:r w:rsidRPr="00455F7B">
        <w:rPr>
          <w:sz w:val="24"/>
          <w:szCs w:val="24"/>
        </w:rPr>
        <w:fldChar w:fldCharType="end"/>
      </w:r>
      <w:r w:rsidRPr="00455F7B">
        <w:rPr>
          <w:sz w:val="24"/>
          <w:szCs w:val="24"/>
        </w:rPr>
        <w:t>. Therefore, a more superior performance is needed for Indonesia in developing the tourism sector, in order to attract the attention of foreign tourists to make their tour of Indonesia. Based on this background, the authors are interested in examining the</w:t>
      </w:r>
      <w:r>
        <w:rPr>
          <w:sz w:val="24"/>
          <w:szCs w:val="24"/>
        </w:rPr>
        <w:t xml:space="preserve"> </w:t>
      </w:r>
      <w:r w:rsidRPr="00455F7B">
        <w:rPr>
          <w:sz w:val="24"/>
          <w:szCs w:val="24"/>
        </w:rPr>
        <w:t>effect of the number of tourists and the exchange rate on foreign exchange reserves in Indonesia before and after the implementation of halal tourism.</w:t>
      </w:r>
    </w:p>
    <w:p w:rsidR="006B6FD6" w:rsidRDefault="006B6FD6" w:rsidP="00163EE1">
      <w:pPr>
        <w:spacing w:before="58" w:line="278" w:lineRule="auto"/>
        <w:ind w:left="142" w:right="237" w:firstLine="567"/>
        <w:jc w:val="both"/>
        <w:rPr>
          <w:color w:val="202124"/>
          <w:sz w:val="24"/>
          <w:szCs w:val="24"/>
          <w:lang w:eastAsia="id-ID"/>
        </w:rPr>
      </w:pPr>
      <w:r w:rsidRPr="00455F7B">
        <w:rPr>
          <w:color w:val="202124"/>
          <w:sz w:val="24"/>
          <w:szCs w:val="24"/>
          <w:lang w:val="en" w:eastAsia="id-ID"/>
        </w:rPr>
        <w:t xml:space="preserve">Indonesia is a country that </w:t>
      </w:r>
      <w:r w:rsidRPr="00455F7B">
        <w:rPr>
          <w:color w:val="202124"/>
          <w:sz w:val="24"/>
          <w:szCs w:val="24"/>
          <w:lang w:val="id-ID" w:eastAsia="id-ID"/>
        </w:rPr>
        <w:t>apply</w:t>
      </w:r>
      <w:r w:rsidRPr="00455F7B">
        <w:rPr>
          <w:color w:val="202124"/>
          <w:sz w:val="24"/>
          <w:szCs w:val="24"/>
          <w:lang w:val="en" w:eastAsia="id-ID"/>
        </w:rPr>
        <w:t xml:space="preserve"> an open economic system, which allows export and import activities between countries, both in the goods and services sector. In carrying out these transactions, Indonesia requires foreign exchange reserves as a source of financing where the exchange rate also</w:t>
      </w:r>
      <w:r w:rsidRPr="00455F7B">
        <w:rPr>
          <w:color w:val="202124"/>
          <w:sz w:val="24"/>
          <w:szCs w:val="24"/>
          <w:lang w:eastAsia="id-ID"/>
        </w:rPr>
        <w:t xml:space="preserve"> </w:t>
      </w:r>
      <w:r w:rsidRPr="00455F7B">
        <w:rPr>
          <w:color w:val="202124"/>
          <w:sz w:val="24"/>
          <w:szCs w:val="24"/>
          <w:lang w:val="en" w:eastAsia="id-ID"/>
        </w:rPr>
        <w:t>affects the position of the foreign exchange reserves</w:t>
      </w:r>
      <w:r w:rsidRPr="00455F7B">
        <w:rPr>
          <w:color w:val="202124"/>
          <w:sz w:val="24"/>
          <w:szCs w:val="24"/>
          <w:lang w:val="id-ID" w:eastAsia="id-ID"/>
        </w:rPr>
        <w:t>.</w:t>
      </w:r>
      <w:r>
        <w:rPr>
          <w:color w:val="202124"/>
          <w:sz w:val="24"/>
          <w:szCs w:val="24"/>
          <w:lang w:eastAsia="id-ID"/>
        </w:rPr>
        <w:t xml:space="preserve"> </w:t>
      </w:r>
    </w:p>
    <w:p w:rsidR="006B6FD6" w:rsidRDefault="006B6FD6" w:rsidP="00163EE1">
      <w:pPr>
        <w:spacing w:before="58" w:line="278" w:lineRule="auto"/>
        <w:ind w:left="142" w:right="237" w:firstLine="567"/>
        <w:jc w:val="both"/>
        <w:rPr>
          <w:sz w:val="24"/>
          <w:szCs w:val="24"/>
        </w:rPr>
      </w:pPr>
      <w:r w:rsidRPr="00455F7B">
        <w:rPr>
          <w:sz w:val="24"/>
          <w:szCs w:val="24"/>
        </w:rPr>
        <w:t>Foreign exchange is a foreign currency which functions as a means of financing in international trade transactions, which must be accepted and recognized by the international community</w:t>
      </w:r>
      <w:r w:rsidRPr="00455F7B">
        <w:rPr>
          <w:sz w:val="24"/>
          <w:szCs w:val="24"/>
        </w:rPr>
        <w:fldChar w:fldCharType="begin" w:fldLock="1"/>
      </w:r>
      <w:r w:rsidRPr="00455F7B">
        <w:rPr>
          <w:sz w:val="24"/>
          <w:szCs w:val="24"/>
        </w:rPr>
        <w:instrText>ADDIN CSL_CITATION {"citationItems":[{"id":"ITEM-1","itemData":{"author":[{"dropping-particle":"","family":"Sayoga","given":"Pundy","non-dropping-particle":"","parse-names":false,"suffix":""},{"dropping-particle":"","family":"Tan","given":"Syamsurijal","non-dropping-particle":"","parse-names":false,"suffix":""}],"id":"ITEM-1","issue":"1","issued":{"date-parts":[["2017"]]},"page":"25-30","title":"Analisis cadangan devisa Indonesia dan faktor-faktor yang mempengaruhinya","type":"article-journal","volume":"12"},"uris":["http://www.mendeley.com/documents/?uuid=d7444947-b237-495c-aa9a-f8fe4d7aedbe"]}],"mendeley":{"formattedCitation":"(Sayoga &amp; Tan, 2017)","manualFormatting":"(Sayoga &amp; Tan, 2017)","plainTextFormattedCitation":"(Sayoga &amp; Tan, 2017)","previouslyFormattedCitation":"(Sayoga &amp; Tan, 2017)"},"properties":{"noteIndex":0},"schema":"https://github.com/citation-style-language/schema/raw/master/csl-citation.json"}</w:instrText>
      </w:r>
      <w:r w:rsidRPr="00455F7B">
        <w:rPr>
          <w:sz w:val="24"/>
          <w:szCs w:val="24"/>
        </w:rPr>
        <w:fldChar w:fldCharType="separate"/>
      </w:r>
      <w:r w:rsidRPr="00455F7B">
        <w:rPr>
          <w:noProof/>
          <w:sz w:val="24"/>
          <w:szCs w:val="24"/>
        </w:rPr>
        <w:t>(Sayoga &amp; Tan, 2017)</w:t>
      </w:r>
      <w:r w:rsidRPr="00455F7B">
        <w:rPr>
          <w:sz w:val="24"/>
          <w:szCs w:val="24"/>
        </w:rPr>
        <w:fldChar w:fldCharType="end"/>
      </w:r>
      <w:r w:rsidRPr="00455F7B">
        <w:rPr>
          <w:sz w:val="24"/>
          <w:szCs w:val="24"/>
        </w:rPr>
        <w:t xml:space="preserve">. Foreign exchange reserves can be in the </w:t>
      </w:r>
      <w:r w:rsidRPr="00455F7B">
        <w:rPr>
          <w:sz w:val="24"/>
          <w:szCs w:val="24"/>
        </w:rPr>
        <w:lastRenderedPageBreak/>
        <w:t>form of monetary gold, special drawing rights, reserve position in the fund, and other types of claims reserved by Bank Sentra. The function of foreign exchange reserves in a country includes, among others, a means of payment for international transactions, a means of payment for foreign debt, and a source of state income</w:t>
      </w:r>
      <w:r w:rsidRPr="00455F7B">
        <w:rPr>
          <w:sz w:val="24"/>
          <w:szCs w:val="24"/>
          <w:lang w:val="id-ID"/>
        </w:rPr>
        <w:t xml:space="preserve"> </w:t>
      </w:r>
      <w:r w:rsidRPr="00455F7B">
        <w:rPr>
          <w:sz w:val="24"/>
          <w:szCs w:val="24"/>
        </w:rPr>
        <w:fldChar w:fldCharType="begin" w:fldLock="1"/>
      </w:r>
      <w:r w:rsidRPr="00455F7B">
        <w:rPr>
          <w:sz w:val="24"/>
          <w:szCs w:val="24"/>
        </w:rPr>
        <w:instrText>ADDIN CSL_CITATION {"citationItems":[{"id":"ITEM-1","itemData":{"author":[{"dropping-particle":"","family":"Putra","given":"M Umar Maya","non-dropping-particle":"","parse-names":false,"suffix":""},{"dropping-particle":"","family":"Damanik","given":"Syafrida","non-dropping-particle":"","parse-names":false,"suffix":""},{"dropping-particle":"","family":"Al","given":"Universitas","non-dropping-particle":"","parse-names":false,"suffix":""},{"dropping-particle":"","family":"Medan","given":"Azhar","non-dropping-particle":"","parse-names":false,"suffix":""}],"id":"ITEM-1","issued":{"date-parts":[["2017"]]},"page":"245-254","title":"PENGARUH EKSPOR MIGAS DAN NON MIGAS TERHADAP","type":"article-journal","volume":"7"},"uris":["http://www.mendeley.com/documents/?uuid=8fbf0b80-a648-4ff8-ac7b-c28350ff89ec"]}],"mendeley":{"formattedCitation":"(Putra, Damanik, Al, &amp; Medan, 2017)","manualFormatting":"(Putra, 2017)","plainTextFormattedCitation":"(Putra, Damanik, Al, &amp; Medan, 2017)","previouslyFormattedCitation":"(Putra, Damanik, Al, &amp; Medan, 2017)"},"properties":{"noteIndex":0},"schema":"https://github.com/citation-style-language/schema/raw/master/csl-citation.json"}</w:instrText>
      </w:r>
      <w:r w:rsidRPr="00455F7B">
        <w:rPr>
          <w:sz w:val="24"/>
          <w:szCs w:val="24"/>
        </w:rPr>
        <w:fldChar w:fldCharType="separate"/>
      </w:r>
      <w:r w:rsidRPr="00455F7B">
        <w:rPr>
          <w:noProof/>
          <w:sz w:val="24"/>
          <w:szCs w:val="24"/>
        </w:rPr>
        <w:t>(Son, 2017)</w:t>
      </w:r>
      <w:r w:rsidRPr="00455F7B">
        <w:rPr>
          <w:sz w:val="24"/>
          <w:szCs w:val="24"/>
        </w:rPr>
        <w:fldChar w:fldCharType="end"/>
      </w:r>
      <w:r w:rsidRPr="00455F7B">
        <w:rPr>
          <w:sz w:val="24"/>
          <w:szCs w:val="24"/>
          <w:lang w:val="id-ID"/>
        </w:rPr>
        <w:t>.</w:t>
      </w:r>
      <w:r>
        <w:rPr>
          <w:sz w:val="24"/>
          <w:szCs w:val="24"/>
        </w:rPr>
        <w:t xml:space="preserve"> </w:t>
      </w:r>
    </w:p>
    <w:p w:rsidR="006B6FD6" w:rsidRDefault="006B6FD6" w:rsidP="00163EE1">
      <w:pPr>
        <w:spacing w:before="58" w:line="278" w:lineRule="auto"/>
        <w:ind w:left="142" w:right="237" w:firstLine="567"/>
        <w:jc w:val="both"/>
        <w:rPr>
          <w:sz w:val="24"/>
          <w:szCs w:val="24"/>
        </w:rPr>
      </w:pPr>
      <w:r w:rsidRPr="00455F7B">
        <w:rPr>
          <w:sz w:val="24"/>
          <w:szCs w:val="24"/>
        </w:rPr>
        <w:t xml:space="preserve">Keynesian theory explains that a country's exchange rate depreciates (foreign currency strengthens, while domestic currency weakens), so it can relatively cause the price of goods-goods the domestic export becomes cheaper, while the price of goods- goodsimports become more expensive. This condition led to an increase in exports and a decrease in imports. If exports are greater than imports, it will cause a surplus in the balance of payments, which will have an effect on increasing a country's foreign exchange reserves. Therefore, according to Keynesian theory, the relationship between exchange rates and foreign exchange reserves is negative, </w:t>
      </w:r>
      <w:r w:rsidRPr="00455F7B">
        <w:rPr>
          <w:sz w:val="24"/>
          <w:szCs w:val="24"/>
          <w:lang w:val="id-ID"/>
        </w:rPr>
        <w:t xml:space="preserve">with </w:t>
      </w:r>
      <w:r w:rsidRPr="00455F7B">
        <w:rPr>
          <w:sz w:val="24"/>
          <w:szCs w:val="24"/>
        </w:rPr>
        <w:t>assuming cateris paribus (Nopirin, 2011).</w:t>
      </w:r>
      <w:r>
        <w:rPr>
          <w:sz w:val="24"/>
          <w:szCs w:val="24"/>
        </w:rPr>
        <w:t xml:space="preserve"> </w:t>
      </w:r>
    </w:p>
    <w:p w:rsidR="006B6FD6" w:rsidRPr="00997318" w:rsidRDefault="006B6FD6" w:rsidP="00163EE1">
      <w:pPr>
        <w:spacing w:before="58" w:line="278" w:lineRule="auto"/>
        <w:ind w:left="142" w:right="237" w:firstLine="567"/>
        <w:jc w:val="both"/>
        <w:rPr>
          <w:sz w:val="24"/>
          <w:szCs w:val="24"/>
        </w:rPr>
      </w:pPr>
      <w:r w:rsidRPr="00997318">
        <w:rPr>
          <w:sz w:val="24"/>
          <w:szCs w:val="24"/>
          <w:lang w:val="id-ID"/>
        </w:rPr>
        <w:t>I</w:t>
      </w:r>
      <w:r w:rsidRPr="00997318">
        <w:rPr>
          <w:sz w:val="24"/>
          <w:szCs w:val="24"/>
          <w:lang w:val="en"/>
        </w:rPr>
        <w:t>ndonesia can obtain foreign exchange reserves through various kinds of international transaction activities, one of which is through the tourism service sector, namely through the number of foreign tourists visiting. This tourism sector activity will have a good impact on foreign exchange reserves which affect state income</w:t>
      </w:r>
      <w:r w:rsidRPr="00997318">
        <w:rPr>
          <w:sz w:val="24"/>
          <w:szCs w:val="24"/>
          <w:lang w:val="id-ID"/>
        </w:rPr>
        <w:t>.</w:t>
      </w:r>
      <w:r w:rsidRPr="00997318">
        <w:rPr>
          <w:sz w:val="24"/>
          <w:szCs w:val="24"/>
        </w:rPr>
        <w:t xml:space="preserve"> </w:t>
      </w:r>
    </w:p>
    <w:p w:rsidR="006B6FD6" w:rsidRDefault="006B6FD6" w:rsidP="00163EE1">
      <w:pPr>
        <w:spacing w:before="58" w:line="278" w:lineRule="auto"/>
        <w:ind w:left="142" w:right="237" w:firstLine="567"/>
        <w:jc w:val="both"/>
        <w:rPr>
          <w:sz w:val="24"/>
          <w:szCs w:val="24"/>
        </w:rPr>
      </w:pPr>
      <w:r w:rsidRPr="00455F7B">
        <w:rPr>
          <w:sz w:val="24"/>
          <w:szCs w:val="24"/>
          <w:lang w:val="id-ID"/>
        </w:rPr>
        <w:t>H</w:t>
      </w:r>
      <w:r w:rsidRPr="00455F7B">
        <w:rPr>
          <w:color w:val="202124"/>
          <w:sz w:val="24"/>
          <w:szCs w:val="24"/>
          <w:lang w:val="en" w:eastAsia="id-ID"/>
        </w:rPr>
        <w:t xml:space="preserve">alal tourism is a </w:t>
      </w:r>
      <w:r w:rsidRPr="00455F7B">
        <w:rPr>
          <w:color w:val="202124"/>
          <w:sz w:val="24"/>
          <w:szCs w:val="24"/>
          <w:lang w:val="id-ID" w:eastAsia="id-ID"/>
        </w:rPr>
        <w:t xml:space="preserve">new </w:t>
      </w:r>
      <w:r w:rsidRPr="00455F7B">
        <w:rPr>
          <w:color w:val="202124"/>
          <w:sz w:val="24"/>
          <w:szCs w:val="24"/>
          <w:lang w:val="en" w:eastAsia="id-ID"/>
        </w:rPr>
        <w:t>trend that is being implemented by various countries</w:t>
      </w:r>
      <w:r w:rsidRPr="00455F7B">
        <w:rPr>
          <w:color w:val="202124"/>
          <w:sz w:val="24"/>
          <w:szCs w:val="24"/>
          <w:lang w:val="id-ID" w:eastAsia="id-ID"/>
        </w:rPr>
        <w:t>.</w:t>
      </w:r>
      <w:r w:rsidRPr="00455F7B">
        <w:rPr>
          <w:spacing w:val="-1"/>
          <w:sz w:val="24"/>
          <w:szCs w:val="24"/>
        </w:rPr>
        <w:t xml:space="preserve"> Halal tourism </w:t>
      </w:r>
      <w:r w:rsidRPr="00455F7B">
        <w:rPr>
          <w:sz w:val="24"/>
          <w:szCs w:val="24"/>
        </w:rPr>
        <w:t xml:space="preserve">is a Muslim tourist trip to an area </w:t>
      </w:r>
      <w:r w:rsidRPr="00455F7B">
        <w:rPr>
          <w:sz w:val="24"/>
          <w:szCs w:val="24"/>
          <w:lang w:val="id-ID"/>
        </w:rPr>
        <w:t xml:space="preserve">because they want </w:t>
      </w:r>
      <w:r w:rsidRPr="00455F7B">
        <w:rPr>
          <w:sz w:val="24"/>
          <w:szCs w:val="24"/>
        </w:rPr>
        <w:t>to increase faith and continue to implement Islamic principles</w:t>
      </w:r>
      <w:r w:rsidRPr="00455F7B">
        <w:rPr>
          <w:sz w:val="24"/>
          <w:szCs w:val="24"/>
          <w:lang w:val="id-ID"/>
        </w:rPr>
        <w:t xml:space="preserve"> </w:t>
      </w:r>
      <w:r w:rsidRPr="00455F7B">
        <w:rPr>
          <w:sz w:val="24"/>
          <w:szCs w:val="24"/>
        </w:rPr>
        <w:fldChar w:fldCharType="begin" w:fldLock="1"/>
      </w:r>
      <w:r w:rsidRPr="00455F7B">
        <w:rPr>
          <w:sz w:val="24"/>
          <w:szCs w:val="24"/>
        </w:rPr>
        <w:instrText>ADDIN CSL_CITATION {"citationItems":[{"id":"ITEM-1","itemData":{"author":[{"dropping-particle":"","family":"Jaelani","given":"Aan","non-dropping-particle":"","parse-names":false,"suffix":""}],"id":"ITEM-1","issue":"76237","issued":{"date-parts":[["2017"]]},"title":"Halal tourism industry in Indonesia : Potential and prospects Industri wisata halal di Indonesia : Potensi dan prospek ( Halal tourism industry in Indonesia : Potential and prospects )","type":"article-journal"},"uris":["http://www.mendeley.com/documents/?uuid=b33dec95-d245-4f1d-992e-3f5ee588cd5a"]}],"mendeley":{"formattedCitation":"(Jaelani, 2017)","plainTextFormattedCitation":"(Jaelani, 2017)","previouslyFormattedCitation":"(Jaelani, 2017)"},"properties":{"noteIndex":0},"schema":"https://github.com/citation-style-language/schema/raw/master/csl-citation.json"}</w:instrText>
      </w:r>
      <w:r w:rsidRPr="00455F7B">
        <w:rPr>
          <w:sz w:val="24"/>
          <w:szCs w:val="24"/>
        </w:rPr>
        <w:fldChar w:fldCharType="separate"/>
      </w:r>
      <w:r w:rsidRPr="00455F7B">
        <w:rPr>
          <w:noProof/>
          <w:sz w:val="24"/>
          <w:szCs w:val="24"/>
        </w:rPr>
        <w:t>(Jaelani, 2017)</w:t>
      </w:r>
      <w:r w:rsidRPr="00455F7B">
        <w:rPr>
          <w:sz w:val="24"/>
          <w:szCs w:val="24"/>
        </w:rPr>
        <w:fldChar w:fldCharType="end"/>
      </w:r>
      <w:r w:rsidRPr="00455F7B">
        <w:rPr>
          <w:sz w:val="24"/>
          <w:szCs w:val="24"/>
        </w:rPr>
        <w:t>. Halal tourism is often referred to as sharia tourism, which is a tourism concept that puts Islamic norms as its foundation</w:t>
      </w:r>
      <w:r w:rsidRPr="00455F7B">
        <w:rPr>
          <w:sz w:val="24"/>
          <w:szCs w:val="24"/>
          <w:lang w:val="id-ID"/>
        </w:rPr>
        <w:t xml:space="preserve"> </w:t>
      </w:r>
      <w:r w:rsidRPr="00455F7B">
        <w:rPr>
          <w:sz w:val="24"/>
          <w:szCs w:val="24"/>
        </w:rPr>
        <w:fldChar w:fldCharType="begin" w:fldLock="1"/>
      </w:r>
      <w:r w:rsidRPr="00455F7B">
        <w:rPr>
          <w:sz w:val="24"/>
          <w:szCs w:val="24"/>
        </w:rPr>
        <w:instrText>ADDIN CSL_CITATION {"citationItems":[{"id":"ITEM-1","itemData":{"author":[{"dropping-particle":"","family":"Widagdyo","given":"Kurniawan Gilang","non-dropping-particle":"","parse-names":false,"suffix":""},{"dropping-particle":"","family":"Jakarta","given":"Universitas Sahid","non-dropping-particle":"","parse-names":false,"suffix":""}],"id":"ITEM-1","issue":"1","issued":{"date-parts":[["2015"]]},"page":"73-80","title":"Analisis pasar pariwisata halal indonesia","type":"article-journal","volume":"1"},"uris":["http://www.mendeley.com/documents/?uuid=e01091ab-6110-46d9-bbd0-967ae45c720e"]}],"mendeley":{"formattedCitation":"(Widagdyo &amp; Jakarta, 2015)","manualFormatting":"(Widagdyo, 2015)","plainTextFormattedCitation":"(Widagdyo &amp; Jakarta, 2015)","previouslyFormattedCitation":"(Widagdyo &amp; Jakarta, 2015)"},"properties":{"noteIndex":0},"schema":"https://github.com/citation-style-language/schema/raw/master/csl-citation.json"}</w:instrText>
      </w:r>
      <w:r w:rsidRPr="00455F7B">
        <w:rPr>
          <w:sz w:val="24"/>
          <w:szCs w:val="24"/>
        </w:rPr>
        <w:fldChar w:fldCharType="separate"/>
      </w:r>
      <w:r w:rsidRPr="00455F7B">
        <w:rPr>
          <w:noProof/>
          <w:sz w:val="24"/>
          <w:szCs w:val="24"/>
        </w:rPr>
        <w:t>(Widagdyo, 2015)</w:t>
      </w:r>
      <w:r w:rsidRPr="00455F7B">
        <w:rPr>
          <w:sz w:val="24"/>
          <w:szCs w:val="24"/>
        </w:rPr>
        <w:fldChar w:fldCharType="end"/>
      </w:r>
      <w:r w:rsidRPr="00455F7B">
        <w:rPr>
          <w:sz w:val="24"/>
          <w:szCs w:val="24"/>
        </w:rPr>
        <w:t xml:space="preserve"> and is also defined as a tourism activity that embraces Islamic values ​​in all its aspects </w:t>
      </w:r>
      <w:r w:rsidRPr="00455F7B">
        <w:rPr>
          <w:sz w:val="24"/>
          <w:szCs w:val="24"/>
        </w:rPr>
        <w:fldChar w:fldCharType="begin" w:fldLock="1"/>
      </w:r>
      <w:r w:rsidRPr="00455F7B">
        <w:rPr>
          <w:sz w:val="24"/>
          <w:szCs w:val="24"/>
        </w:rPr>
        <w:instrText>ADDIN CSL_CITATION {"citationItems":[{"id":"ITEM-1","itemData":{"author":[{"dropping-particle":"","family":"Ramadhany","given":"Fitratun","non-dropping-particle":"","parse-names":false,"suffix":""},{"dropping-particle":"","family":"Ridlwan","given":"Ahmad Ajib","non-dropping-particle":"","parse-names":false,"suffix":""}],"id":"ITEM-1","issued":{"date-parts":[["0"]]},"page":"147-164","title":"KESEJAHTERAAN MASYARAKAT","type":"article-journal"},"uris":["http://www.mendeley.com/documents/?uuid=37cc7bd0-2092-463f-be11-525a6821f011"]}],"mendeley":{"formattedCitation":"(Ramadhany &amp; Ridlwan, n.d.)","manualFormatting":"(Ramadhany and Ridlwan, 2018)","plainTextFormattedCitation":"(Ramadhany &amp; Ridlwan, n.d.)","previouslyFormattedCitation":"(Ramadhany &amp; Ridlwan, n.d.)"},"properties":{"noteIndex":0},"schema":"https://github.com/citation-style-language/schema/raw/master/csl-citation.json"}</w:instrText>
      </w:r>
      <w:r w:rsidRPr="00455F7B">
        <w:rPr>
          <w:sz w:val="24"/>
          <w:szCs w:val="24"/>
        </w:rPr>
        <w:fldChar w:fldCharType="separate"/>
      </w:r>
      <w:r w:rsidRPr="00455F7B">
        <w:rPr>
          <w:noProof/>
          <w:sz w:val="24"/>
          <w:szCs w:val="24"/>
        </w:rPr>
        <w:t>(Ramadhany and Ridlwan, 2018)</w:t>
      </w:r>
      <w:r w:rsidRPr="00455F7B">
        <w:rPr>
          <w:sz w:val="24"/>
          <w:szCs w:val="24"/>
        </w:rPr>
        <w:fldChar w:fldCharType="end"/>
      </w:r>
      <w:r w:rsidRPr="00455F7B">
        <w:rPr>
          <w:sz w:val="24"/>
          <w:szCs w:val="24"/>
        </w:rPr>
        <w:t>. Another opinion was expressed that halal tourism is an activity in tourism that is permitted by Islamic teachings</w:t>
      </w:r>
      <w:r w:rsidRPr="00455F7B">
        <w:rPr>
          <w:sz w:val="24"/>
          <w:szCs w:val="24"/>
          <w:lang w:val="id-ID"/>
        </w:rPr>
        <w:t xml:space="preserve"> </w:t>
      </w:r>
      <w:r w:rsidRPr="00455F7B">
        <w:rPr>
          <w:sz w:val="24"/>
          <w:szCs w:val="24"/>
        </w:rPr>
        <w:fldChar w:fldCharType="begin" w:fldLock="1"/>
      </w:r>
      <w:r w:rsidRPr="00455F7B">
        <w:rPr>
          <w:sz w:val="24"/>
          <w:szCs w:val="24"/>
        </w:rPr>
        <w:instrText>ADDIN CSL_CITATION {"citationItems":[{"id":"ITEM-1","itemData":{"DOI":"10.1016/j.tmp.2015.12.008","ISSN":"2211-9736","author":[{"dropping-particle":"","family":"Battour","given":"Mohamed","non-dropping-particle":"","parse-names":false,"suffix":""},{"dropping-particle":"","family":"Ismail","given":"Mohd Nazari","non-dropping-particle":"","parse-names":false,"suffix":""}],"container-title":"TMP","id":"ITEM-1","issued":{"date-parts":[["2016"]]},"page":"150-154","publisher":"Elsevier Ltd","title":"Halal tourism : Concepts , practises , challenges and future","type":"article-journal","volume":"19"},"uris":["http://www.mendeley.com/documents/?uuid=e94ebc6c-9b4e-45bf-afd2-4016b8bbad81"]}],"mendeley":{"formattedCitation":"(Battour &amp; Ismail, 2016)","plainTextFormattedCitation":"(Battour &amp; Ismail, 2016)","previouslyFormattedCitation":"(Battour &amp; Ismail, 2016)"},"properties":{"noteIndex":0},"schema":"https://github.com/citation-style-language/schema/raw/master/csl-citation.json"}</w:instrText>
      </w:r>
      <w:r w:rsidRPr="00455F7B">
        <w:rPr>
          <w:sz w:val="24"/>
          <w:szCs w:val="24"/>
        </w:rPr>
        <w:fldChar w:fldCharType="separate"/>
      </w:r>
      <w:r w:rsidRPr="00455F7B">
        <w:rPr>
          <w:noProof/>
          <w:sz w:val="24"/>
          <w:szCs w:val="24"/>
        </w:rPr>
        <w:t>(Battour &amp; Ismail, 2016)</w:t>
      </w:r>
      <w:r w:rsidRPr="00455F7B">
        <w:rPr>
          <w:sz w:val="24"/>
          <w:szCs w:val="24"/>
        </w:rPr>
        <w:fldChar w:fldCharType="end"/>
      </w:r>
      <w:r w:rsidRPr="00455F7B">
        <w:rPr>
          <w:sz w:val="24"/>
          <w:szCs w:val="24"/>
        </w:rPr>
        <w:t xml:space="preserve">, and halal tourism is also a tourism service that meets the needs of Muslim tourists in accordance with Islamic teachings </w:t>
      </w:r>
      <w:r w:rsidRPr="00455F7B">
        <w:rPr>
          <w:sz w:val="24"/>
          <w:szCs w:val="24"/>
        </w:rPr>
        <w:fldChar w:fldCharType="begin" w:fldLock="1"/>
      </w:r>
      <w:r w:rsidRPr="00455F7B">
        <w:rPr>
          <w:sz w:val="24"/>
          <w:szCs w:val="24"/>
        </w:rPr>
        <w:instrText>ADDIN CSL_CITATION {"citationItems":[{"id":"ITEM-1","itemData":{"DOI":"10.1016/j.tmp.2015.12.010","author":[{"dropping-particle":"","family":"Mohsin","given":"Asad","non-dropping-particle":"","parse-names":false,"suffix":""},{"dropping-particle":"","family":"Ramli","given":"Noriah","non-dropping-particle":"","parse-names":false,"suffix":""},{"dropping-particle":"","family":"Abdulaziz","given":"Bader","non-dropping-particle":"","parse-names":false,"suffix":""}],"id":"ITEM-1","issue":"2016","issued":{"date-parts":[["2020"]]},"page":"137-143","title":"Halal tourism : Emerging opportunities","type":"article-journal","volume":"19"},"uris":["http://www.mendeley.com/documents/?uuid=53dccf70-9566-447b-a498-aef8beef604c"]}],"mendeley":{"formattedCitation":"(Mohsin, Ramli, &amp; Abdulaziz, 2020)","plainTextFormattedCitation":"(Mohsin, Ramli, &amp; Abdulaziz, 2020)","previouslyFormattedCitation":"(Mohsin, Ramli, &amp; Abdulaziz, 2020)"},"properties":{"noteIndex":0},"schema":"https://github.com/citation-style-language/schema/raw/master/csl-citation.json"}</w:instrText>
      </w:r>
      <w:r w:rsidRPr="00455F7B">
        <w:rPr>
          <w:sz w:val="24"/>
          <w:szCs w:val="24"/>
        </w:rPr>
        <w:fldChar w:fldCharType="separate"/>
      </w:r>
      <w:r w:rsidRPr="00455F7B">
        <w:rPr>
          <w:noProof/>
          <w:sz w:val="24"/>
          <w:szCs w:val="24"/>
        </w:rPr>
        <w:t>(Mohsin, Ramli, &amp; Abdulaziz, 2020)</w:t>
      </w:r>
      <w:r w:rsidRPr="00455F7B">
        <w:rPr>
          <w:sz w:val="24"/>
          <w:szCs w:val="24"/>
        </w:rPr>
        <w:fldChar w:fldCharType="end"/>
      </w:r>
      <w:r w:rsidRPr="00455F7B">
        <w:rPr>
          <w:sz w:val="24"/>
          <w:szCs w:val="24"/>
        </w:rPr>
        <w:t>.</w:t>
      </w:r>
    </w:p>
    <w:p w:rsidR="006B6FD6" w:rsidRDefault="006B6FD6" w:rsidP="00163EE1">
      <w:pPr>
        <w:spacing w:before="58" w:line="278" w:lineRule="auto"/>
        <w:ind w:left="142" w:right="237" w:firstLine="567"/>
        <w:jc w:val="both"/>
        <w:rPr>
          <w:sz w:val="24"/>
          <w:szCs w:val="24"/>
        </w:rPr>
      </w:pPr>
      <w:r w:rsidRPr="00455F7B">
        <w:rPr>
          <w:sz w:val="24"/>
          <w:szCs w:val="24"/>
        </w:rPr>
        <w:t>The concept of halal tourism according to the Mastercard Crescent Rating Global Muslim Travel Index (2019) is based on several basic needs of Muslim tou</w:t>
      </w:r>
      <w:r>
        <w:rPr>
          <w:sz w:val="24"/>
          <w:szCs w:val="24"/>
        </w:rPr>
        <w:t xml:space="preserve">rists when traveling, including; </w:t>
      </w:r>
      <w:r w:rsidRPr="00455F7B">
        <w:rPr>
          <w:sz w:val="24"/>
          <w:szCs w:val="24"/>
        </w:rPr>
        <w:t>a</w:t>
      </w:r>
      <w:r>
        <w:rPr>
          <w:sz w:val="24"/>
          <w:szCs w:val="24"/>
        </w:rPr>
        <w:t>)</w:t>
      </w:r>
      <w:r w:rsidRPr="00455F7B">
        <w:rPr>
          <w:sz w:val="24"/>
          <w:szCs w:val="24"/>
        </w:rPr>
        <w:t>. Halal food, which is the most important service so there is no doubt when consuming local food and drinks</w:t>
      </w:r>
      <w:r>
        <w:rPr>
          <w:sz w:val="24"/>
          <w:szCs w:val="24"/>
        </w:rPr>
        <w:t xml:space="preserve">; </w:t>
      </w:r>
      <w:r w:rsidRPr="00455F7B">
        <w:rPr>
          <w:sz w:val="24"/>
          <w:szCs w:val="24"/>
        </w:rPr>
        <w:t>b</w:t>
      </w:r>
      <w:r>
        <w:rPr>
          <w:sz w:val="24"/>
          <w:szCs w:val="24"/>
        </w:rPr>
        <w:t>)</w:t>
      </w:r>
      <w:r w:rsidRPr="00455F7B">
        <w:rPr>
          <w:sz w:val="24"/>
          <w:szCs w:val="24"/>
        </w:rPr>
        <w:t>. Prayer facilities, namely mosques that are complete with ablution facilities to make it easier</w:t>
      </w:r>
      <w:r>
        <w:rPr>
          <w:sz w:val="24"/>
          <w:szCs w:val="24"/>
        </w:rPr>
        <w:t xml:space="preserve"> for Muslims; and c). </w:t>
      </w:r>
      <w:r w:rsidRPr="00455F7B">
        <w:rPr>
          <w:sz w:val="24"/>
          <w:szCs w:val="24"/>
        </w:rPr>
        <w:t>There is no Islamophobic sentiment, meaning that there is a guarantee of security and safety when Muslim tourists travel to a certain place.</w:t>
      </w:r>
    </w:p>
    <w:p w:rsidR="006B6FD6" w:rsidRPr="00455F7B" w:rsidRDefault="006B6FD6" w:rsidP="00163EE1">
      <w:pPr>
        <w:spacing w:before="58" w:line="278" w:lineRule="auto"/>
        <w:ind w:left="142" w:right="237" w:firstLine="567"/>
        <w:jc w:val="both"/>
        <w:rPr>
          <w:sz w:val="24"/>
          <w:szCs w:val="24"/>
        </w:rPr>
      </w:pPr>
      <w:r w:rsidRPr="00455F7B">
        <w:rPr>
          <w:sz w:val="24"/>
          <w:szCs w:val="24"/>
        </w:rPr>
        <w:t xml:space="preserve">The relevance between foreign exchange reserves and the tourism economy has been explained in the Keynesian approach which explains that international tourism is one of the variables that can increase income, in this case through the country's foreign exchange reserves obtained from visiting tourists. </w:t>
      </w:r>
      <w:r w:rsidRPr="00455F7B">
        <w:rPr>
          <w:sz w:val="24"/>
          <w:szCs w:val="24"/>
        </w:rPr>
        <w:fldChar w:fldCharType="begin" w:fldLock="1"/>
      </w:r>
      <w:r w:rsidRPr="00455F7B">
        <w:rPr>
          <w:sz w:val="24"/>
          <w:szCs w:val="24"/>
        </w:rPr>
        <w:instrText>ADDIN CSL_CITATION {"citationItems":[{"id":"ITEM-1","itemData":{"author":[{"dropping-particle":"","family":"Afdi","given":"Muhammad","non-dropping-particle":"","parse-names":false,"suffix":""}],"id":"ITEM-1","issue":"65628","issued":{"date-parts":[["2015"]]},"title":"Munich Personal RePEc Archive TOURISM EFFECT ON ECONOMIC GROWTH IN INDONESIA","type":"article-journal"},"uris":["http://www.mendeley.com/documents/?uuid=6f292a5d-133c-4c80-ac0f-4446b247b161"]}],"mendeley":{"formattedCitation":"(Afdi, 2015b)","manualFormatting":"(Afdi, 2015)","plainTextFormattedCitation":"(Afdi, 2015b)","previouslyFormattedCitation":"(Afdi, 2015b)"},"properties":{"noteIndex":0},"schema":"https://github.com/citation-style-language/schema/raw/master/csl-citation.json"}</w:instrText>
      </w:r>
      <w:r w:rsidRPr="00455F7B">
        <w:rPr>
          <w:sz w:val="24"/>
          <w:szCs w:val="24"/>
        </w:rPr>
        <w:fldChar w:fldCharType="separate"/>
      </w:r>
      <w:r w:rsidRPr="00455F7B">
        <w:rPr>
          <w:noProof/>
          <w:sz w:val="24"/>
          <w:szCs w:val="24"/>
        </w:rPr>
        <w:t>(Afdi, 2015)</w:t>
      </w:r>
      <w:r w:rsidRPr="00455F7B">
        <w:rPr>
          <w:sz w:val="24"/>
          <w:szCs w:val="24"/>
        </w:rPr>
        <w:fldChar w:fldCharType="end"/>
      </w:r>
      <w:r w:rsidRPr="00455F7B">
        <w:rPr>
          <w:sz w:val="24"/>
          <w:szCs w:val="24"/>
        </w:rPr>
        <w:t>. In addition, tourism receipts in the balance of payments are located in the current account and are considered as foreign exchange flows. The entry of foreign tourists (inbound) causes foreign exchange from the country's tourism to increase, so that foreign reserves (foreign reserves) will increase as a whole. Likewise, on the contrary, the existence of outbound tours will reduce foreign exchange reserves</w:t>
      </w:r>
      <w:r>
        <w:rPr>
          <w:sz w:val="24"/>
          <w:szCs w:val="24"/>
        </w:rPr>
        <w:t xml:space="preserve"> </w:t>
      </w:r>
      <w:r w:rsidRPr="00455F7B">
        <w:rPr>
          <w:sz w:val="24"/>
          <w:szCs w:val="24"/>
        </w:rPr>
        <w:fldChar w:fldCharType="begin" w:fldLock="1"/>
      </w:r>
      <w:r w:rsidRPr="00455F7B">
        <w:rPr>
          <w:sz w:val="24"/>
          <w:szCs w:val="24"/>
        </w:rPr>
        <w:instrText>ADDIN CSL_CITATION {"citationItems":[{"id":"ITEM-1","itemData":{"author":[{"dropping-particle":"","family":"Nizar","given":"Muhammad Afdi","non-dropping-particle":"","parse-names":false,"suffix":""}],"id":"ITEM-1","issue":"iii","issued":{"date-parts":[["0"]]},"title":"Pengaruh jumlah turis dan devisa pariwisata terhadap nilai tukar rupiah","type":"article-journal"},"uris":["http://www.mendeley.com/documents/?uuid=5ea0b551-613b-479c-944c-bb651b9f9125"]}],"mendeley":{"formattedCitation":"(Nizar, n.d.)","manualFormatting":"(Nizar, 2011)","plainTextFormattedCitation":"(Nizar, n.d.)","previouslyFormattedCitation":"(Nizar, n.d.)"},"properties":{"noteIndex":0},"schema":"https://github.com/citation-style-language/schema/raw/master/csl-citation.json"}</w:instrText>
      </w:r>
      <w:r w:rsidRPr="00455F7B">
        <w:rPr>
          <w:sz w:val="24"/>
          <w:szCs w:val="24"/>
        </w:rPr>
        <w:fldChar w:fldCharType="separate"/>
      </w:r>
      <w:r w:rsidRPr="00455F7B">
        <w:rPr>
          <w:noProof/>
          <w:sz w:val="24"/>
          <w:szCs w:val="24"/>
        </w:rPr>
        <w:t>(Nizar, 2011)</w:t>
      </w:r>
      <w:r w:rsidRPr="00455F7B">
        <w:rPr>
          <w:sz w:val="24"/>
          <w:szCs w:val="24"/>
        </w:rPr>
        <w:fldChar w:fldCharType="end"/>
      </w:r>
      <w:r w:rsidRPr="00455F7B">
        <w:rPr>
          <w:sz w:val="24"/>
          <w:szCs w:val="24"/>
        </w:rPr>
        <w:t>.</w:t>
      </w:r>
    </w:p>
    <w:p w:rsidR="006E65BB" w:rsidRDefault="006E65BB" w:rsidP="00163EE1">
      <w:pPr>
        <w:spacing w:before="23"/>
        <w:ind w:left="121" w:right="237"/>
        <w:rPr>
          <w:b/>
          <w:color w:val="363435"/>
          <w:w w:val="105"/>
          <w:sz w:val="24"/>
          <w:szCs w:val="24"/>
        </w:rPr>
      </w:pPr>
    </w:p>
    <w:p w:rsidR="006B6FD6" w:rsidRPr="006E65BB" w:rsidRDefault="006B6FD6" w:rsidP="00163EE1">
      <w:pPr>
        <w:spacing w:before="23"/>
        <w:ind w:left="121" w:right="237"/>
        <w:rPr>
          <w:sz w:val="24"/>
          <w:szCs w:val="24"/>
        </w:rPr>
      </w:pPr>
      <w:r w:rsidRPr="006E65BB">
        <w:rPr>
          <w:b/>
          <w:w w:val="105"/>
          <w:sz w:val="24"/>
          <w:szCs w:val="24"/>
        </w:rPr>
        <w:lastRenderedPageBreak/>
        <w:t>Methods</w:t>
      </w:r>
    </w:p>
    <w:p w:rsidR="006B6FD6" w:rsidRDefault="006B6FD6" w:rsidP="00163EE1">
      <w:pPr>
        <w:spacing w:before="1" w:line="100" w:lineRule="exact"/>
        <w:ind w:right="237"/>
        <w:rPr>
          <w:sz w:val="10"/>
          <w:szCs w:val="10"/>
        </w:rPr>
      </w:pPr>
    </w:p>
    <w:p w:rsidR="006B6FD6" w:rsidRPr="00455F7B" w:rsidRDefault="006B6FD6" w:rsidP="00163EE1">
      <w:pPr>
        <w:spacing w:before="58" w:line="278" w:lineRule="auto"/>
        <w:ind w:left="142" w:right="237" w:firstLine="578"/>
        <w:jc w:val="both"/>
        <w:rPr>
          <w:sz w:val="24"/>
          <w:szCs w:val="24"/>
          <w:lang w:val="id-ID"/>
        </w:rPr>
      </w:pPr>
      <w:r w:rsidRPr="00455F7B">
        <w:rPr>
          <w:sz w:val="24"/>
          <w:szCs w:val="24"/>
          <w:lang w:val="id-ID"/>
        </w:rPr>
        <w:t xml:space="preserve">This study </w:t>
      </w:r>
      <w:r w:rsidRPr="00455F7B">
        <w:rPr>
          <w:sz w:val="24"/>
          <w:szCs w:val="24"/>
        </w:rPr>
        <w:t>uses the Paired Sample t-Test approach to compare the averages of two groups that are paired, meaning a sample with the same subject but experiencing two different measurements, namely measurements before and after an application, in this study,</w:t>
      </w:r>
      <w:r>
        <w:rPr>
          <w:sz w:val="24"/>
          <w:szCs w:val="24"/>
        </w:rPr>
        <w:t xml:space="preserve"> </w:t>
      </w:r>
      <w:r w:rsidRPr="00455F7B">
        <w:rPr>
          <w:sz w:val="24"/>
          <w:szCs w:val="24"/>
        </w:rPr>
        <w:t>namely contribution of the tourism sector to foreign exchange reserves before and after the implementation of halal tourism</w:t>
      </w:r>
      <w:r w:rsidRPr="00455F7B">
        <w:rPr>
          <w:sz w:val="24"/>
          <w:szCs w:val="24"/>
          <w:lang w:val="id-ID"/>
        </w:rPr>
        <w:t xml:space="preserve">. </w:t>
      </w:r>
      <w:r w:rsidRPr="00455F7B">
        <w:rPr>
          <w:sz w:val="24"/>
          <w:szCs w:val="24"/>
        </w:rPr>
        <w:t>In addition, this study also uses time series analysis with the Error Correction Model (ECM) approach, where this model can see the effect of variables in research for the short and long term by using the EViews 10 software as an aid tool in data processing</w:t>
      </w:r>
      <w:r w:rsidRPr="00455F7B">
        <w:rPr>
          <w:sz w:val="24"/>
          <w:szCs w:val="24"/>
          <w:lang w:val="id-ID"/>
        </w:rPr>
        <w:t>.</w:t>
      </w:r>
    </w:p>
    <w:p w:rsidR="006B6FD6" w:rsidRPr="00455F7B" w:rsidRDefault="006B6FD6" w:rsidP="00163EE1">
      <w:pPr>
        <w:spacing w:before="58" w:line="278" w:lineRule="auto"/>
        <w:ind w:left="142" w:right="237" w:firstLine="578"/>
        <w:jc w:val="both"/>
        <w:rPr>
          <w:sz w:val="24"/>
          <w:szCs w:val="24"/>
          <w:lang w:val="id-ID"/>
        </w:rPr>
      </w:pPr>
      <w:r w:rsidRPr="00455F7B">
        <w:rPr>
          <w:sz w:val="24"/>
          <w:szCs w:val="24"/>
          <w:lang w:val="id-ID"/>
        </w:rPr>
        <w:t xml:space="preserve">In econometrics, the data to be used must be stationary especially for time series data. Test of stationary data is needed to see whether over time the data or variabel will tend to return to e fix long term trend. In this study, the stationary test of data using the Augmented Dickey Fuller Test (ADF-Test). The optimal lag of ADF test is determined based on the minimum AIC ( Akaike Infoermation Criterion) value and the maximum value of. Stationary test on all variabels are carried out starting with a constan (drift) and trend. </w:t>
      </w:r>
    </w:p>
    <w:p w:rsidR="006B6FD6" w:rsidRPr="00455F7B" w:rsidRDefault="006B6FD6" w:rsidP="00163EE1">
      <w:pPr>
        <w:spacing w:before="58" w:line="278" w:lineRule="auto"/>
        <w:ind w:left="142" w:right="237" w:firstLine="567"/>
        <w:jc w:val="both"/>
        <w:rPr>
          <w:color w:val="202124"/>
          <w:sz w:val="24"/>
          <w:szCs w:val="24"/>
          <w:lang w:val="id-ID"/>
        </w:rPr>
      </w:pPr>
      <w:r w:rsidRPr="00455F7B">
        <w:rPr>
          <w:sz w:val="24"/>
          <w:szCs w:val="24"/>
          <w:lang w:val="id-ID"/>
        </w:rPr>
        <w:t xml:space="preserve">This study using Error Correction Model (ECM). </w:t>
      </w:r>
      <w:r w:rsidRPr="00455F7B">
        <w:rPr>
          <w:color w:val="202124"/>
          <w:sz w:val="24"/>
          <w:szCs w:val="24"/>
          <w:lang w:val="en"/>
        </w:rPr>
        <w:t xml:space="preserve">Error Correction Model (ECM), which is a </w:t>
      </w:r>
      <w:r w:rsidRPr="00455F7B">
        <w:rPr>
          <w:color w:val="202124"/>
          <w:sz w:val="24"/>
          <w:szCs w:val="24"/>
          <w:lang w:val="id-ID"/>
        </w:rPr>
        <w:t xml:space="preserve">derivative </w:t>
      </w:r>
      <w:r w:rsidRPr="00455F7B">
        <w:rPr>
          <w:color w:val="202124"/>
          <w:sz w:val="24"/>
          <w:szCs w:val="24"/>
          <w:lang w:val="en"/>
        </w:rPr>
        <w:t>of the Ordinary Least Square (OLS) regression model which aims to see the short and long term relationships between variables. The initial formula for the Error Correction Model (ECM) is as follows</w:t>
      </w:r>
      <w:r w:rsidRPr="00455F7B">
        <w:rPr>
          <w:color w:val="202124"/>
          <w:sz w:val="24"/>
          <w:szCs w:val="24"/>
          <w:lang w:val="id-ID"/>
        </w:rPr>
        <w:t>:</w:t>
      </w:r>
    </w:p>
    <w:p w:rsidR="006B6FD6" w:rsidRDefault="006B6FD6" w:rsidP="00163EE1">
      <w:pPr>
        <w:spacing w:before="6" w:line="278" w:lineRule="auto"/>
        <w:ind w:left="142" w:right="237" w:firstLine="567"/>
        <w:jc w:val="both"/>
        <w:rPr>
          <w:color w:val="363435"/>
          <w:spacing w:val="-2"/>
          <w:sz w:val="24"/>
          <w:szCs w:val="24"/>
        </w:rPr>
      </w:pPr>
    </w:p>
    <w:p w:rsidR="006B6FD6" w:rsidRPr="001379D1" w:rsidRDefault="006B6FD6" w:rsidP="00163EE1">
      <w:pPr>
        <w:spacing w:before="6" w:line="278" w:lineRule="auto"/>
        <w:ind w:left="142" w:right="237" w:firstLine="567"/>
        <w:jc w:val="both"/>
        <w:rPr>
          <w:color w:val="363435"/>
          <w:spacing w:val="-2"/>
          <w:sz w:val="24"/>
          <w:szCs w:val="24"/>
        </w:rPr>
      </w:pPr>
      <m:oMathPara>
        <m:oMath>
          <m:r>
            <w:rPr>
              <w:rFonts w:ascii="Cambria Math" w:hAnsi="Cambria Math"/>
              <w:color w:val="363435"/>
              <w:spacing w:val="-2"/>
              <w:sz w:val="24"/>
              <w:szCs w:val="24"/>
            </w:rPr>
            <m:t>Y=F(</m:t>
          </m:r>
          <m:sSub>
            <m:sSubPr>
              <m:ctrlPr>
                <w:rPr>
                  <w:rFonts w:ascii="Cambria Math" w:hAnsi="Cambria Math"/>
                  <w:i/>
                  <w:color w:val="363435"/>
                  <w:spacing w:val="-2"/>
                  <w:sz w:val="24"/>
                  <w:szCs w:val="24"/>
                </w:rPr>
              </m:ctrlPr>
            </m:sSubPr>
            <m:e>
              <m:r>
                <w:rPr>
                  <w:rFonts w:ascii="Cambria Math" w:hAnsi="Cambria Math"/>
                  <w:color w:val="363435"/>
                  <w:spacing w:val="-2"/>
                  <w:sz w:val="24"/>
                  <w:szCs w:val="24"/>
                </w:rPr>
                <m:t>X</m:t>
              </m:r>
            </m:e>
            <m:sub>
              <m:r>
                <w:rPr>
                  <w:rFonts w:ascii="Cambria Math" w:hAnsi="Cambria Math"/>
                  <w:color w:val="363435"/>
                  <w:spacing w:val="-2"/>
                  <w:sz w:val="24"/>
                  <w:szCs w:val="24"/>
                </w:rPr>
                <m:t>1</m:t>
              </m:r>
            </m:sub>
          </m:sSub>
          <m:r>
            <w:rPr>
              <w:rFonts w:ascii="Cambria Math" w:hAnsi="Cambria Math"/>
              <w:color w:val="363435"/>
              <w:spacing w:val="-2"/>
              <w:sz w:val="24"/>
              <w:szCs w:val="24"/>
            </w:rPr>
            <m:t>,</m:t>
          </m:r>
          <m:sSub>
            <m:sSubPr>
              <m:ctrlPr>
                <w:rPr>
                  <w:rFonts w:ascii="Cambria Math" w:hAnsi="Cambria Math"/>
                  <w:i/>
                  <w:color w:val="363435"/>
                  <w:spacing w:val="-2"/>
                  <w:sz w:val="24"/>
                  <w:szCs w:val="24"/>
                </w:rPr>
              </m:ctrlPr>
            </m:sSubPr>
            <m:e>
              <m:r>
                <w:rPr>
                  <w:rFonts w:ascii="Cambria Math" w:hAnsi="Cambria Math"/>
                  <w:color w:val="363435"/>
                  <w:spacing w:val="-2"/>
                  <w:sz w:val="24"/>
                  <w:szCs w:val="24"/>
                </w:rPr>
                <m:t>X</m:t>
              </m:r>
            </m:e>
            <m:sub>
              <m:r>
                <w:rPr>
                  <w:rFonts w:ascii="Cambria Math" w:hAnsi="Cambria Math"/>
                  <w:color w:val="363435"/>
                  <w:spacing w:val="-2"/>
                  <w:sz w:val="24"/>
                  <w:szCs w:val="24"/>
                </w:rPr>
                <m:t>2</m:t>
              </m:r>
            </m:sub>
          </m:sSub>
          <m:r>
            <w:rPr>
              <w:rFonts w:ascii="Cambria Math" w:hAnsi="Cambria Math"/>
              <w:color w:val="363435"/>
              <w:spacing w:val="-2"/>
              <w:sz w:val="24"/>
              <w:szCs w:val="24"/>
            </w:rPr>
            <m:t xml:space="preserve">, </m:t>
          </m:r>
          <m:sSub>
            <m:sSubPr>
              <m:ctrlPr>
                <w:rPr>
                  <w:rFonts w:ascii="Cambria Math" w:hAnsi="Cambria Math"/>
                  <w:i/>
                  <w:color w:val="363435"/>
                  <w:spacing w:val="-2"/>
                  <w:sz w:val="24"/>
                  <w:szCs w:val="24"/>
                </w:rPr>
              </m:ctrlPr>
            </m:sSubPr>
            <m:e>
              <m:r>
                <w:rPr>
                  <w:rFonts w:ascii="Cambria Math" w:hAnsi="Cambria Math"/>
                  <w:color w:val="363435"/>
                  <w:spacing w:val="-2"/>
                  <w:sz w:val="24"/>
                  <w:szCs w:val="24"/>
                </w:rPr>
                <m:t>X</m:t>
              </m:r>
            </m:e>
            <m:sub>
              <m:r>
                <w:rPr>
                  <w:rFonts w:ascii="Cambria Math" w:hAnsi="Cambria Math"/>
                  <w:color w:val="363435"/>
                  <w:spacing w:val="-2"/>
                  <w:sz w:val="24"/>
                  <w:szCs w:val="24"/>
                </w:rPr>
                <m:t>3</m:t>
              </m:r>
            </m:sub>
          </m:sSub>
          <m:r>
            <w:rPr>
              <w:rFonts w:ascii="Cambria Math" w:hAnsi="Cambria Math"/>
              <w:color w:val="363435"/>
              <w:spacing w:val="-2"/>
              <w:sz w:val="24"/>
              <w:szCs w:val="24"/>
            </w:rPr>
            <m:t>)</m:t>
          </m:r>
        </m:oMath>
      </m:oMathPara>
    </w:p>
    <w:p w:rsidR="006B6FD6" w:rsidRDefault="006B6FD6" w:rsidP="00163EE1">
      <w:pPr>
        <w:spacing w:before="6" w:line="278" w:lineRule="auto"/>
        <w:ind w:left="142" w:right="237" w:firstLine="567"/>
        <w:jc w:val="both"/>
        <w:rPr>
          <w:color w:val="363435"/>
          <w:spacing w:val="-2"/>
          <w:sz w:val="24"/>
          <w:szCs w:val="24"/>
        </w:rPr>
      </w:pPr>
    </w:p>
    <w:p w:rsidR="006B6FD6" w:rsidRPr="00455F7B" w:rsidRDefault="006B6FD6" w:rsidP="00163EE1">
      <w:pPr>
        <w:tabs>
          <w:tab w:val="right" w:leader="dot" w:pos="7371"/>
        </w:tabs>
        <w:spacing w:before="58" w:line="278" w:lineRule="auto"/>
        <w:ind w:right="237"/>
        <w:rPr>
          <w:color w:val="202124"/>
          <w:sz w:val="24"/>
          <w:szCs w:val="24"/>
          <w:lang w:val="id-ID"/>
        </w:rPr>
      </w:pPr>
      <w:r w:rsidRPr="00455F7B">
        <w:rPr>
          <w:color w:val="202124"/>
          <w:sz w:val="24"/>
          <w:szCs w:val="24"/>
          <w:lang w:val="en"/>
        </w:rPr>
        <w:t>With formula (3.1) then formed into the Ordinary Least Square (OLS) multiple regression</w:t>
      </w:r>
      <w:r w:rsidRPr="00455F7B">
        <w:rPr>
          <w:color w:val="202124"/>
          <w:sz w:val="24"/>
          <w:szCs w:val="24"/>
          <w:lang w:val="id-ID"/>
        </w:rPr>
        <w:t xml:space="preserve"> </w:t>
      </w:r>
      <w:r w:rsidRPr="00455F7B">
        <w:rPr>
          <w:color w:val="202124"/>
          <w:sz w:val="24"/>
          <w:szCs w:val="24"/>
          <w:lang w:val="en"/>
        </w:rPr>
        <w:t>model as follows</w:t>
      </w:r>
      <w:r w:rsidRPr="00455F7B">
        <w:rPr>
          <w:color w:val="202124"/>
          <w:sz w:val="24"/>
          <w:szCs w:val="24"/>
          <w:lang w:val="id-ID"/>
        </w:rPr>
        <w:t>:</w:t>
      </w:r>
    </w:p>
    <w:p w:rsidR="006B6FD6" w:rsidRDefault="00E93B71" w:rsidP="00163EE1">
      <w:pPr>
        <w:spacing w:before="6" w:line="278" w:lineRule="auto"/>
        <w:ind w:left="142" w:right="237" w:firstLine="567"/>
        <w:jc w:val="both"/>
        <w:rPr>
          <w:color w:val="363435"/>
          <w:spacing w:val="-2"/>
          <w:sz w:val="24"/>
          <w:szCs w:val="24"/>
        </w:rPr>
      </w:pPr>
      <m:oMathPara>
        <m:oMath>
          <m:sSub>
            <m:sSubPr>
              <m:ctrlPr>
                <w:rPr>
                  <w:rFonts w:ascii="Cambria Math" w:hAnsi="Cambria Math"/>
                  <w:i/>
                  <w:color w:val="363435"/>
                  <w:spacing w:val="-2"/>
                  <w:sz w:val="24"/>
                  <w:szCs w:val="24"/>
                </w:rPr>
              </m:ctrlPr>
            </m:sSubPr>
            <m:e>
              <m:r>
                <w:rPr>
                  <w:rFonts w:ascii="Cambria Math" w:hAnsi="Cambria Math"/>
                  <w:color w:val="363435"/>
                  <w:spacing w:val="-2"/>
                  <w:sz w:val="24"/>
                  <w:szCs w:val="24"/>
                </w:rPr>
                <m:t>Y</m:t>
              </m:r>
            </m:e>
            <m:sub>
              <m:r>
                <w:rPr>
                  <w:rFonts w:ascii="Cambria Math" w:hAnsi="Cambria Math"/>
                  <w:color w:val="363435"/>
                  <w:spacing w:val="-2"/>
                  <w:sz w:val="24"/>
                  <w:szCs w:val="24"/>
                </w:rPr>
                <m:t>t</m:t>
              </m:r>
            </m:sub>
          </m:sSub>
          <m:r>
            <w:rPr>
              <w:rFonts w:ascii="Cambria Math" w:hAnsi="Cambria Math"/>
              <w:color w:val="363435"/>
              <w:spacing w:val="-2"/>
              <w:sz w:val="24"/>
              <w:szCs w:val="24"/>
            </w:rPr>
            <m:t>=</m:t>
          </m:r>
          <m:sSub>
            <m:sSubPr>
              <m:ctrlPr>
                <w:rPr>
                  <w:rFonts w:ascii="Cambria Math" w:hAnsi="Cambria Math"/>
                  <w:i/>
                  <w:color w:val="363435"/>
                  <w:spacing w:val="-2"/>
                  <w:sz w:val="24"/>
                  <w:szCs w:val="24"/>
                </w:rPr>
              </m:ctrlPr>
            </m:sSubPr>
            <m:e>
              <m:r>
                <w:rPr>
                  <w:rFonts w:ascii="Cambria Math" w:hAnsi="Cambria Math"/>
                  <w:color w:val="363435"/>
                  <w:spacing w:val="-2"/>
                  <w:sz w:val="24"/>
                  <w:szCs w:val="24"/>
                </w:rPr>
                <m:t>β</m:t>
              </m:r>
            </m:e>
            <m:sub>
              <m:r>
                <w:rPr>
                  <w:rFonts w:ascii="Cambria Math" w:hAnsi="Cambria Math"/>
                  <w:color w:val="363435"/>
                  <w:spacing w:val="-2"/>
                  <w:sz w:val="24"/>
                  <w:szCs w:val="24"/>
                </w:rPr>
                <m:t>0</m:t>
              </m:r>
            </m:sub>
          </m:sSub>
          <m:r>
            <w:rPr>
              <w:rFonts w:ascii="Cambria Math" w:hAnsi="Cambria Math"/>
              <w:color w:val="363435"/>
              <w:spacing w:val="-2"/>
              <w:sz w:val="24"/>
              <w:szCs w:val="24"/>
            </w:rPr>
            <m:t>+</m:t>
          </m:r>
          <m:sSub>
            <m:sSubPr>
              <m:ctrlPr>
                <w:rPr>
                  <w:rFonts w:ascii="Cambria Math" w:hAnsi="Cambria Math"/>
                  <w:i/>
                  <w:color w:val="363435"/>
                  <w:spacing w:val="-2"/>
                  <w:sz w:val="24"/>
                  <w:szCs w:val="24"/>
                </w:rPr>
              </m:ctrlPr>
            </m:sSubPr>
            <m:e>
              <m:r>
                <w:rPr>
                  <w:rFonts w:ascii="Cambria Math" w:hAnsi="Cambria Math"/>
                  <w:color w:val="363435"/>
                  <w:spacing w:val="-2"/>
                  <w:sz w:val="24"/>
                  <w:szCs w:val="24"/>
                </w:rPr>
                <m:t>β</m:t>
              </m:r>
            </m:e>
            <m:sub>
              <m:r>
                <w:rPr>
                  <w:rFonts w:ascii="Cambria Math" w:hAnsi="Cambria Math"/>
                  <w:color w:val="363435"/>
                  <w:spacing w:val="-2"/>
                  <w:sz w:val="24"/>
                  <w:szCs w:val="24"/>
                </w:rPr>
                <m:t>1</m:t>
              </m:r>
            </m:sub>
          </m:sSub>
          <m:sSub>
            <m:sSubPr>
              <m:ctrlPr>
                <w:rPr>
                  <w:rFonts w:ascii="Cambria Math" w:hAnsi="Cambria Math"/>
                  <w:i/>
                  <w:color w:val="363435"/>
                  <w:spacing w:val="-2"/>
                  <w:sz w:val="24"/>
                  <w:szCs w:val="24"/>
                </w:rPr>
              </m:ctrlPr>
            </m:sSubPr>
            <m:e>
              <m:r>
                <w:rPr>
                  <w:rFonts w:ascii="Cambria Math" w:hAnsi="Cambria Math"/>
                  <w:color w:val="363435"/>
                  <w:spacing w:val="-2"/>
                  <w:sz w:val="24"/>
                  <w:szCs w:val="24"/>
                </w:rPr>
                <m:t>X</m:t>
              </m:r>
            </m:e>
            <m:sub>
              <m:r>
                <w:rPr>
                  <w:rFonts w:ascii="Cambria Math" w:hAnsi="Cambria Math"/>
                  <w:color w:val="363435"/>
                  <w:spacing w:val="-2"/>
                  <w:sz w:val="24"/>
                  <w:szCs w:val="24"/>
                </w:rPr>
                <m:t>1t</m:t>
              </m:r>
            </m:sub>
          </m:sSub>
          <m:r>
            <w:rPr>
              <w:rFonts w:ascii="Cambria Math" w:hAnsi="Cambria Math"/>
              <w:color w:val="363435"/>
              <w:spacing w:val="-2"/>
              <w:sz w:val="24"/>
              <w:szCs w:val="24"/>
            </w:rPr>
            <m:t>+</m:t>
          </m:r>
          <m:sSub>
            <m:sSubPr>
              <m:ctrlPr>
                <w:rPr>
                  <w:rFonts w:ascii="Cambria Math" w:hAnsi="Cambria Math"/>
                  <w:i/>
                  <w:color w:val="363435"/>
                  <w:spacing w:val="-2"/>
                  <w:sz w:val="24"/>
                  <w:szCs w:val="24"/>
                </w:rPr>
              </m:ctrlPr>
            </m:sSubPr>
            <m:e>
              <m:r>
                <w:rPr>
                  <w:rFonts w:ascii="Cambria Math" w:hAnsi="Cambria Math"/>
                  <w:color w:val="363435"/>
                  <w:spacing w:val="-2"/>
                  <w:sz w:val="24"/>
                  <w:szCs w:val="24"/>
                </w:rPr>
                <m:t>β</m:t>
              </m:r>
            </m:e>
            <m:sub>
              <m:r>
                <w:rPr>
                  <w:rFonts w:ascii="Cambria Math" w:hAnsi="Cambria Math"/>
                  <w:color w:val="363435"/>
                  <w:spacing w:val="-2"/>
                  <w:sz w:val="24"/>
                  <w:szCs w:val="24"/>
                </w:rPr>
                <m:t>2</m:t>
              </m:r>
            </m:sub>
          </m:sSub>
          <m:sSub>
            <m:sSubPr>
              <m:ctrlPr>
                <w:rPr>
                  <w:rFonts w:ascii="Cambria Math" w:hAnsi="Cambria Math"/>
                  <w:i/>
                  <w:color w:val="363435"/>
                  <w:spacing w:val="-2"/>
                  <w:sz w:val="24"/>
                  <w:szCs w:val="24"/>
                </w:rPr>
              </m:ctrlPr>
            </m:sSubPr>
            <m:e>
              <m:r>
                <w:rPr>
                  <w:rFonts w:ascii="Cambria Math" w:hAnsi="Cambria Math"/>
                  <w:color w:val="363435"/>
                  <w:spacing w:val="-2"/>
                  <w:sz w:val="24"/>
                  <w:szCs w:val="24"/>
                </w:rPr>
                <m:t>X</m:t>
              </m:r>
            </m:e>
            <m:sub>
              <m:r>
                <w:rPr>
                  <w:rFonts w:ascii="Cambria Math" w:hAnsi="Cambria Math"/>
                  <w:color w:val="363435"/>
                  <w:spacing w:val="-2"/>
                  <w:sz w:val="24"/>
                  <w:szCs w:val="24"/>
                </w:rPr>
                <m:t>2t</m:t>
              </m:r>
            </m:sub>
          </m:sSub>
          <m:r>
            <w:rPr>
              <w:rFonts w:ascii="Cambria Math" w:hAnsi="Cambria Math"/>
              <w:color w:val="363435"/>
              <w:spacing w:val="-2"/>
              <w:sz w:val="24"/>
              <w:szCs w:val="24"/>
            </w:rPr>
            <m:t>+</m:t>
          </m:r>
          <m:sSub>
            <m:sSubPr>
              <m:ctrlPr>
                <w:rPr>
                  <w:rFonts w:ascii="Cambria Math" w:hAnsi="Cambria Math"/>
                  <w:i/>
                  <w:color w:val="363435"/>
                  <w:spacing w:val="-2"/>
                  <w:sz w:val="24"/>
                  <w:szCs w:val="24"/>
                </w:rPr>
              </m:ctrlPr>
            </m:sSubPr>
            <m:e>
              <m:r>
                <w:rPr>
                  <w:rFonts w:ascii="Cambria Math" w:hAnsi="Cambria Math"/>
                  <w:color w:val="363435"/>
                  <w:spacing w:val="-2"/>
                  <w:sz w:val="24"/>
                  <w:szCs w:val="24"/>
                </w:rPr>
                <m:t>v</m:t>
              </m:r>
            </m:e>
            <m:sub>
              <m:r>
                <w:rPr>
                  <w:rFonts w:ascii="Cambria Math" w:hAnsi="Cambria Math"/>
                  <w:color w:val="363435"/>
                  <w:spacing w:val="-2"/>
                  <w:sz w:val="24"/>
                  <w:szCs w:val="24"/>
                </w:rPr>
                <m:t>t</m:t>
              </m:r>
            </m:sub>
          </m:sSub>
        </m:oMath>
      </m:oMathPara>
    </w:p>
    <w:p w:rsidR="006B6FD6" w:rsidRPr="0061657C" w:rsidRDefault="006B6FD6" w:rsidP="00163EE1">
      <w:pPr>
        <w:tabs>
          <w:tab w:val="right" w:leader="dot" w:pos="7371"/>
        </w:tabs>
        <w:spacing w:before="58" w:line="278" w:lineRule="auto"/>
        <w:ind w:right="237"/>
        <w:rPr>
          <w:sz w:val="24"/>
          <w:szCs w:val="24"/>
          <w:lang w:val="id-ID"/>
        </w:rPr>
      </w:pPr>
      <w:r w:rsidRPr="0061657C">
        <w:rPr>
          <w:color w:val="202124"/>
          <w:sz w:val="24"/>
          <w:szCs w:val="24"/>
          <w:lang w:val="en"/>
        </w:rPr>
        <w:t>Then the Error Correction Term (ECT) is included as part of the Error Correction Model (ECM) as follows</w:t>
      </w:r>
      <w:r w:rsidRPr="0061657C">
        <w:rPr>
          <w:color w:val="202124"/>
          <w:sz w:val="24"/>
          <w:szCs w:val="24"/>
          <w:lang w:val="id-ID"/>
        </w:rPr>
        <w:t>:</w:t>
      </w:r>
    </w:p>
    <w:p w:rsidR="006B6FD6" w:rsidRDefault="00E93B71" w:rsidP="00163EE1">
      <w:pPr>
        <w:spacing w:before="6" w:line="278" w:lineRule="auto"/>
        <w:ind w:left="142" w:right="237" w:firstLine="567"/>
        <w:jc w:val="both"/>
        <w:rPr>
          <w:color w:val="363435"/>
          <w:spacing w:val="-2"/>
          <w:sz w:val="24"/>
          <w:szCs w:val="24"/>
        </w:rPr>
      </w:pPr>
      <m:oMathPara>
        <m:oMath>
          <m:sSub>
            <m:sSubPr>
              <m:ctrlPr>
                <w:rPr>
                  <w:rFonts w:ascii="Cambria Math" w:hAnsi="Cambria Math"/>
                  <w:i/>
                  <w:color w:val="363435"/>
                  <w:spacing w:val="-2"/>
                  <w:sz w:val="24"/>
                  <w:szCs w:val="24"/>
                </w:rPr>
              </m:ctrlPr>
            </m:sSubPr>
            <m:e>
              <m:r>
                <w:rPr>
                  <w:rFonts w:ascii="Cambria Math" w:hAnsi="Cambria Math"/>
                  <w:color w:val="363435"/>
                  <w:spacing w:val="-2"/>
                  <w:sz w:val="24"/>
                  <w:szCs w:val="24"/>
                </w:rPr>
                <m:t>DY</m:t>
              </m:r>
            </m:e>
            <m:sub>
              <m:r>
                <w:rPr>
                  <w:rFonts w:ascii="Cambria Math" w:hAnsi="Cambria Math"/>
                  <w:color w:val="363435"/>
                  <w:spacing w:val="-2"/>
                  <w:sz w:val="24"/>
                  <w:szCs w:val="24"/>
                </w:rPr>
                <m:t>t</m:t>
              </m:r>
            </m:sub>
          </m:sSub>
          <m:r>
            <w:rPr>
              <w:rFonts w:ascii="Cambria Math" w:hAnsi="Cambria Math"/>
              <w:color w:val="363435"/>
              <w:spacing w:val="-2"/>
              <w:sz w:val="24"/>
              <w:szCs w:val="24"/>
            </w:rPr>
            <m:t>=</m:t>
          </m:r>
          <m:sSub>
            <m:sSubPr>
              <m:ctrlPr>
                <w:rPr>
                  <w:rFonts w:ascii="Cambria Math" w:hAnsi="Cambria Math"/>
                  <w:i/>
                  <w:color w:val="363435"/>
                  <w:spacing w:val="-2"/>
                  <w:sz w:val="24"/>
                  <w:szCs w:val="24"/>
                </w:rPr>
              </m:ctrlPr>
            </m:sSubPr>
            <m:e>
              <m:r>
                <w:rPr>
                  <w:rFonts w:ascii="Cambria Math" w:hAnsi="Cambria Math"/>
                  <w:color w:val="363435"/>
                  <w:spacing w:val="-2"/>
                  <w:sz w:val="24"/>
                  <w:szCs w:val="24"/>
                </w:rPr>
                <m:t>β</m:t>
              </m:r>
            </m:e>
            <m:sub>
              <m:r>
                <w:rPr>
                  <w:rFonts w:ascii="Cambria Math" w:hAnsi="Cambria Math"/>
                  <w:color w:val="363435"/>
                  <w:spacing w:val="-2"/>
                  <w:sz w:val="24"/>
                  <w:szCs w:val="24"/>
                </w:rPr>
                <m:t>0</m:t>
              </m:r>
            </m:sub>
          </m:sSub>
          <m:r>
            <w:rPr>
              <w:rFonts w:ascii="Cambria Math" w:hAnsi="Cambria Math"/>
              <w:color w:val="363435"/>
              <w:spacing w:val="-2"/>
              <w:sz w:val="24"/>
              <w:szCs w:val="24"/>
            </w:rPr>
            <m:t>+</m:t>
          </m:r>
          <m:sSub>
            <m:sSubPr>
              <m:ctrlPr>
                <w:rPr>
                  <w:rFonts w:ascii="Cambria Math" w:hAnsi="Cambria Math"/>
                  <w:i/>
                  <w:color w:val="363435"/>
                  <w:spacing w:val="-2"/>
                  <w:sz w:val="24"/>
                  <w:szCs w:val="24"/>
                </w:rPr>
              </m:ctrlPr>
            </m:sSubPr>
            <m:e>
              <m:r>
                <w:rPr>
                  <w:rFonts w:ascii="Cambria Math" w:hAnsi="Cambria Math"/>
                  <w:color w:val="363435"/>
                  <w:spacing w:val="-2"/>
                  <w:sz w:val="24"/>
                  <w:szCs w:val="24"/>
                </w:rPr>
                <m:t>β</m:t>
              </m:r>
            </m:e>
            <m:sub>
              <m:r>
                <w:rPr>
                  <w:rFonts w:ascii="Cambria Math" w:hAnsi="Cambria Math"/>
                  <w:color w:val="363435"/>
                  <w:spacing w:val="-2"/>
                  <w:sz w:val="24"/>
                  <w:szCs w:val="24"/>
                </w:rPr>
                <m:t>1</m:t>
              </m:r>
            </m:sub>
          </m:sSub>
          <m:r>
            <w:rPr>
              <w:rFonts w:ascii="Cambria Math" w:hAnsi="Cambria Math"/>
              <w:color w:val="363435"/>
              <w:spacing w:val="-2"/>
              <w:sz w:val="24"/>
              <w:szCs w:val="24"/>
            </w:rPr>
            <m:t>D</m:t>
          </m:r>
          <m:sSub>
            <m:sSubPr>
              <m:ctrlPr>
                <w:rPr>
                  <w:rFonts w:ascii="Cambria Math" w:hAnsi="Cambria Math"/>
                  <w:i/>
                  <w:color w:val="363435"/>
                  <w:spacing w:val="-2"/>
                  <w:sz w:val="24"/>
                  <w:szCs w:val="24"/>
                </w:rPr>
              </m:ctrlPr>
            </m:sSubPr>
            <m:e>
              <m:r>
                <w:rPr>
                  <w:rFonts w:ascii="Cambria Math" w:hAnsi="Cambria Math"/>
                  <w:color w:val="363435"/>
                  <w:spacing w:val="-2"/>
                  <w:sz w:val="24"/>
                  <w:szCs w:val="24"/>
                </w:rPr>
                <m:t>X</m:t>
              </m:r>
            </m:e>
            <m:sub>
              <m:r>
                <w:rPr>
                  <w:rFonts w:ascii="Cambria Math" w:hAnsi="Cambria Math"/>
                  <w:color w:val="363435"/>
                  <w:spacing w:val="-2"/>
                  <w:sz w:val="24"/>
                  <w:szCs w:val="24"/>
                </w:rPr>
                <m:t>1t</m:t>
              </m:r>
            </m:sub>
          </m:sSub>
          <m:r>
            <w:rPr>
              <w:rFonts w:ascii="Cambria Math" w:hAnsi="Cambria Math"/>
              <w:color w:val="363435"/>
              <w:spacing w:val="-2"/>
              <w:sz w:val="24"/>
              <w:szCs w:val="24"/>
            </w:rPr>
            <m:t>+</m:t>
          </m:r>
          <m:sSub>
            <m:sSubPr>
              <m:ctrlPr>
                <w:rPr>
                  <w:rFonts w:ascii="Cambria Math" w:hAnsi="Cambria Math"/>
                  <w:i/>
                  <w:color w:val="363435"/>
                  <w:spacing w:val="-2"/>
                  <w:sz w:val="24"/>
                  <w:szCs w:val="24"/>
                </w:rPr>
              </m:ctrlPr>
            </m:sSubPr>
            <m:e>
              <m:r>
                <w:rPr>
                  <w:rFonts w:ascii="Cambria Math" w:hAnsi="Cambria Math"/>
                  <w:color w:val="363435"/>
                  <w:spacing w:val="-2"/>
                  <w:sz w:val="24"/>
                  <w:szCs w:val="24"/>
                </w:rPr>
                <m:t>β</m:t>
              </m:r>
            </m:e>
            <m:sub>
              <m:r>
                <w:rPr>
                  <w:rFonts w:ascii="Cambria Math" w:hAnsi="Cambria Math"/>
                  <w:color w:val="363435"/>
                  <w:spacing w:val="-2"/>
                  <w:sz w:val="24"/>
                  <w:szCs w:val="24"/>
                </w:rPr>
                <m:t>2</m:t>
              </m:r>
            </m:sub>
          </m:sSub>
          <m:r>
            <w:rPr>
              <w:rFonts w:ascii="Cambria Math" w:hAnsi="Cambria Math"/>
              <w:color w:val="363435"/>
              <w:spacing w:val="-2"/>
              <w:sz w:val="24"/>
              <w:szCs w:val="24"/>
            </w:rPr>
            <m:t>D</m:t>
          </m:r>
          <m:sSub>
            <m:sSubPr>
              <m:ctrlPr>
                <w:rPr>
                  <w:rFonts w:ascii="Cambria Math" w:hAnsi="Cambria Math"/>
                  <w:i/>
                  <w:color w:val="363435"/>
                  <w:spacing w:val="-2"/>
                  <w:sz w:val="24"/>
                  <w:szCs w:val="24"/>
                </w:rPr>
              </m:ctrlPr>
            </m:sSubPr>
            <m:e>
              <m:r>
                <w:rPr>
                  <w:rFonts w:ascii="Cambria Math" w:hAnsi="Cambria Math"/>
                  <w:color w:val="363435"/>
                  <w:spacing w:val="-2"/>
                  <w:sz w:val="24"/>
                  <w:szCs w:val="24"/>
                </w:rPr>
                <m:t>X</m:t>
              </m:r>
            </m:e>
            <m:sub>
              <m:r>
                <w:rPr>
                  <w:rFonts w:ascii="Cambria Math" w:hAnsi="Cambria Math"/>
                  <w:color w:val="363435"/>
                  <w:spacing w:val="-2"/>
                  <w:sz w:val="24"/>
                  <w:szCs w:val="24"/>
                </w:rPr>
                <m:t>2t</m:t>
              </m:r>
            </m:sub>
          </m:sSub>
          <m:r>
            <w:rPr>
              <w:rFonts w:ascii="Cambria Math" w:hAnsi="Cambria Math"/>
              <w:color w:val="363435"/>
              <w:spacing w:val="-2"/>
              <w:sz w:val="24"/>
              <w:szCs w:val="24"/>
            </w:rPr>
            <m:t>+</m:t>
          </m:r>
          <m:sSub>
            <m:sSubPr>
              <m:ctrlPr>
                <w:rPr>
                  <w:rFonts w:ascii="Cambria Math" w:hAnsi="Cambria Math"/>
                  <w:i/>
                  <w:color w:val="363435"/>
                  <w:spacing w:val="-2"/>
                  <w:sz w:val="24"/>
                  <w:szCs w:val="24"/>
                </w:rPr>
              </m:ctrlPr>
            </m:sSubPr>
            <m:e>
              <m:r>
                <w:rPr>
                  <w:rFonts w:ascii="Cambria Math" w:hAnsi="Cambria Math"/>
                  <w:color w:val="363435"/>
                  <w:spacing w:val="-2"/>
                  <w:sz w:val="24"/>
                  <w:szCs w:val="24"/>
                </w:rPr>
                <m:t>β</m:t>
              </m:r>
            </m:e>
            <m:sub>
              <m:r>
                <w:rPr>
                  <w:rFonts w:ascii="Cambria Math" w:hAnsi="Cambria Math"/>
                  <w:color w:val="363435"/>
                  <w:spacing w:val="-2"/>
                  <w:sz w:val="24"/>
                  <w:szCs w:val="24"/>
                </w:rPr>
                <m:t>3</m:t>
              </m:r>
            </m:sub>
          </m:sSub>
          <m:sSub>
            <m:sSubPr>
              <m:ctrlPr>
                <w:rPr>
                  <w:rFonts w:ascii="Cambria Math" w:hAnsi="Cambria Math"/>
                  <w:i/>
                  <w:color w:val="363435"/>
                  <w:spacing w:val="-2"/>
                  <w:sz w:val="24"/>
                  <w:szCs w:val="24"/>
                </w:rPr>
              </m:ctrlPr>
            </m:sSubPr>
            <m:e>
              <m:r>
                <w:rPr>
                  <w:rFonts w:ascii="Cambria Math" w:hAnsi="Cambria Math"/>
                  <w:color w:val="363435"/>
                  <w:spacing w:val="-2"/>
                  <w:sz w:val="24"/>
                  <w:szCs w:val="24"/>
                </w:rPr>
                <m:t>ECT</m:t>
              </m:r>
            </m:e>
            <m:sub>
              <m:r>
                <w:rPr>
                  <w:rFonts w:ascii="Cambria Math" w:hAnsi="Cambria Math"/>
                  <w:color w:val="363435"/>
                  <w:spacing w:val="-2"/>
                  <w:sz w:val="24"/>
                  <w:szCs w:val="24"/>
                </w:rPr>
                <m:t>t-1</m:t>
              </m:r>
            </m:sub>
          </m:sSub>
          <m:r>
            <w:rPr>
              <w:rFonts w:ascii="Cambria Math" w:hAnsi="Cambria Math"/>
              <w:color w:val="363435"/>
              <w:spacing w:val="-2"/>
              <w:sz w:val="24"/>
              <w:szCs w:val="24"/>
            </w:rPr>
            <m:t>+</m:t>
          </m:r>
          <m:sSub>
            <m:sSubPr>
              <m:ctrlPr>
                <w:rPr>
                  <w:rFonts w:ascii="Cambria Math" w:hAnsi="Cambria Math"/>
                  <w:i/>
                  <w:color w:val="363435"/>
                  <w:spacing w:val="-2"/>
                  <w:sz w:val="24"/>
                  <w:szCs w:val="24"/>
                </w:rPr>
              </m:ctrlPr>
            </m:sSubPr>
            <m:e>
              <m:r>
                <w:rPr>
                  <w:rFonts w:ascii="Cambria Math" w:hAnsi="Cambria Math"/>
                  <w:color w:val="363435"/>
                  <w:spacing w:val="-2"/>
                  <w:sz w:val="24"/>
                  <w:szCs w:val="24"/>
                </w:rPr>
                <m:t>v</m:t>
              </m:r>
            </m:e>
            <m:sub>
              <m:r>
                <w:rPr>
                  <w:rFonts w:ascii="Cambria Math" w:hAnsi="Cambria Math"/>
                  <w:color w:val="363435"/>
                  <w:spacing w:val="-2"/>
                  <w:sz w:val="24"/>
                  <w:szCs w:val="24"/>
                </w:rPr>
                <m:t>t</m:t>
              </m:r>
            </m:sub>
          </m:sSub>
        </m:oMath>
      </m:oMathPara>
    </w:p>
    <w:p w:rsidR="00163EE1" w:rsidRDefault="00163EE1" w:rsidP="00163EE1">
      <w:pPr>
        <w:tabs>
          <w:tab w:val="right" w:leader="dot" w:pos="7655"/>
        </w:tabs>
        <w:spacing w:line="480" w:lineRule="auto"/>
        <w:ind w:right="237"/>
        <w:rPr>
          <w:sz w:val="24"/>
          <w:szCs w:val="24"/>
          <w:lang w:val="id-ID"/>
        </w:rPr>
      </w:pPr>
    </w:p>
    <w:p w:rsidR="00163EE1" w:rsidRDefault="006B6FD6" w:rsidP="00163EE1">
      <w:pPr>
        <w:tabs>
          <w:tab w:val="right" w:leader="dot" w:pos="7655"/>
        </w:tabs>
        <w:spacing w:line="480" w:lineRule="auto"/>
        <w:ind w:right="237"/>
        <w:rPr>
          <w:b/>
          <w:sz w:val="24"/>
          <w:szCs w:val="24"/>
        </w:rPr>
      </w:pPr>
      <w:r>
        <w:rPr>
          <w:sz w:val="24"/>
          <w:szCs w:val="24"/>
          <w:lang w:val="id-ID"/>
        </w:rPr>
        <w:t>So, in general equation (3) can be written as equation below:</w:t>
      </w:r>
      <w:r w:rsidRPr="00100121">
        <w:rPr>
          <w:b/>
          <w:sz w:val="24"/>
          <w:szCs w:val="24"/>
        </w:rPr>
        <w:t xml:space="preserve"> </w:t>
      </w:r>
    </w:p>
    <w:p w:rsidR="006B6FD6" w:rsidRDefault="00E93B71" w:rsidP="00163EE1">
      <w:pPr>
        <w:tabs>
          <w:tab w:val="right" w:leader="dot" w:pos="7655"/>
        </w:tabs>
        <w:spacing w:line="480" w:lineRule="auto"/>
        <w:ind w:right="237"/>
        <w:rPr>
          <w:color w:val="363435"/>
          <w:spacing w:val="-2"/>
          <w:sz w:val="24"/>
          <w:szCs w:val="24"/>
        </w:rPr>
      </w:pPr>
      <m:oMathPara>
        <m:oMath>
          <m:sSub>
            <m:sSubPr>
              <m:ctrlPr>
                <w:rPr>
                  <w:rFonts w:ascii="Cambria Math" w:hAnsi="Cambria Math"/>
                  <w:i/>
                  <w:color w:val="363435"/>
                  <w:spacing w:val="-2"/>
                  <w:sz w:val="24"/>
                  <w:szCs w:val="24"/>
                </w:rPr>
              </m:ctrlPr>
            </m:sSubPr>
            <m:e>
              <m:r>
                <w:rPr>
                  <w:rFonts w:ascii="Cambria Math" w:hAnsi="Cambria Math"/>
                  <w:color w:val="363435"/>
                  <w:spacing w:val="-2"/>
                  <w:sz w:val="24"/>
                  <w:szCs w:val="24"/>
                </w:rPr>
                <m:t>FER</m:t>
              </m:r>
            </m:e>
            <m:sub>
              <m:r>
                <w:rPr>
                  <w:rFonts w:ascii="Cambria Math" w:hAnsi="Cambria Math"/>
                  <w:color w:val="363435"/>
                  <w:spacing w:val="-2"/>
                  <w:sz w:val="24"/>
                  <w:szCs w:val="24"/>
                </w:rPr>
                <m:t>t</m:t>
              </m:r>
            </m:sub>
          </m:sSub>
          <m:r>
            <w:rPr>
              <w:rFonts w:ascii="Cambria Math" w:hAnsi="Cambria Math"/>
              <w:color w:val="363435"/>
              <w:spacing w:val="-2"/>
              <w:sz w:val="24"/>
              <w:szCs w:val="24"/>
            </w:rPr>
            <m:t>=</m:t>
          </m:r>
          <m:sSub>
            <m:sSubPr>
              <m:ctrlPr>
                <w:rPr>
                  <w:rFonts w:ascii="Cambria Math" w:hAnsi="Cambria Math"/>
                  <w:i/>
                  <w:color w:val="363435"/>
                  <w:spacing w:val="-2"/>
                  <w:sz w:val="24"/>
                  <w:szCs w:val="24"/>
                </w:rPr>
              </m:ctrlPr>
            </m:sSubPr>
            <m:e>
              <m:r>
                <w:rPr>
                  <w:rFonts w:ascii="Cambria Math" w:hAnsi="Cambria Math"/>
                  <w:color w:val="363435"/>
                  <w:spacing w:val="-2"/>
                  <w:sz w:val="24"/>
                  <w:szCs w:val="24"/>
                </w:rPr>
                <m:t>β</m:t>
              </m:r>
            </m:e>
            <m:sub>
              <m:r>
                <w:rPr>
                  <w:rFonts w:ascii="Cambria Math" w:hAnsi="Cambria Math"/>
                  <w:color w:val="363435"/>
                  <w:spacing w:val="-2"/>
                  <w:sz w:val="24"/>
                  <w:szCs w:val="24"/>
                </w:rPr>
                <m:t>0</m:t>
              </m:r>
            </m:sub>
          </m:sSub>
          <m:r>
            <w:rPr>
              <w:rFonts w:ascii="Cambria Math" w:hAnsi="Cambria Math"/>
              <w:color w:val="363435"/>
              <w:spacing w:val="-2"/>
              <w:sz w:val="24"/>
              <w:szCs w:val="24"/>
            </w:rPr>
            <m:t>+</m:t>
          </m:r>
          <m:sSub>
            <m:sSubPr>
              <m:ctrlPr>
                <w:rPr>
                  <w:rFonts w:ascii="Cambria Math" w:hAnsi="Cambria Math"/>
                  <w:i/>
                  <w:color w:val="363435"/>
                  <w:spacing w:val="-2"/>
                  <w:sz w:val="24"/>
                  <w:szCs w:val="24"/>
                </w:rPr>
              </m:ctrlPr>
            </m:sSubPr>
            <m:e>
              <m:r>
                <w:rPr>
                  <w:rFonts w:ascii="Cambria Math" w:hAnsi="Cambria Math"/>
                  <w:color w:val="363435"/>
                  <w:spacing w:val="-2"/>
                  <w:sz w:val="24"/>
                  <w:szCs w:val="24"/>
                </w:rPr>
                <m:t>β</m:t>
              </m:r>
            </m:e>
            <m:sub>
              <m:r>
                <w:rPr>
                  <w:rFonts w:ascii="Cambria Math" w:hAnsi="Cambria Math"/>
                  <w:color w:val="363435"/>
                  <w:spacing w:val="-2"/>
                  <w:sz w:val="24"/>
                  <w:szCs w:val="24"/>
                </w:rPr>
                <m:t>1</m:t>
              </m:r>
            </m:sub>
          </m:sSub>
          <m:sSub>
            <m:sSubPr>
              <m:ctrlPr>
                <w:rPr>
                  <w:rFonts w:ascii="Cambria Math" w:hAnsi="Cambria Math"/>
                  <w:i/>
                  <w:color w:val="363435"/>
                  <w:spacing w:val="-2"/>
                  <w:sz w:val="24"/>
                  <w:szCs w:val="24"/>
                </w:rPr>
              </m:ctrlPr>
            </m:sSubPr>
            <m:e>
              <m:r>
                <w:rPr>
                  <w:rFonts w:ascii="Cambria Math" w:hAnsi="Cambria Math"/>
                  <w:color w:val="363435"/>
                  <w:spacing w:val="-2"/>
                  <w:sz w:val="24"/>
                  <w:szCs w:val="24"/>
                </w:rPr>
                <m:t>ER</m:t>
              </m:r>
            </m:e>
            <m:sub>
              <m:r>
                <w:rPr>
                  <w:rFonts w:ascii="Cambria Math" w:hAnsi="Cambria Math"/>
                  <w:color w:val="363435"/>
                  <w:spacing w:val="-2"/>
                  <w:sz w:val="24"/>
                  <w:szCs w:val="24"/>
                </w:rPr>
                <m:t>t</m:t>
              </m:r>
            </m:sub>
          </m:sSub>
          <m:r>
            <w:rPr>
              <w:rFonts w:ascii="Cambria Math" w:hAnsi="Cambria Math"/>
              <w:color w:val="363435"/>
              <w:spacing w:val="-2"/>
              <w:sz w:val="24"/>
              <w:szCs w:val="24"/>
            </w:rPr>
            <m:t>+</m:t>
          </m:r>
          <m:sSub>
            <m:sSubPr>
              <m:ctrlPr>
                <w:rPr>
                  <w:rFonts w:ascii="Cambria Math" w:hAnsi="Cambria Math"/>
                  <w:i/>
                  <w:color w:val="363435"/>
                  <w:spacing w:val="-2"/>
                  <w:sz w:val="24"/>
                  <w:szCs w:val="24"/>
                </w:rPr>
              </m:ctrlPr>
            </m:sSubPr>
            <m:e>
              <m:r>
                <w:rPr>
                  <w:rFonts w:ascii="Cambria Math" w:hAnsi="Cambria Math"/>
                  <w:color w:val="363435"/>
                  <w:spacing w:val="-2"/>
                  <w:sz w:val="24"/>
                  <w:szCs w:val="24"/>
                </w:rPr>
                <m:t>β</m:t>
              </m:r>
            </m:e>
            <m:sub>
              <m:r>
                <w:rPr>
                  <w:rFonts w:ascii="Cambria Math" w:hAnsi="Cambria Math"/>
                  <w:color w:val="363435"/>
                  <w:spacing w:val="-2"/>
                  <w:sz w:val="24"/>
                  <w:szCs w:val="24"/>
                </w:rPr>
                <m:t>2</m:t>
              </m:r>
            </m:sub>
          </m:sSub>
          <m:sSub>
            <m:sSubPr>
              <m:ctrlPr>
                <w:rPr>
                  <w:rFonts w:ascii="Cambria Math" w:hAnsi="Cambria Math"/>
                  <w:i/>
                  <w:color w:val="363435"/>
                  <w:spacing w:val="-2"/>
                  <w:sz w:val="24"/>
                  <w:szCs w:val="24"/>
                </w:rPr>
              </m:ctrlPr>
            </m:sSubPr>
            <m:e>
              <m:r>
                <w:rPr>
                  <w:rFonts w:ascii="Cambria Math" w:hAnsi="Cambria Math"/>
                  <w:color w:val="363435"/>
                  <w:spacing w:val="-2"/>
                  <w:sz w:val="24"/>
                  <w:szCs w:val="24"/>
                </w:rPr>
                <m:t>FNT</m:t>
              </m:r>
            </m:e>
            <m:sub>
              <m:r>
                <w:rPr>
                  <w:rFonts w:ascii="Cambria Math" w:hAnsi="Cambria Math"/>
                  <w:color w:val="363435"/>
                  <w:spacing w:val="-2"/>
                  <w:sz w:val="24"/>
                  <w:szCs w:val="24"/>
                </w:rPr>
                <m:t>t</m:t>
              </m:r>
            </m:sub>
          </m:sSub>
          <m:r>
            <w:rPr>
              <w:rFonts w:ascii="Cambria Math" w:hAnsi="Cambria Math"/>
              <w:color w:val="363435"/>
              <w:spacing w:val="-2"/>
              <w:sz w:val="24"/>
              <w:szCs w:val="24"/>
            </w:rPr>
            <m:t>+</m:t>
          </m:r>
          <m:sSub>
            <m:sSubPr>
              <m:ctrlPr>
                <w:rPr>
                  <w:rFonts w:ascii="Cambria Math" w:hAnsi="Cambria Math"/>
                  <w:i/>
                  <w:color w:val="363435"/>
                  <w:spacing w:val="-2"/>
                  <w:sz w:val="24"/>
                  <w:szCs w:val="24"/>
                </w:rPr>
              </m:ctrlPr>
            </m:sSubPr>
            <m:e>
              <m:r>
                <w:rPr>
                  <w:rFonts w:ascii="Cambria Math" w:hAnsi="Cambria Math"/>
                  <w:color w:val="363435"/>
                  <w:spacing w:val="-2"/>
                  <w:sz w:val="24"/>
                  <w:szCs w:val="24"/>
                </w:rPr>
                <m:t>β</m:t>
              </m:r>
            </m:e>
            <m:sub>
              <m:r>
                <w:rPr>
                  <w:rFonts w:ascii="Cambria Math" w:hAnsi="Cambria Math"/>
                  <w:color w:val="363435"/>
                  <w:spacing w:val="-2"/>
                  <w:sz w:val="24"/>
                  <w:szCs w:val="24"/>
                </w:rPr>
                <m:t>3</m:t>
              </m:r>
            </m:sub>
          </m:sSub>
          <m:sSub>
            <m:sSubPr>
              <m:ctrlPr>
                <w:rPr>
                  <w:rFonts w:ascii="Cambria Math" w:hAnsi="Cambria Math"/>
                  <w:i/>
                  <w:color w:val="363435"/>
                  <w:spacing w:val="-2"/>
                  <w:sz w:val="24"/>
                  <w:szCs w:val="24"/>
                </w:rPr>
              </m:ctrlPr>
            </m:sSubPr>
            <m:e>
              <m:r>
                <w:rPr>
                  <w:rFonts w:ascii="Cambria Math" w:hAnsi="Cambria Math"/>
                  <w:color w:val="363435"/>
                  <w:spacing w:val="-2"/>
                  <w:sz w:val="24"/>
                  <w:szCs w:val="24"/>
                </w:rPr>
                <m:t>ECT</m:t>
              </m:r>
            </m:e>
            <m:sub>
              <m:r>
                <w:rPr>
                  <w:rFonts w:ascii="Cambria Math" w:hAnsi="Cambria Math"/>
                  <w:color w:val="363435"/>
                  <w:spacing w:val="-2"/>
                  <w:sz w:val="24"/>
                  <w:szCs w:val="24"/>
                </w:rPr>
                <m:t>t-1</m:t>
              </m:r>
            </m:sub>
          </m:sSub>
          <m:r>
            <w:rPr>
              <w:rFonts w:ascii="Cambria Math" w:hAnsi="Cambria Math"/>
              <w:color w:val="363435"/>
              <w:spacing w:val="-2"/>
              <w:sz w:val="24"/>
              <w:szCs w:val="24"/>
            </w:rPr>
            <m:t>+</m:t>
          </m:r>
          <m:sSub>
            <m:sSubPr>
              <m:ctrlPr>
                <w:rPr>
                  <w:rFonts w:ascii="Cambria Math" w:hAnsi="Cambria Math"/>
                  <w:i/>
                  <w:color w:val="363435"/>
                  <w:spacing w:val="-2"/>
                  <w:sz w:val="24"/>
                  <w:szCs w:val="24"/>
                </w:rPr>
              </m:ctrlPr>
            </m:sSubPr>
            <m:e>
              <m:r>
                <w:rPr>
                  <w:rFonts w:ascii="Cambria Math" w:hAnsi="Cambria Math"/>
                  <w:color w:val="363435"/>
                  <w:spacing w:val="-2"/>
                  <w:sz w:val="24"/>
                  <w:szCs w:val="24"/>
                </w:rPr>
                <m:t>v</m:t>
              </m:r>
            </m:e>
            <m:sub>
              <m:r>
                <w:rPr>
                  <w:rFonts w:ascii="Cambria Math" w:hAnsi="Cambria Math"/>
                  <w:color w:val="363435"/>
                  <w:spacing w:val="-2"/>
                  <w:sz w:val="24"/>
                  <w:szCs w:val="24"/>
                </w:rPr>
                <m:t>t</m:t>
              </m:r>
            </m:sub>
          </m:sSub>
        </m:oMath>
      </m:oMathPara>
    </w:p>
    <w:p w:rsidR="006B6FD6" w:rsidRDefault="006B6FD6" w:rsidP="00163EE1">
      <w:pPr>
        <w:tabs>
          <w:tab w:val="right" w:leader="dot" w:pos="7655"/>
        </w:tabs>
        <w:spacing w:before="58" w:line="278" w:lineRule="auto"/>
        <w:ind w:left="142" w:right="237" w:firstLine="567"/>
        <w:jc w:val="both"/>
        <w:rPr>
          <w:rFonts w:ascii="Cambria" w:eastAsia="Cambria" w:hAnsi="Cambria" w:cs="Cambria"/>
          <w:color w:val="363435"/>
          <w:spacing w:val="-2"/>
          <w:sz w:val="24"/>
          <w:szCs w:val="24"/>
        </w:rPr>
      </w:pPr>
      <w:r>
        <w:rPr>
          <w:color w:val="363435"/>
          <w:sz w:val="24"/>
          <w:szCs w:val="24"/>
        </w:rPr>
        <w:t>Whe</w:t>
      </w:r>
      <w:r>
        <w:rPr>
          <w:color w:val="363435"/>
          <w:spacing w:val="-2"/>
          <w:sz w:val="24"/>
          <w:szCs w:val="24"/>
        </w:rPr>
        <w:t>r</w:t>
      </w:r>
      <w:r>
        <w:rPr>
          <w:color w:val="363435"/>
          <w:sz w:val="24"/>
          <w:szCs w:val="24"/>
        </w:rPr>
        <w:t>e</w:t>
      </w:r>
      <w:r>
        <w:rPr>
          <w:color w:val="363435"/>
          <w:spacing w:val="25"/>
          <w:sz w:val="24"/>
          <w:szCs w:val="24"/>
        </w:rPr>
        <w:t xml:space="preserve"> </w:t>
      </w:r>
      <w:r>
        <w:rPr>
          <w:i/>
          <w:color w:val="363435"/>
          <w:sz w:val="24"/>
          <w:szCs w:val="24"/>
        </w:rPr>
        <w:t>FER</w:t>
      </w:r>
      <w:r>
        <w:rPr>
          <w:i/>
          <w:color w:val="363435"/>
          <w:spacing w:val="-2"/>
          <w:sz w:val="24"/>
          <w:szCs w:val="24"/>
        </w:rPr>
        <w:t xml:space="preserve"> </w:t>
      </w:r>
      <w:r>
        <w:rPr>
          <w:color w:val="363435"/>
          <w:sz w:val="24"/>
          <w:szCs w:val="24"/>
        </w:rPr>
        <w:t>is</w:t>
      </w:r>
      <w:r>
        <w:rPr>
          <w:color w:val="363435"/>
          <w:spacing w:val="21"/>
          <w:sz w:val="24"/>
          <w:szCs w:val="24"/>
        </w:rPr>
        <w:t xml:space="preserve"> </w:t>
      </w:r>
      <w:r>
        <w:rPr>
          <w:color w:val="202124"/>
          <w:sz w:val="24"/>
          <w:szCs w:val="24"/>
          <w:lang w:val="en"/>
        </w:rPr>
        <w:t>f</w:t>
      </w:r>
      <w:r w:rsidRPr="00455F7B">
        <w:rPr>
          <w:color w:val="202124"/>
          <w:sz w:val="24"/>
          <w:szCs w:val="24"/>
          <w:lang w:val="en"/>
        </w:rPr>
        <w:t>oreign exchange reserves</w:t>
      </w:r>
      <w:r>
        <w:rPr>
          <w:color w:val="202124"/>
          <w:sz w:val="24"/>
          <w:szCs w:val="24"/>
          <w:lang w:val="en"/>
        </w:rPr>
        <w:t xml:space="preserve"> or </w:t>
      </w:r>
      <w:r w:rsidRPr="00455F7B">
        <w:rPr>
          <w:color w:val="202124"/>
          <w:sz w:val="24"/>
          <w:szCs w:val="24"/>
          <w:lang w:val="id-ID"/>
        </w:rPr>
        <w:t xml:space="preserve">a dependent variabels that </w:t>
      </w:r>
      <w:r w:rsidRPr="00455F7B">
        <w:rPr>
          <w:color w:val="202124"/>
          <w:sz w:val="24"/>
          <w:szCs w:val="24"/>
          <w:lang w:val="en"/>
        </w:rPr>
        <w:t xml:space="preserve"> a number of foreign currency assets reserved by the Central Bank</w:t>
      </w:r>
      <w:r>
        <w:rPr>
          <w:color w:val="202124"/>
          <w:sz w:val="24"/>
          <w:szCs w:val="24"/>
          <w:lang w:val="en"/>
        </w:rPr>
        <w:t xml:space="preserve"> of Indonesia</w:t>
      </w:r>
      <w:r w:rsidRPr="00455F7B">
        <w:rPr>
          <w:color w:val="202124"/>
          <w:sz w:val="24"/>
          <w:szCs w:val="24"/>
          <w:lang w:val="en"/>
        </w:rPr>
        <w:t xml:space="preserve"> for the period</w:t>
      </w:r>
      <w:r>
        <w:rPr>
          <w:color w:val="202124"/>
          <w:sz w:val="24"/>
          <w:szCs w:val="24"/>
          <w:lang w:val="en"/>
        </w:rPr>
        <w:t xml:space="preserve"> </w:t>
      </w:r>
      <w:r w:rsidRPr="00455F7B">
        <w:rPr>
          <w:color w:val="202124"/>
          <w:sz w:val="24"/>
          <w:szCs w:val="24"/>
          <w:lang w:val="en"/>
        </w:rPr>
        <w:t>2010 to 2019 (monthly)</w:t>
      </w:r>
      <w:r>
        <w:rPr>
          <w:color w:val="202124"/>
          <w:sz w:val="24"/>
          <w:szCs w:val="24"/>
          <w:lang w:val="en"/>
        </w:rPr>
        <w:t xml:space="preserve">, </w:t>
      </w:r>
      <w:r w:rsidRPr="00455F7B">
        <w:rPr>
          <w:color w:val="202124"/>
          <w:sz w:val="24"/>
          <w:szCs w:val="24"/>
          <w:lang w:val="en"/>
        </w:rPr>
        <w:t xml:space="preserve">which are </w:t>
      </w:r>
      <w:r w:rsidRPr="00455F7B">
        <w:rPr>
          <w:color w:val="202124"/>
          <w:sz w:val="24"/>
          <w:szCs w:val="24"/>
          <w:lang w:val="id-ID"/>
        </w:rPr>
        <w:t xml:space="preserve">measured </w:t>
      </w:r>
      <w:r w:rsidRPr="00455F7B">
        <w:rPr>
          <w:color w:val="202124"/>
          <w:sz w:val="24"/>
          <w:szCs w:val="24"/>
          <w:lang w:val="en"/>
        </w:rPr>
        <w:t>in US Dollars</w:t>
      </w:r>
      <w:r>
        <w:rPr>
          <w:color w:val="363435"/>
          <w:sz w:val="24"/>
          <w:szCs w:val="24"/>
        </w:rPr>
        <w:t>;</w:t>
      </w:r>
      <w:r>
        <w:rPr>
          <w:color w:val="363435"/>
          <w:spacing w:val="11"/>
          <w:sz w:val="24"/>
          <w:szCs w:val="24"/>
        </w:rPr>
        <w:t xml:space="preserve"> </w:t>
      </w:r>
      <w:r>
        <w:rPr>
          <w:i/>
          <w:color w:val="363435"/>
          <w:sz w:val="24"/>
          <w:szCs w:val="24"/>
        </w:rPr>
        <w:t>ER</w:t>
      </w:r>
      <w:r w:rsidRPr="00455F7B">
        <w:rPr>
          <w:color w:val="202124"/>
          <w:sz w:val="24"/>
          <w:szCs w:val="24"/>
          <w:lang w:val="id-ID"/>
        </w:rPr>
        <w:t xml:space="preserve"> </w:t>
      </w:r>
      <w:r w:rsidRPr="00455F7B">
        <w:rPr>
          <w:color w:val="202124"/>
          <w:sz w:val="24"/>
          <w:szCs w:val="24"/>
          <w:lang w:val="en"/>
        </w:rPr>
        <w:t>is the</w:t>
      </w:r>
      <w:r w:rsidRPr="00455F7B">
        <w:rPr>
          <w:color w:val="202124"/>
          <w:sz w:val="24"/>
          <w:szCs w:val="24"/>
          <w:lang w:val="id-ID"/>
        </w:rPr>
        <w:t xml:space="preserve"> </w:t>
      </w:r>
      <w:r w:rsidRPr="00455F7B">
        <w:rPr>
          <w:color w:val="202124"/>
          <w:sz w:val="24"/>
          <w:szCs w:val="24"/>
          <w:lang w:val="en"/>
        </w:rPr>
        <w:t>exchange rate of the rupiah against the US Dollar</w:t>
      </w:r>
      <w:r>
        <w:rPr>
          <w:color w:val="363435"/>
          <w:sz w:val="24"/>
          <w:szCs w:val="24"/>
        </w:rPr>
        <w:t xml:space="preserve">; </w:t>
      </w:r>
      <w:r w:rsidRPr="00E955C8">
        <w:rPr>
          <w:i/>
          <w:color w:val="363435"/>
          <w:sz w:val="24"/>
          <w:szCs w:val="24"/>
        </w:rPr>
        <w:t>HT</w:t>
      </w:r>
      <w:r>
        <w:rPr>
          <w:color w:val="363435"/>
          <w:spacing w:val="-2"/>
          <w:sz w:val="24"/>
          <w:szCs w:val="24"/>
        </w:rPr>
        <w:t xml:space="preserve">  (</w:t>
      </w:r>
      <w:r>
        <w:rPr>
          <w:color w:val="202124"/>
          <w:sz w:val="24"/>
          <w:szCs w:val="24"/>
          <w:lang w:val="en"/>
        </w:rPr>
        <w:t>h</w:t>
      </w:r>
      <w:r w:rsidRPr="00455F7B">
        <w:rPr>
          <w:color w:val="202124"/>
          <w:sz w:val="24"/>
          <w:szCs w:val="24"/>
          <w:lang w:val="en"/>
        </w:rPr>
        <w:t>alal tourism</w:t>
      </w:r>
      <w:r>
        <w:rPr>
          <w:color w:val="202124"/>
          <w:sz w:val="24"/>
          <w:szCs w:val="24"/>
          <w:lang w:val="en"/>
        </w:rPr>
        <w:t>)</w:t>
      </w:r>
      <w:r w:rsidRPr="00455F7B">
        <w:rPr>
          <w:color w:val="202124"/>
          <w:sz w:val="24"/>
          <w:szCs w:val="24"/>
          <w:lang w:val="en"/>
        </w:rPr>
        <w:t xml:space="preserve"> is the number of foreign tourists visiting Indonesia from 2010 to 2019 (monthly</w:t>
      </w:r>
      <w:r>
        <w:rPr>
          <w:color w:val="202124"/>
          <w:sz w:val="24"/>
          <w:szCs w:val="24"/>
          <w:lang w:val="id-ID"/>
        </w:rPr>
        <w:t xml:space="preserve">); </w:t>
      </w:r>
      <w:r>
        <w:rPr>
          <w:noProof/>
          <w:lang w:val="en-ID" w:eastAsia="en-ID"/>
        </w:rPr>
        <mc:AlternateContent>
          <mc:Choice Requires="wps">
            <w:drawing>
              <wp:anchor distT="0" distB="0" distL="114300" distR="114300" simplePos="0" relativeHeight="251659264" behindDoc="1" locked="0" layoutInCell="1" allowOverlap="1" wp14:anchorId="48153583" wp14:editId="70B2ACFE">
                <wp:simplePos x="0" y="0"/>
                <wp:positionH relativeFrom="page">
                  <wp:posOffset>6182995</wp:posOffset>
                </wp:positionH>
                <wp:positionV relativeFrom="paragraph">
                  <wp:posOffset>156210</wp:posOffset>
                </wp:positionV>
                <wp:extent cx="44450" cy="88900"/>
                <wp:effectExtent l="1270" t="0" r="190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5BB" w:rsidRDefault="006E65BB" w:rsidP="006B6FD6">
                            <w:pPr>
                              <w:spacing w:line="120" w:lineRule="exact"/>
                              <w:ind w:right="-41"/>
                              <w:rPr>
                                <w:sz w:val="14"/>
                                <w:szCs w:val="14"/>
                              </w:rPr>
                            </w:pPr>
                            <w:r>
                              <w:rPr>
                                <w:i/>
                                <w:color w:val="363435"/>
                                <w:sz w:val="14"/>
                                <w:szCs w:val="1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153583" id="_x0000_t202" coordsize="21600,21600" o:spt="202" path="m,l,21600r21600,l21600,xe">
                <v:stroke joinstyle="miter"/>
                <v:path gradientshapeok="t" o:connecttype="rect"/>
              </v:shapetype>
              <v:shape id="Text Box 6" o:spid="_x0000_s1026" type="#_x0000_t202" style="position:absolute;left:0;text-align:left;margin-left:486.85pt;margin-top:12.3pt;width:3.5pt;height: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" filled="f" stroked="f">
                <v:textbox inset="0,0,0,0">
                  <w:txbxContent>
                    <w:p w:rsidR="006E65BB" w:rsidRDefault="006E65BB" w:rsidP="006B6FD6">
                      <w:pPr>
                        <w:spacing w:line="120" w:lineRule="exact"/>
                        <w:ind w:right="-41"/>
                        <w:rPr>
                          <w:sz w:val="14"/>
                          <w:szCs w:val="14"/>
                        </w:rPr>
                      </w:pPr>
                      <w:r>
                        <w:rPr>
                          <w:i/>
                          <w:color w:val="363435"/>
                          <w:sz w:val="14"/>
                          <w:szCs w:val="14"/>
                        </w:rPr>
                        <w:t>1</w:t>
                      </w:r>
                    </w:p>
                  </w:txbxContent>
                </v:textbox>
                <w10:wrap anchorx="page"/>
              </v:shape>
            </w:pict>
          </mc:Fallback>
        </mc:AlternateContent>
      </w:r>
      <w:r>
        <w:rPr>
          <w:rFonts w:ascii="Cambria" w:eastAsia="Cambria" w:hAnsi="Cambria" w:cs="Cambria"/>
          <w:i/>
          <w:color w:val="363435"/>
          <w:sz w:val="24"/>
          <w:szCs w:val="24"/>
        </w:rPr>
        <w:t>β</w:t>
      </w:r>
      <w:r>
        <w:rPr>
          <w:rFonts w:ascii="Cambria" w:eastAsia="Cambria" w:hAnsi="Cambria" w:cs="Cambria"/>
          <w:i/>
          <w:color w:val="363435"/>
          <w:sz w:val="24"/>
          <w:szCs w:val="24"/>
          <w:vertAlign w:val="subscript"/>
        </w:rPr>
        <w:t xml:space="preserve">0 </w:t>
      </w:r>
      <w:r w:rsidRPr="00E955C8">
        <w:rPr>
          <w:rFonts w:ascii="Cambria" w:eastAsia="Cambria" w:hAnsi="Cambria" w:cs="Cambria"/>
          <w:color w:val="363435"/>
          <w:sz w:val="24"/>
          <w:szCs w:val="24"/>
        </w:rPr>
        <w:t>are the constant</w:t>
      </w:r>
      <w:r>
        <w:rPr>
          <w:rFonts w:ascii="Cambria" w:eastAsia="Cambria" w:hAnsi="Cambria" w:cs="Cambria"/>
          <w:color w:val="363435"/>
          <w:sz w:val="24"/>
          <w:szCs w:val="24"/>
        </w:rPr>
        <w:t xml:space="preserve">; </w:t>
      </w:r>
      <w:r>
        <w:rPr>
          <w:rFonts w:ascii="Cambria" w:eastAsia="Cambria" w:hAnsi="Cambria" w:cs="Cambria"/>
          <w:i/>
          <w:color w:val="363435"/>
          <w:sz w:val="24"/>
          <w:szCs w:val="24"/>
        </w:rPr>
        <w:t>β</w:t>
      </w:r>
      <w:r>
        <w:rPr>
          <w:rFonts w:ascii="Cambria" w:eastAsia="Cambria" w:hAnsi="Cambria" w:cs="Cambria"/>
          <w:i/>
          <w:color w:val="363435"/>
          <w:sz w:val="24"/>
          <w:szCs w:val="24"/>
          <w:vertAlign w:val="subscript"/>
        </w:rPr>
        <w:t xml:space="preserve">1, </w:t>
      </w:r>
      <w:r>
        <w:rPr>
          <w:rFonts w:ascii="Cambria" w:eastAsia="Cambria" w:hAnsi="Cambria" w:cs="Cambria"/>
          <w:i/>
          <w:color w:val="363435"/>
          <w:sz w:val="24"/>
          <w:szCs w:val="24"/>
        </w:rPr>
        <w:t>β</w:t>
      </w:r>
      <w:r>
        <w:rPr>
          <w:rFonts w:ascii="Cambria" w:eastAsia="Cambria" w:hAnsi="Cambria" w:cs="Cambria"/>
          <w:i/>
          <w:color w:val="363435"/>
          <w:sz w:val="24"/>
          <w:szCs w:val="24"/>
          <w:vertAlign w:val="subscript"/>
        </w:rPr>
        <w:t xml:space="preserve">2 </w:t>
      </w:r>
      <w:r>
        <w:rPr>
          <w:rFonts w:ascii="Cambria" w:eastAsia="Cambria" w:hAnsi="Cambria" w:cs="Cambria"/>
          <w:color w:val="363435"/>
          <w:sz w:val="24"/>
          <w:szCs w:val="24"/>
        </w:rPr>
        <w:t xml:space="preserve">, </w:t>
      </w:r>
      <w:r>
        <w:rPr>
          <w:rFonts w:ascii="Cambria" w:eastAsia="Cambria" w:hAnsi="Cambria" w:cs="Cambria"/>
          <w:i/>
          <w:color w:val="363435"/>
          <w:sz w:val="24"/>
          <w:szCs w:val="24"/>
        </w:rPr>
        <w:t>β</w:t>
      </w:r>
      <w:r>
        <w:rPr>
          <w:rFonts w:ascii="Cambria" w:eastAsia="Cambria" w:hAnsi="Cambria" w:cs="Cambria"/>
          <w:i/>
          <w:color w:val="363435"/>
          <w:sz w:val="24"/>
          <w:szCs w:val="24"/>
          <w:vertAlign w:val="subscript"/>
        </w:rPr>
        <w:t xml:space="preserve">3 </w:t>
      </w:r>
      <w:r>
        <w:rPr>
          <w:rFonts w:ascii="Cambria" w:eastAsia="Cambria" w:hAnsi="Cambria" w:cs="Cambria"/>
          <w:color w:val="363435"/>
          <w:sz w:val="24"/>
          <w:szCs w:val="24"/>
        </w:rPr>
        <w:t xml:space="preserve">are the coefficient  of the estimated of independent variables, and </w:t>
      </w:r>
      <m:oMath>
        <m:r>
          <w:rPr>
            <w:rFonts w:ascii="Cambria Math" w:hAnsi="Cambria Math"/>
            <w:color w:val="363435"/>
            <w:spacing w:val="-2"/>
            <w:sz w:val="24"/>
            <w:szCs w:val="24"/>
          </w:rPr>
          <m:t xml:space="preserve"> v</m:t>
        </m:r>
      </m:oMath>
      <w:r>
        <w:rPr>
          <w:rFonts w:ascii="Cambria" w:eastAsia="Cambria" w:hAnsi="Cambria" w:cs="Cambria"/>
          <w:color w:val="363435"/>
          <w:spacing w:val="-2"/>
          <w:sz w:val="24"/>
          <w:szCs w:val="24"/>
        </w:rPr>
        <w:t xml:space="preserve">  </w:t>
      </w:r>
      <w:r w:rsidRPr="00E955C8">
        <w:rPr>
          <w:rFonts w:eastAsia="Cambria"/>
          <w:color w:val="363435"/>
          <w:spacing w:val="-2"/>
          <w:sz w:val="24"/>
          <w:szCs w:val="24"/>
        </w:rPr>
        <w:t>is the error term, and period</w:t>
      </w:r>
      <w:r>
        <w:rPr>
          <w:rFonts w:ascii="Cambria" w:eastAsia="Cambria" w:hAnsi="Cambria" w:cs="Cambria"/>
          <w:color w:val="363435"/>
          <w:spacing w:val="-2"/>
          <w:sz w:val="24"/>
          <w:szCs w:val="24"/>
        </w:rPr>
        <w:t xml:space="preserve"> </w:t>
      </w:r>
      <w:r w:rsidRPr="00E955C8">
        <w:rPr>
          <w:rFonts w:ascii="Cambria" w:eastAsia="Cambria" w:hAnsi="Cambria" w:cs="Cambria"/>
          <w:i/>
          <w:color w:val="363435"/>
          <w:spacing w:val="-2"/>
          <w:sz w:val="24"/>
          <w:szCs w:val="24"/>
        </w:rPr>
        <w:t>t</w:t>
      </w:r>
      <w:r>
        <w:rPr>
          <w:rFonts w:ascii="Cambria" w:eastAsia="Cambria" w:hAnsi="Cambria" w:cs="Cambria"/>
          <w:color w:val="363435"/>
          <w:spacing w:val="-2"/>
          <w:sz w:val="24"/>
          <w:szCs w:val="24"/>
        </w:rPr>
        <w:t xml:space="preserve">. </w:t>
      </w:r>
    </w:p>
    <w:p w:rsidR="006B6FD6" w:rsidRDefault="006B6FD6" w:rsidP="00163EE1">
      <w:pPr>
        <w:tabs>
          <w:tab w:val="right" w:leader="dot" w:pos="7655"/>
        </w:tabs>
        <w:spacing w:before="58" w:line="278" w:lineRule="auto"/>
        <w:ind w:left="142" w:right="237" w:firstLine="567"/>
        <w:jc w:val="both"/>
        <w:rPr>
          <w:rFonts w:ascii="Cambria" w:eastAsia="Cambria" w:hAnsi="Cambria" w:cs="Cambria"/>
          <w:color w:val="363435"/>
          <w:spacing w:val="-2"/>
          <w:sz w:val="24"/>
          <w:szCs w:val="24"/>
        </w:rPr>
      </w:pPr>
    </w:p>
    <w:p w:rsidR="0069715E" w:rsidRDefault="0069715E" w:rsidP="00163EE1">
      <w:pPr>
        <w:tabs>
          <w:tab w:val="right" w:leader="dot" w:pos="7655"/>
        </w:tabs>
        <w:spacing w:before="58" w:line="278" w:lineRule="auto"/>
        <w:ind w:left="142" w:right="237" w:firstLine="567"/>
        <w:jc w:val="both"/>
        <w:rPr>
          <w:rFonts w:ascii="Cambria" w:eastAsia="Cambria" w:hAnsi="Cambria" w:cs="Cambria"/>
          <w:color w:val="363435"/>
          <w:spacing w:val="-2"/>
          <w:sz w:val="24"/>
          <w:szCs w:val="24"/>
        </w:rPr>
      </w:pPr>
    </w:p>
    <w:p w:rsidR="006B6FD6" w:rsidRPr="006E65BB" w:rsidRDefault="006B6FD6" w:rsidP="00163EE1">
      <w:pPr>
        <w:ind w:left="121" w:right="237"/>
        <w:jc w:val="both"/>
        <w:rPr>
          <w:b/>
          <w:sz w:val="24"/>
          <w:szCs w:val="24"/>
        </w:rPr>
      </w:pPr>
      <w:r w:rsidRPr="006E65BB">
        <w:rPr>
          <w:b/>
          <w:sz w:val="24"/>
          <w:szCs w:val="24"/>
        </w:rPr>
        <w:lastRenderedPageBreak/>
        <w:t>Result</w:t>
      </w:r>
      <w:r w:rsidRPr="006E65BB">
        <w:rPr>
          <w:b/>
          <w:spacing w:val="26"/>
          <w:sz w:val="24"/>
          <w:szCs w:val="24"/>
        </w:rPr>
        <w:t xml:space="preserve"> </w:t>
      </w:r>
      <w:r w:rsidRPr="006E65BB">
        <w:rPr>
          <w:b/>
          <w:sz w:val="24"/>
          <w:szCs w:val="24"/>
        </w:rPr>
        <w:t>and</w:t>
      </w:r>
      <w:r w:rsidRPr="006E65BB">
        <w:rPr>
          <w:b/>
          <w:spacing w:val="36"/>
          <w:sz w:val="24"/>
          <w:szCs w:val="24"/>
        </w:rPr>
        <w:t xml:space="preserve"> </w:t>
      </w:r>
      <w:r w:rsidRPr="006E65BB">
        <w:rPr>
          <w:b/>
          <w:spacing w:val="1"/>
          <w:w w:val="96"/>
          <w:sz w:val="24"/>
          <w:szCs w:val="24"/>
        </w:rPr>
        <w:t>D</w:t>
      </w:r>
      <w:r w:rsidRPr="006E65BB">
        <w:rPr>
          <w:b/>
          <w:w w:val="107"/>
          <w:sz w:val="24"/>
          <w:szCs w:val="24"/>
        </w:rPr>
        <w:t>iscussion</w:t>
      </w:r>
    </w:p>
    <w:p w:rsidR="006B6FD6" w:rsidRDefault="003C1BEC" w:rsidP="00163EE1">
      <w:pPr>
        <w:spacing w:before="58" w:line="278" w:lineRule="auto"/>
        <w:ind w:left="142" w:right="237" w:firstLine="567"/>
        <w:jc w:val="both"/>
        <w:rPr>
          <w:sz w:val="24"/>
          <w:szCs w:val="24"/>
        </w:rPr>
      </w:pPr>
      <w:r w:rsidRPr="003C1BEC">
        <w:rPr>
          <w:sz w:val="24"/>
          <w:szCs w:val="24"/>
        </w:rPr>
        <w:t xml:space="preserve">To find out whether there has been a change or difference in the conditions of tourism in Indonesia after the implementation of halal tourism, a different test was carried out with the Paired Test. After being tested, the results show that there are differences before and after </w:t>
      </w:r>
      <w:r w:rsidR="00163EE1">
        <w:rPr>
          <w:sz w:val="24"/>
          <w:szCs w:val="24"/>
        </w:rPr>
        <w:t>the implementation of ha</w:t>
      </w:r>
      <w:r w:rsidRPr="003C1BEC">
        <w:rPr>
          <w:sz w:val="24"/>
          <w:szCs w:val="24"/>
        </w:rPr>
        <w:t>l</w:t>
      </w:r>
      <w:r w:rsidR="00163EE1">
        <w:rPr>
          <w:sz w:val="24"/>
          <w:szCs w:val="24"/>
        </w:rPr>
        <w:t>al</w:t>
      </w:r>
      <w:r w:rsidRPr="003C1BEC">
        <w:rPr>
          <w:sz w:val="24"/>
          <w:szCs w:val="24"/>
        </w:rPr>
        <w:t xml:space="preserve"> tourism in Indonesia. The changes that occur are more tourists visiting Indonesia. This is made clear from the positive coefficient of difference test of </w:t>
      </w:r>
      <w:r w:rsidR="00163EE1">
        <w:rPr>
          <w:sz w:val="24"/>
          <w:szCs w:val="24"/>
        </w:rPr>
        <w:t>Paired t test</w:t>
      </w:r>
      <w:r w:rsidRPr="003C1BEC">
        <w:rPr>
          <w:sz w:val="24"/>
          <w:szCs w:val="24"/>
        </w:rPr>
        <w:t>.</w:t>
      </w:r>
    </w:p>
    <w:p w:rsidR="00163EE1" w:rsidRPr="00B536A6" w:rsidRDefault="00163EE1" w:rsidP="00163EE1">
      <w:pPr>
        <w:ind w:left="426" w:right="237"/>
        <w:jc w:val="center"/>
        <w:rPr>
          <w:rFonts w:ascii="Century Gothic" w:hAnsi="Century Gothic"/>
          <w:color w:val="202124"/>
          <w:lang w:val="id-ID"/>
        </w:rPr>
      </w:pPr>
      <w:r w:rsidRPr="00B536A6">
        <w:rPr>
          <w:rFonts w:ascii="Century Gothic" w:hAnsi="Century Gothic"/>
          <w:color w:val="000000"/>
          <w:lang w:eastAsia="id-ID"/>
        </w:rPr>
        <w:t>Table 1. Result of paired t Test</w:t>
      </w:r>
    </w:p>
    <w:tbl>
      <w:tblPr>
        <w:tblW w:w="8364" w:type="dxa"/>
        <w:tblInd w:w="250" w:type="dxa"/>
        <w:tblBorders>
          <w:top w:val="single" w:sz="4" w:space="0" w:color="auto"/>
          <w:bottom w:val="single" w:sz="4" w:space="0" w:color="auto"/>
        </w:tblBorders>
        <w:tblLook w:val="04A0" w:firstRow="1" w:lastRow="0" w:firstColumn="1" w:lastColumn="0" w:noHBand="0" w:noVBand="1"/>
      </w:tblPr>
      <w:tblGrid>
        <w:gridCol w:w="3412"/>
        <w:gridCol w:w="2117"/>
        <w:gridCol w:w="2835"/>
      </w:tblGrid>
      <w:tr w:rsidR="00163EE1" w:rsidRPr="00393C42" w:rsidTr="006E65BB">
        <w:trPr>
          <w:trHeight w:val="300"/>
        </w:trPr>
        <w:tc>
          <w:tcPr>
            <w:tcW w:w="3412" w:type="dxa"/>
            <w:tcBorders>
              <w:top w:val="single" w:sz="4" w:space="0" w:color="auto"/>
              <w:bottom w:val="single" w:sz="4" w:space="0" w:color="auto"/>
            </w:tcBorders>
            <w:shd w:val="clear" w:color="auto" w:fill="auto"/>
            <w:noWrap/>
            <w:vAlign w:val="bottom"/>
            <w:hideMark/>
          </w:tcPr>
          <w:p w:rsidR="00163EE1" w:rsidRPr="00393C42" w:rsidRDefault="00163EE1" w:rsidP="00163EE1">
            <w:pPr>
              <w:ind w:right="237"/>
              <w:jc w:val="center"/>
              <w:rPr>
                <w:i/>
                <w:iCs/>
                <w:color w:val="000000"/>
                <w:lang w:eastAsia="id-ID"/>
              </w:rPr>
            </w:pPr>
          </w:p>
        </w:tc>
        <w:tc>
          <w:tcPr>
            <w:tcW w:w="2117" w:type="dxa"/>
            <w:tcBorders>
              <w:top w:val="single" w:sz="4" w:space="0" w:color="auto"/>
              <w:bottom w:val="single" w:sz="4" w:space="0" w:color="auto"/>
            </w:tcBorders>
            <w:shd w:val="clear" w:color="auto" w:fill="auto"/>
            <w:noWrap/>
            <w:vAlign w:val="bottom"/>
            <w:hideMark/>
          </w:tcPr>
          <w:p w:rsidR="00163EE1" w:rsidRPr="00B536A6" w:rsidRDefault="00163EE1" w:rsidP="00163EE1">
            <w:pPr>
              <w:ind w:right="237"/>
              <w:jc w:val="center"/>
              <w:rPr>
                <w:i/>
                <w:iCs/>
                <w:color w:val="000000"/>
                <w:sz w:val="18"/>
                <w:szCs w:val="18"/>
                <w:lang w:eastAsia="id-ID"/>
              </w:rPr>
            </w:pPr>
            <w:r w:rsidRPr="00B536A6">
              <w:rPr>
                <w:i/>
                <w:iCs/>
                <w:color w:val="000000"/>
                <w:sz w:val="18"/>
                <w:szCs w:val="18"/>
                <w:lang w:eastAsia="id-ID"/>
              </w:rPr>
              <w:t>Before</w:t>
            </w:r>
          </w:p>
        </w:tc>
        <w:tc>
          <w:tcPr>
            <w:tcW w:w="2835" w:type="dxa"/>
            <w:tcBorders>
              <w:top w:val="single" w:sz="4" w:space="0" w:color="auto"/>
              <w:bottom w:val="single" w:sz="4" w:space="0" w:color="auto"/>
            </w:tcBorders>
            <w:shd w:val="clear" w:color="auto" w:fill="auto"/>
            <w:noWrap/>
            <w:vAlign w:val="bottom"/>
            <w:hideMark/>
          </w:tcPr>
          <w:p w:rsidR="00163EE1" w:rsidRPr="00B536A6" w:rsidRDefault="00163EE1" w:rsidP="00163EE1">
            <w:pPr>
              <w:ind w:right="237"/>
              <w:jc w:val="center"/>
              <w:rPr>
                <w:i/>
                <w:iCs/>
                <w:color w:val="000000"/>
                <w:sz w:val="18"/>
                <w:szCs w:val="18"/>
                <w:lang w:eastAsia="id-ID"/>
              </w:rPr>
            </w:pPr>
            <w:r w:rsidRPr="00B536A6">
              <w:rPr>
                <w:i/>
                <w:iCs/>
                <w:color w:val="000000"/>
                <w:sz w:val="18"/>
                <w:szCs w:val="18"/>
                <w:lang w:eastAsia="id-ID"/>
              </w:rPr>
              <w:t>After</w:t>
            </w:r>
          </w:p>
        </w:tc>
      </w:tr>
      <w:tr w:rsidR="00163EE1" w:rsidRPr="00393C42" w:rsidTr="006E65BB">
        <w:trPr>
          <w:trHeight w:val="300"/>
        </w:trPr>
        <w:tc>
          <w:tcPr>
            <w:tcW w:w="3412" w:type="dxa"/>
            <w:tcBorders>
              <w:top w:val="single" w:sz="4" w:space="0" w:color="auto"/>
            </w:tcBorders>
            <w:shd w:val="clear" w:color="auto" w:fill="auto"/>
            <w:noWrap/>
            <w:vAlign w:val="bottom"/>
            <w:hideMark/>
          </w:tcPr>
          <w:p w:rsidR="00163EE1" w:rsidRPr="00B536A6" w:rsidRDefault="00163EE1" w:rsidP="00163EE1">
            <w:pPr>
              <w:ind w:right="237"/>
              <w:rPr>
                <w:color w:val="000000"/>
                <w:sz w:val="18"/>
                <w:szCs w:val="18"/>
                <w:lang w:eastAsia="id-ID"/>
              </w:rPr>
            </w:pPr>
            <w:r w:rsidRPr="00B536A6">
              <w:rPr>
                <w:color w:val="000000"/>
                <w:sz w:val="18"/>
                <w:szCs w:val="18"/>
                <w:lang w:eastAsia="id-ID"/>
              </w:rPr>
              <w:t>Mean</w:t>
            </w:r>
          </w:p>
        </w:tc>
        <w:tc>
          <w:tcPr>
            <w:tcW w:w="2117" w:type="dxa"/>
            <w:tcBorders>
              <w:top w:val="single" w:sz="4" w:space="0" w:color="auto"/>
            </w:tcBorders>
            <w:shd w:val="clear" w:color="auto" w:fill="auto"/>
            <w:noWrap/>
            <w:vAlign w:val="bottom"/>
            <w:hideMark/>
          </w:tcPr>
          <w:p w:rsidR="00163EE1" w:rsidRPr="00B536A6" w:rsidRDefault="00163EE1" w:rsidP="00163EE1">
            <w:pPr>
              <w:ind w:right="237"/>
              <w:jc w:val="right"/>
              <w:rPr>
                <w:color w:val="000000"/>
                <w:sz w:val="18"/>
                <w:szCs w:val="18"/>
                <w:lang w:eastAsia="id-ID"/>
              </w:rPr>
            </w:pPr>
            <w:r w:rsidRPr="00B536A6">
              <w:rPr>
                <w:color w:val="000000"/>
                <w:sz w:val="18"/>
                <w:szCs w:val="18"/>
                <w:lang w:eastAsia="id-ID"/>
              </w:rPr>
              <w:t>102370583.9</w:t>
            </w:r>
          </w:p>
        </w:tc>
        <w:tc>
          <w:tcPr>
            <w:tcW w:w="2835" w:type="dxa"/>
            <w:tcBorders>
              <w:top w:val="single" w:sz="4" w:space="0" w:color="auto"/>
            </w:tcBorders>
            <w:shd w:val="clear" w:color="auto" w:fill="auto"/>
            <w:noWrap/>
            <w:vAlign w:val="bottom"/>
            <w:hideMark/>
          </w:tcPr>
          <w:p w:rsidR="00163EE1" w:rsidRPr="00B536A6" w:rsidRDefault="00163EE1" w:rsidP="00163EE1">
            <w:pPr>
              <w:ind w:right="237"/>
              <w:jc w:val="right"/>
              <w:rPr>
                <w:color w:val="000000"/>
                <w:sz w:val="18"/>
                <w:szCs w:val="18"/>
                <w:lang w:eastAsia="id-ID"/>
              </w:rPr>
            </w:pPr>
            <w:r w:rsidRPr="00B536A6">
              <w:rPr>
                <w:color w:val="000000"/>
                <w:sz w:val="18"/>
                <w:szCs w:val="18"/>
                <w:lang w:eastAsia="id-ID"/>
              </w:rPr>
              <w:t>117672933,7</w:t>
            </w:r>
          </w:p>
        </w:tc>
      </w:tr>
      <w:tr w:rsidR="00163EE1" w:rsidRPr="00393C42" w:rsidTr="006E65BB">
        <w:trPr>
          <w:trHeight w:val="300"/>
        </w:trPr>
        <w:tc>
          <w:tcPr>
            <w:tcW w:w="3412" w:type="dxa"/>
            <w:shd w:val="clear" w:color="auto" w:fill="auto"/>
            <w:noWrap/>
            <w:vAlign w:val="bottom"/>
            <w:hideMark/>
          </w:tcPr>
          <w:p w:rsidR="00163EE1" w:rsidRPr="00B536A6" w:rsidRDefault="00163EE1" w:rsidP="00163EE1">
            <w:pPr>
              <w:ind w:right="237"/>
              <w:rPr>
                <w:color w:val="000000"/>
                <w:sz w:val="18"/>
                <w:szCs w:val="18"/>
                <w:lang w:eastAsia="id-ID"/>
              </w:rPr>
            </w:pPr>
            <w:r w:rsidRPr="00B536A6">
              <w:rPr>
                <w:color w:val="000000"/>
                <w:sz w:val="18"/>
                <w:szCs w:val="18"/>
                <w:lang w:eastAsia="id-ID"/>
              </w:rPr>
              <w:t>Variance</w:t>
            </w:r>
          </w:p>
        </w:tc>
        <w:tc>
          <w:tcPr>
            <w:tcW w:w="2117" w:type="dxa"/>
            <w:shd w:val="clear" w:color="auto" w:fill="auto"/>
            <w:noWrap/>
            <w:vAlign w:val="bottom"/>
            <w:hideMark/>
          </w:tcPr>
          <w:p w:rsidR="00163EE1" w:rsidRPr="00B536A6" w:rsidRDefault="00163EE1" w:rsidP="00163EE1">
            <w:pPr>
              <w:ind w:right="237"/>
              <w:jc w:val="right"/>
              <w:rPr>
                <w:color w:val="000000"/>
                <w:sz w:val="18"/>
                <w:szCs w:val="18"/>
                <w:lang w:eastAsia="id-ID"/>
              </w:rPr>
            </w:pPr>
            <w:r w:rsidRPr="00B536A6">
              <w:rPr>
                <w:color w:val="000000"/>
                <w:sz w:val="18"/>
                <w:szCs w:val="18"/>
                <w:lang w:eastAsia="id-ID"/>
              </w:rPr>
              <w:t>1,78731E + 14</w:t>
            </w:r>
          </w:p>
        </w:tc>
        <w:tc>
          <w:tcPr>
            <w:tcW w:w="2835" w:type="dxa"/>
            <w:shd w:val="clear" w:color="auto" w:fill="auto"/>
            <w:noWrap/>
            <w:vAlign w:val="bottom"/>
            <w:hideMark/>
          </w:tcPr>
          <w:p w:rsidR="00163EE1" w:rsidRPr="00B536A6" w:rsidRDefault="00163EE1" w:rsidP="00163EE1">
            <w:pPr>
              <w:ind w:right="237"/>
              <w:jc w:val="right"/>
              <w:rPr>
                <w:color w:val="000000"/>
                <w:sz w:val="18"/>
                <w:szCs w:val="18"/>
                <w:lang w:eastAsia="id-ID"/>
              </w:rPr>
            </w:pPr>
            <w:r w:rsidRPr="00B536A6">
              <w:rPr>
                <w:color w:val="000000"/>
                <w:sz w:val="18"/>
                <w:szCs w:val="18"/>
                <w:lang w:eastAsia="id-ID"/>
              </w:rPr>
              <w:t>7,41924E + 13</w:t>
            </w:r>
          </w:p>
        </w:tc>
      </w:tr>
      <w:tr w:rsidR="00163EE1" w:rsidRPr="00393C42" w:rsidTr="006E65BB">
        <w:trPr>
          <w:trHeight w:val="300"/>
        </w:trPr>
        <w:tc>
          <w:tcPr>
            <w:tcW w:w="3412" w:type="dxa"/>
            <w:shd w:val="clear" w:color="auto" w:fill="auto"/>
            <w:noWrap/>
            <w:vAlign w:val="bottom"/>
            <w:hideMark/>
          </w:tcPr>
          <w:p w:rsidR="00163EE1" w:rsidRPr="00B536A6" w:rsidRDefault="00163EE1" w:rsidP="00163EE1">
            <w:pPr>
              <w:ind w:right="237"/>
              <w:rPr>
                <w:color w:val="000000"/>
                <w:sz w:val="18"/>
                <w:szCs w:val="18"/>
                <w:lang w:eastAsia="id-ID"/>
              </w:rPr>
            </w:pPr>
            <w:r w:rsidRPr="00B536A6">
              <w:rPr>
                <w:color w:val="000000"/>
                <w:sz w:val="18"/>
                <w:szCs w:val="18"/>
                <w:lang w:eastAsia="id-ID"/>
              </w:rPr>
              <w:t>Observations</w:t>
            </w:r>
          </w:p>
        </w:tc>
        <w:tc>
          <w:tcPr>
            <w:tcW w:w="2117" w:type="dxa"/>
            <w:shd w:val="clear" w:color="auto" w:fill="auto"/>
            <w:noWrap/>
            <w:vAlign w:val="bottom"/>
            <w:hideMark/>
          </w:tcPr>
          <w:p w:rsidR="00163EE1" w:rsidRPr="00B536A6" w:rsidRDefault="00163EE1" w:rsidP="00163EE1">
            <w:pPr>
              <w:ind w:right="237"/>
              <w:jc w:val="right"/>
              <w:rPr>
                <w:color w:val="000000"/>
                <w:sz w:val="18"/>
                <w:szCs w:val="18"/>
                <w:lang w:eastAsia="id-ID"/>
              </w:rPr>
            </w:pPr>
            <w:r w:rsidRPr="00B536A6">
              <w:rPr>
                <w:color w:val="000000"/>
                <w:sz w:val="18"/>
                <w:szCs w:val="18"/>
                <w:lang w:eastAsia="id-ID"/>
              </w:rPr>
              <w:t>60</w:t>
            </w:r>
          </w:p>
        </w:tc>
        <w:tc>
          <w:tcPr>
            <w:tcW w:w="2835" w:type="dxa"/>
            <w:shd w:val="clear" w:color="auto" w:fill="auto"/>
            <w:noWrap/>
            <w:vAlign w:val="bottom"/>
            <w:hideMark/>
          </w:tcPr>
          <w:p w:rsidR="00163EE1" w:rsidRPr="00B536A6" w:rsidRDefault="00163EE1" w:rsidP="00163EE1">
            <w:pPr>
              <w:ind w:right="237"/>
              <w:jc w:val="right"/>
              <w:rPr>
                <w:color w:val="000000"/>
                <w:sz w:val="18"/>
                <w:szCs w:val="18"/>
                <w:lang w:eastAsia="id-ID"/>
              </w:rPr>
            </w:pPr>
            <w:r w:rsidRPr="00B536A6">
              <w:rPr>
                <w:color w:val="000000"/>
                <w:sz w:val="18"/>
                <w:szCs w:val="18"/>
                <w:lang w:eastAsia="id-ID"/>
              </w:rPr>
              <w:t>60</w:t>
            </w:r>
          </w:p>
        </w:tc>
      </w:tr>
      <w:tr w:rsidR="00163EE1" w:rsidRPr="00393C42" w:rsidTr="006E65BB">
        <w:trPr>
          <w:trHeight w:val="300"/>
        </w:trPr>
        <w:tc>
          <w:tcPr>
            <w:tcW w:w="3412" w:type="dxa"/>
            <w:shd w:val="clear" w:color="auto" w:fill="auto"/>
            <w:noWrap/>
            <w:vAlign w:val="bottom"/>
            <w:hideMark/>
          </w:tcPr>
          <w:p w:rsidR="00163EE1" w:rsidRPr="00B536A6" w:rsidRDefault="00163EE1" w:rsidP="00163EE1">
            <w:pPr>
              <w:ind w:right="237"/>
              <w:rPr>
                <w:color w:val="000000"/>
                <w:sz w:val="18"/>
                <w:szCs w:val="18"/>
                <w:lang w:eastAsia="id-ID"/>
              </w:rPr>
            </w:pPr>
            <w:r w:rsidRPr="00B536A6">
              <w:rPr>
                <w:color w:val="000000"/>
                <w:sz w:val="18"/>
                <w:szCs w:val="18"/>
                <w:lang w:eastAsia="id-ID"/>
              </w:rPr>
              <w:t>Pearson Correlation</w:t>
            </w:r>
          </w:p>
        </w:tc>
        <w:tc>
          <w:tcPr>
            <w:tcW w:w="2117" w:type="dxa"/>
            <w:shd w:val="clear" w:color="auto" w:fill="auto"/>
            <w:noWrap/>
            <w:vAlign w:val="bottom"/>
            <w:hideMark/>
          </w:tcPr>
          <w:p w:rsidR="00163EE1" w:rsidRPr="00B536A6" w:rsidRDefault="00163EE1" w:rsidP="00163EE1">
            <w:pPr>
              <w:ind w:right="237"/>
              <w:jc w:val="right"/>
              <w:rPr>
                <w:color w:val="000000"/>
                <w:sz w:val="18"/>
                <w:szCs w:val="18"/>
                <w:lang w:eastAsia="id-ID"/>
              </w:rPr>
            </w:pPr>
            <w:r w:rsidRPr="00B536A6">
              <w:rPr>
                <w:color w:val="000000"/>
                <w:sz w:val="18"/>
                <w:szCs w:val="18"/>
                <w:lang w:eastAsia="id-ID"/>
              </w:rPr>
              <w:t>0.423873871</w:t>
            </w:r>
          </w:p>
        </w:tc>
        <w:tc>
          <w:tcPr>
            <w:tcW w:w="2835" w:type="dxa"/>
            <w:shd w:val="clear" w:color="auto" w:fill="auto"/>
            <w:noWrap/>
            <w:vAlign w:val="bottom"/>
            <w:hideMark/>
          </w:tcPr>
          <w:p w:rsidR="00163EE1" w:rsidRPr="00B536A6" w:rsidRDefault="00163EE1" w:rsidP="00163EE1">
            <w:pPr>
              <w:ind w:right="237"/>
              <w:rPr>
                <w:color w:val="000000"/>
                <w:sz w:val="18"/>
                <w:szCs w:val="18"/>
                <w:lang w:eastAsia="id-ID"/>
              </w:rPr>
            </w:pPr>
          </w:p>
        </w:tc>
      </w:tr>
      <w:tr w:rsidR="00163EE1" w:rsidRPr="00393C42" w:rsidTr="006E65BB">
        <w:trPr>
          <w:trHeight w:val="300"/>
        </w:trPr>
        <w:tc>
          <w:tcPr>
            <w:tcW w:w="3412" w:type="dxa"/>
            <w:shd w:val="clear" w:color="auto" w:fill="auto"/>
            <w:noWrap/>
            <w:vAlign w:val="bottom"/>
            <w:hideMark/>
          </w:tcPr>
          <w:p w:rsidR="00163EE1" w:rsidRPr="00B536A6" w:rsidRDefault="00163EE1" w:rsidP="00163EE1">
            <w:pPr>
              <w:ind w:right="237"/>
              <w:rPr>
                <w:color w:val="000000"/>
                <w:sz w:val="18"/>
                <w:szCs w:val="18"/>
                <w:lang w:eastAsia="id-ID"/>
              </w:rPr>
            </w:pPr>
            <w:r w:rsidRPr="00B536A6">
              <w:rPr>
                <w:color w:val="000000"/>
                <w:sz w:val="18"/>
                <w:szCs w:val="18"/>
                <w:lang w:eastAsia="id-ID"/>
              </w:rPr>
              <w:t>Hypothesized Mean Difference</w:t>
            </w:r>
          </w:p>
        </w:tc>
        <w:tc>
          <w:tcPr>
            <w:tcW w:w="2117" w:type="dxa"/>
            <w:shd w:val="clear" w:color="auto" w:fill="auto"/>
            <w:noWrap/>
            <w:vAlign w:val="bottom"/>
            <w:hideMark/>
          </w:tcPr>
          <w:p w:rsidR="00163EE1" w:rsidRPr="00B536A6" w:rsidRDefault="00163EE1" w:rsidP="00163EE1">
            <w:pPr>
              <w:ind w:right="237"/>
              <w:jc w:val="right"/>
              <w:rPr>
                <w:color w:val="000000"/>
                <w:sz w:val="18"/>
                <w:szCs w:val="18"/>
                <w:lang w:eastAsia="id-ID"/>
              </w:rPr>
            </w:pPr>
            <w:r w:rsidRPr="00B536A6">
              <w:rPr>
                <w:color w:val="000000"/>
                <w:sz w:val="18"/>
                <w:szCs w:val="18"/>
                <w:lang w:eastAsia="id-ID"/>
              </w:rPr>
              <w:t>0</w:t>
            </w:r>
          </w:p>
        </w:tc>
        <w:tc>
          <w:tcPr>
            <w:tcW w:w="2835" w:type="dxa"/>
            <w:shd w:val="clear" w:color="auto" w:fill="auto"/>
            <w:noWrap/>
            <w:vAlign w:val="bottom"/>
            <w:hideMark/>
          </w:tcPr>
          <w:p w:rsidR="00163EE1" w:rsidRPr="00B536A6" w:rsidRDefault="00163EE1" w:rsidP="00163EE1">
            <w:pPr>
              <w:ind w:right="237"/>
              <w:rPr>
                <w:color w:val="000000"/>
                <w:sz w:val="18"/>
                <w:szCs w:val="18"/>
                <w:lang w:eastAsia="id-ID"/>
              </w:rPr>
            </w:pPr>
          </w:p>
        </w:tc>
      </w:tr>
      <w:tr w:rsidR="00163EE1" w:rsidRPr="00393C42" w:rsidTr="006E65BB">
        <w:trPr>
          <w:trHeight w:val="300"/>
        </w:trPr>
        <w:tc>
          <w:tcPr>
            <w:tcW w:w="3412" w:type="dxa"/>
            <w:shd w:val="clear" w:color="auto" w:fill="auto"/>
            <w:noWrap/>
            <w:vAlign w:val="bottom"/>
            <w:hideMark/>
          </w:tcPr>
          <w:p w:rsidR="00163EE1" w:rsidRPr="00B536A6" w:rsidRDefault="00163EE1" w:rsidP="00163EE1">
            <w:pPr>
              <w:ind w:right="237"/>
              <w:rPr>
                <w:color w:val="000000"/>
                <w:sz w:val="18"/>
                <w:szCs w:val="18"/>
                <w:lang w:eastAsia="id-ID"/>
              </w:rPr>
            </w:pPr>
            <w:r w:rsidRPr="00B536A6">
              <w:rPr>
                <w:color w:val="000000"/>
                <w:sz w:val="18"/>
                <w:szCs w:val="18"/>
                <w:lang w:eastAsia="id-ID"/>
              </w:rPr>
              <w:t>Df</w:t>
            </w:r>
          </w:p>
        </w:tc>
        <w:tc>
          <w:tcPr>
            <w:tcW w:w="2117" w:type="dxa"/>
            <w:shd w:val="clear" w:color="auto" w:fill="auto"/>
            <w:noWrap/>
            <w:vAlign w:val="bottom"/>
            <w:hideMark/>
          </w:tcPr>
          <w:p w:rsidR="00163EE1" w:rsidRPr="00B536A6" w:rsidRDefault="00163EE1" w:rsidP="00163EE1">
            <w:pPr>
              <w:ind w:right="237"/>
              <w:jc w:val="right"/>
              <w:rPr>
                <w:color w:val="000000"/>
                <w:sz w:val="18"/>
                <w:szCs w:val="18"/>
                <w:lang w:eastAsia="id-ID"/>
              </w:rPr>
            </w:pPr>
            <w:r w:rsidRPr="00B536A6">
              <w:rPr>
                <w:color w:val="000000"/>
                <w:sz w:val="18"/>
                <w:szCs w:val="18"/>
                <w:lang w:eastAsia="id-ID"/>
              </w:rPr>
              <w:t>59</w:t>
            </w:r>
          </w:p>
        </w:tc>
        <w:tc>
          <w:tcPr>
            <w:tcW w:w="2835" w:type="dxa"/>
            <w:shd w:val="clear" w:color="auto" w:fill="auto"/>
            <w:noWrap/>
            <w:vAlign w:val="bottom"/>
            <w:hideMark/>
          </w:tcPr>
          <w:p w:rsidR="00163EE1" w:rsidRPr="00B536A6" w:rsidRDefault="00163EE1" w:rsidP="00163EE1">
            <w:pPr>
              <w:ind w:right="237"/>
              <w:rPr>
                <w:color w:val="000000"/>
                <w:sz w:val="18"/>
                <w:szCs w:val="18"/>
                <w:lang w:eastAsia="id-ID"/>
              </w:rPr>
            </w:pPr>
          </w:p>
        </w:tc>
      </w:tr>
      <w:tr w:rsidR="00163EE1" w:rsidRPr="00393C42" w:rsidTr="006E65BB">
        <w:trPr>
          <w:trHeight w:val="300"/>
        </w:trPr>
        <w:tc>
          <w:tcPr>
            <w:tcW w:w="3412" w:type="dxa"/>
            <w:shd w:val="clear" w:color="auto" w:fill="auto"/>
            <w:noWrap/>
            <w:vAlign w:val="bottom"/>
            <w:hideMark/>
          </w:tcPr>
          <w:p w:rsidR="00163EE1" w:rsidRPr="00B536A6" w:rsidRDefault="00163EE1" w:rsidP="00163EE1">
            <w:pPr>
              <w:ind w:right="237"/>
              <w:rPr>
                <w:color w:val="000000"/>
                <w:sz w:val="18"/>
                <w:szCs w:val="18"/>
                <w:lang w:eastAsia="id-ID"/>
              </w:rPr>
            </w:pPr>
            <w:r w:rsidRPr="00B536A6">
              <w:rPr>
                <w:color w:val="000000"/>
                <w:sz w:val="18"/>
                <w:szCs w:val="18"/>
                <w:lang w:eastAsia="id-ID"/>
              </w:rPr>
              <w:t>t Stat</w:t>
            </w:r>
          </w:p>
        </w:tc>
        <w:tc>
          <w:tcPr>
            <w:tcW w:w="2117" w:type="dxa"/>
            <w:shd w:val="clear" w:color="auto" w:fill="auto"/>
            <w:noWrap/>
            <w:vAlign w:val="bottom"/>
            <w:hideMark/>
          </w:tcPr>
          <w:p w:rsidR="00163EE1" w:rsidRPr="00B536A6" w:rsidRDefault="00163EE1" w:rsidP="00163EE1">
            <w:pPr>
              <w:ind w:right="237"/>
              <w:jc w:val="right"/>
              <w:rPr>
                <w:color w:val="000000"/>
                <w:sz w:val="18"/>
                <w:szCs w:val="18"/>
                <w:lang w:eastAsia="id-ID"/>
              </w:rPr>
            </w:pPr>
            <w:r w:rsidRPr="00B536A6">
              <w:rPr>
                <w:color w:val="000000"/>
                <w:sz w:val="18"/>
                <w:szCs w:val="18"/>
                <w:lang w:eastAsia="id-ID"/>
              </w:rPr>
              <w:t>-9.511415505</w:t>
            </w:r>
          </w:p>
        </w:tc>
        <w:tc>
          <w:tcPr>
            <w:tcW w:w="2835" w:type="dxa"/>
            <w:shd w:val="clear" w:color="auto" w:fill="auto"/>
            <w:noWrap/>
            <w:vAlign w:val="bottom"/>
            <w:hideMark/>
          </w:tcPr>
          <w:p w:rsidR="00163EE1" w:rsidRPr="00B536A6" w:rsidRDefault="00163EE1" w:rsidP="00163EE1">
            <w:pPr>
              <w:ind w:right="237"/>
              <w:rPr>
                <w:color w:val="000000"/>
                <w:sz w:val="18"/>
                <w:szCs w:val="18"/>
                <w:lang w:eastAsia="id-ID"/>
              </w:rPr>
            </w:pPr>
          </w:p>
        </w:tc>
      </w:tr>
      <w:tr w:rsidR="00163EE1" w:rsidRPr="00393C42" w:rsidTr="006E65BB">
        <w:trPr>
          <w:trHeight w:val="300"/>
        </w:trPr>
        <w:tc>
          <w:tcPr>
            <w:tcW w:w="3412" w:type="dxa"/>
            <w:shd w:val="clear" w:color="auto" w:fill="auto"/>
            <w:noWrap/>
            <w:vAlign w:val="bottom"/>
            <w:hideMark/>
          </w:tcPr>
          <w:p w:rsidR="00163EE1" w:rsidRPr="00B536A6" w:rsidRDefault="00163EE1" w:rsidP="00163EE1">
            <w:pPr>
              <w:ind w:right="237"/>
              <w:rPr>
                <w:color w:val="000000"/>
                <w:sz w:val="18"/>
                <w:szCs w:val="18"/>
                <w:lang w:eastAsia="id-ID"/>
              </w:rPr>
            </w:pPr>
            <w:r w:rsidRPr="00B536A6">
              <w:rPr>
                <w:color w:val="000000"/>
                <w:sz w:val="18"/>
                <w:szCs w:val="18"/>
                <w:lang w:eastAsia="id-ID"/>
              </w:rPr>
              <w:t>P (T &lt;= t) one-tail</w:t>
            </w:r>
          </w:p>
        </w:tc>
        <w:tc>
          <w:tcPr>
            <w:tcW w:w="2117" w:type="dxa"/>
            <w:shd w:val="clear" w:color="auto" w:fill="auto"/>
            <w:noWrap/>
            <w:vAlign w:val="bottom"/>
            <w:hideMark/>
          </w:tcPr>
          <w:p w:rsidR="00163EE1" w:rsidRPr="00B536A6" w:rsidRDefault="00163EE1" w:rsidP="00163EE1">
            <w:pPr>
              <w:ind w:right="237"/>
              <w:jc w:val="right"/>
              <w:rPr>
                <w:color w:val="000000"/>
                <w:sz w:val="18"/>
                <w:szCs w:val="18"/>
                <w:lang w:eastAsia="id-ID"/>
              </w:rPr>
            </w:pPr>
            <w:r w:rsidRPr="00B536A6">
              <w:rPr>
                <w:color w:val="000000"/>
                <w:sz w:val="18"/>
                <w:szCs w:val="18"/>
                <w:lang w:eastAsia="id-ID"/>
              </w:rPr>
              <w:t>8,11311E-14</w:t>
            </w:r>
          </w:p>
        </w:tc>
        <w:tc>
          <w:tcPr>
            <w:tcW w:w="2835" w:type="dxa"/>
            <w:shd w:val="clear" w:color="auto" w:fill="auto"/>
            <w:noWrap/>
            <w:vAlign w:val="bottom"/>
            <w:hideMark/>
          </w:tcPr>
          <w:p w:rsidR="00163EE1" w:rsidRPr="00B536A6" w:rsidRDefault="00163EE1" w:rsidP="00163EE1">
            <w:pPr>
              <w:ind w:right="237"/>
              <w:rPr>
                <w:color w:val="000000"/>
                <w:sz w:val="18"/>
                <w:szCs w:val="18"/>
                <w:lang w:eastAsia="id-ID"/>
              </w:rPr>
            </w:pPr>
          </w:p>
        </w:tc>
      </w:tr>
      <w:tr w:rsidR="00163EE1" w:rsidRPr="00393C42" w:rsidTr="006E65BB">
        <w:trPr>
          <w:trHeight w:val="300"/>
        </w:trPr>
        <w:tc>
          <w:tcPr>
            <w:tcW w:w="3412" w:type="dxa"/>
            <w:shd w:val="clear" w:color="auto" w:fill="auto"/>
            <w:noWrap/>
            <w:vAlign w:val="bottom"/>
            <w:hideMark/>
          </w:tcPr>
          <w:p w:rsidR="00163EE1" w:rsidRPr="00B536A6" w:rsidRDefault="00163EE1" w:rsidP="00163EE1">
            <w:pPr>
              <w:ind w:right="237"/>
              <w:rPr>
                <w:color w:val="000000"/>
                <w:sz w:val="18"/>
                <w:szCs w:val="18"/>
                <w:lang w:eastAsia="id-ID"/>
              </w:rPr>
            </w:pPr>
            <w:r w:rsidRPr="00B536A6">
              <w:rPr>
                <w:color w:val="000000"/>
                <w:sz w:val="18"/>
                <w:szCs w:val="18"/>
                <w:lang w:eastAsia="id-ID"/>
              </w:rPr>
              <w:t>t Critical one-tail</w:t>
            </w:r>
          </w:p>
        </w:tc>
        <w:tc>
          <w:tcPr>
            <w:tcW w:w="2117" w:type="dxa"/>
            <w:shd w:val="clear" w:color="auto" w:fill="auto"/>
            <w:noWrap/>
            <w:vAlign w:val="bottom"/>
            <w:hideMark/>
          </w:tcPr>
          <w:p w:rsidR="00163EE1" w:rsidRPr="00B536A6" w:rsidRDefault="00163EE1" w:rsidP="00163EE1">
            <w:pPr>
              <w:ind w:right="237"/>
              <w:jc w:val="right"/>
              <w:rPr>
                <w:color w:val="000000"/>
                <w:sz w:val="18"/>
                <w:szCs w:val="18"/>
                <w:lang w:eastAsia="id-ID"/>
              </w:rPr>
            </w:pPr>
            <w:r w:rsidRPr="00B536A6">
              <w:rPr>
                <w:color w:val="000000"/>
                <w:sz w:val="18"/>
                <w:szCs w:val="18"/>
                <w:lang w:eastAsia="id-ID"/>
              </w:rPr>
              <w:t>1.671093032</w:t>
            </w:r>
          </w:p>
        </w:tc>
        <w:tc>
          <w:tcPr>
            <w:tcW w:w="2835" w:type="dxa"/>
            <w:shd w:val="clear" w:color="auto" w:fill="auto"/>
            <w:noWrap/>
            <w:vAlign w:val="bottom"/>
            <w:hideMark/>
          </w:tcPr>
          <w:p w:rsidR="00163EE1" w:rsidRPr="00B536A6" w:rsidRDefault="00163EE1" w:rsidP="00163EE1">
            <w:pPr>
              <w:ind w:right="237"/>
              <w:rPr>
                <w:color w:val="000000"/>
                <w:sz w:val="18"/>
                <w:szCs w:val="18"/>
                <w:lang w:eastAsia="id-ID"/>
              </w:rPr>
            </w:pPr>
          </w:p>
        </w:tc>
      </w:tr>
      <w:tr w:rsidR="00163EE1" w:rsidRPr="00393C42" w:rsidTr="006E65BB">
        <w:trPr>
          <w:trHeight w:val="300"/>
        </w:trPr>
        <w:tc>
          <w:tcPr>
            <w:tcW w:w="3412" w:type="dxa"/>
            <w:shd w:val="clear" w:color="auto" w:fill="auto"/>
            <w:noWrap/>
            <w:vAlign w:val="bottom"/>
            <w:hideMark/>
          </w:tcPr>
          <w:p w:rsidR="00163EE1" w:rsidRPr="00B536A6" w:rsidRDefault="00163EE1" w:rsidP="00163EE1">
            <w:pPr>
              <w:ind w:right="237"/>
              <w:rPr>
                <w:color w:val="000000"/>
                <w:sz w:val="18"/>
                <w:szCs w:val="18"/>
                <w:lang w:eastAsia="id-ID"/>
              </w:rPr>
            </w:pPr>
            <w:r w:rsidRPr="00B536A6">
              <w:rPr>
                <w:color w:val="000000"/>
                <w:sz w:val="18"/>
                <w:szCs w:val="18"/>
                <w:lang w:eastAsia="id-ID"/>
              </w:rPr>
              <w:t>P (T &lt;= t) two-tail</w:t>
            </w:r>
          </w:p>
        </w:tc>
        <w:tc>
          <w:tcPr>
            <w:tcW w:w="2117" w:type="dxa"/>
            <w:shd w:val="clear" w:color="auto" w:fill="auto"/>
            <w:noWrap/>
            <w:vAlign w:val="bottom"/>
            <w:hideMark/>
          </w:tcPr>
          <w:p w:rsidR="00163EE1" w:rsidRPr="00B536A6" w:rsidRDefault="00163EE1" w:rsidP="00163EE1">
            <w:pPr>
              <w:ind w:right="237"/>
              <w:jc w:val="right"/>
              <w:rPr>
                <w:color w:val="000000"/>
                <w:sz w:val="18"/>
                <w:szCs w:val="18"/>
                <w:lang w:eastAsia="id-ID"/>
              </w:rPr>
            </w:pPr>
            <w:r w:rsidRPr="00B536A6">
              <w:rPr>
                <w:color w:val="000000"/>
                <w:sz w:val="18"/>
                <w:szCs w:val="18"/>
                <w:lang w:eastAsia="id-ID"/>
              </w:rPr>
              <w:t>1,62262E-13</w:t>
            </w:r>
          </w:p>
        </w:tc>
        <w:tc>
          <w:tcPr>
            <w:tcW w:w="2835" w:type="dxa"/>
            <w:shd w:val="clear" w:color="auto" w:fill="auto"/>
            <w:noWrap/>
            <w:vAlign w:val="bottom"/>
            <w:hideMark/>
          </w:tcPr>
          <w:p w:rsidR="00163EE1" w:rsidRPr="00B536A6" w:rsidRDefault="00163EE1" w:rsidP="00163EE1">
            <w:pPr>
              <w:ind w:right="237"/>
              <w:rPr>
                <w:color w:val="000000"/>
                <w:sz w:val="18"/>
                <w:szCs w:val="18"/>
                <w:lang w:eastAsia="id-ID"/>
              </w:rPr>
            </w:pPr>
          </w:p>
        </w:tc>
      </w:tr>
      <w:tr w:rsidR="00163EE1" w:rsidRPr="00393C42" w:rsidTr="006E65BB">
        <w:trPr>
          <w:trHeight w:val="315"/>
        </w:trPr>
        <w:tc>
          <w:tcPr>
            <w:tcW w:w="3412" w:type="dxa"/>
            <w:shd w:val="clear" w:color="auto" w:fill="auto"/>
            <w:noWrap/>
            <w:vAlign w:val="bottom"/>
            <w:hideMark/>
          </w:tcPr>
          <w:p w:rsidR="00163EE1" w:rsidRPr="00B536A6" w:rsidRDefault="00163EE1" w:rsidP="00163EE1">
            <w:pPr>
              <w:ind w:right="237"/>
              <w:rPr>
                <w:color w:val="000000"/>
                <w:sz w:val="18"/>
                <w:szCs w:val="18"/>
                <w:lang w:eastAsia="id-ID"/>
              </w:rPr>
            </w:pPr>
            <w:r w:rsidRPr="00B536A6">
              <w:rPr>
                <w:color w:val="000000"/>
                <w:sz w:val="18"/>
                <w:szCs w:val="18"/>
                <w:lang w:eastAsia="id-ID"/>
              </w:rPr>
              <w:t>t Critical two-tail</w:t>
            </w:r>
          </w:p>
        </w:tc>
        <w:tc>
          <w:tcPr>
            <w:tcW w:w="2117" w:type="dxa"/>
            <w:shd w:val="clear" w:color="auto" w:fill="auto"/>
            <w:noWrap/>
            <w:vAlign w:val="bottom"/>
            <w:hideMark/>
          </w:tcPr>
          <w:p w:rsidR="00163EE1" w:rsidRPr="00B536A6" w:rsidRDefault="00163EE1" w:rsidP="00163EE1">
            <w:pPr>
              <w:ind w:right="237"/>
              <w:jc w:val="right"/>
              <w:rPr>
                <w:color w:val="000000"/>
                <w:sz w:val="18"/>
                <w:szCs w:val="18"/>
                <w:lang w:eastAsia="id-ID"/>
              </w:rPr>
            </w:pPr>
            <w:r w:rsidRPr="00B536A6">
              <w:rPr>
                <w:color w:val="000000"/>
                <w:sz w:val="18"/>
                <w:szCs w:val="18"/>
                <w:lang w:eastAsia="id-ID"/>
              </w:rPr>
              <w:t>2,000995378</w:t>
            </w:r>
          </w:p>
        </w:tc>
        <w:tc>
          <w:tcPr>
            <w:tcW w:w="2835" w:type="dxa"/>
            <w:shd w:val="clear" w:color="auto" w:fill="auto"/>
            <w:noWrap/>
            <w:vAlign w:val="bottom"/>
            <w:hideMark/>
          </w:tcPr>
          <w:p w:rsidR="00163EE1" w:rsidRPr="00B536A6" w:rsidRDefault="00163EE1" w:rsidP="00163EE1">
            <w:pPr>
              <w:ind w:right="237"/>
              <w:rPr>
                <w:color w:val="000000"/>
                <w:sz w:val="18"/>
                <w:szCs w:val="18"/>
                <w:lang w:eastAsia="id-ID"/>
              </w:rPr>
            </w:pPr>
          </w:p>
        </w:tc>
      </w:tr>
    </w:tbl>
    <w:p w:rsidR="00163EE1" w:rsidRDefault="00163EE1" w:rsidP="00163EE1">
      <w:pPr>
        <w:spacing w:before="58" w:line="278" w:lineRule="auto"/>
        <w:ind w:left="142" w:right="237" w:firstLine="567"/>
        <w:jc w:val="both"/>
        <w:rPr>
          <w:sz w:val="24"/>
          <w:szCs w:val="24"/>
        </w:rPr>
      </w:pPr>
    </w:p>
    <w:p w:rsidR="00163EE1" w:rsidRPr="00B536A6" w:rsidRDefault="00163EE1" w:rsidP="00163EE1">
      <w:pPr>
        <w:spacing w:before="58" w:line="278" w:lineRule="auto"/>
        <w:ind w:left="142" w:right="237" w:firstLine="567"/>
        <w:jc w:val="both"/>
        <w:rPr>
          <w:b/>
          <w:sz w:val="24"/>
          <w:szCs w:val="24"/>
        </w:rPr>
      </w:pPr>
      <w:r w:rsidRPr="00B536A6">
        <w:rPr>
          <w:sz w:val="24"/>
          <w:szCs w:val="24"/>
        </w:rPr>
        <w:t>Table 1 explains that the average value before the implementation of halal tourism is equal to</w:t>
      </w:r>
      <w:r w:rsidRPr="00B536A6">
        <w:rPr>
          <w:color w:val="000000"/>
          <w:sz w:val="24"/>
          <w:szCs w:val="24"/>
          <w:lang w:eastAsia="id-ID"/>
        </w:rPr>
        <w:t>102370583.9 and after the implementation of halal tourism it became 117672933.7, so there was a descriptive increase. The results of the variance are much different, respectively 1.78 and 7.41 with the number of observations used as many as 60, so that the degree of freedom (df) is 60-1 is 59. In addition, there is a descriptive Pearson correlation of 0.42 which means that there is a relationship for each variable. Based on</w:t>
      </w:r>
      <w:r w:rsidRPr="00B536A6">
        <w:rPr>
          <w:sz w:val="24"/>
          <w:szCs w:val="24"/>
        </w:rPr>
        <w:t>the value of t count which is equal to 9.5114 is greater than the t table value of 2.0000 which means that H0 is rejected and H1 is accepted which means that foreign exchange reserves in Indonesia before the implementation of halal tourism are not the same as after the implementation of halal tourism. Or in other words, the implementation of halal tourism contributes to foreign exchange reserves in Indonesia.</w:t>
      </w:r>
    </w:p>
    <w:p w:rsidR="00163EE1" w:rsidRPr="00455F7B" w:rsidRDefault="00163EE1" w:rsidP="00163EE1">
      <w:pPr>
        <w:spacing w:before="58" w:line="278" w:lineRule="auto"/>
        <w:ind w:left="142" w:right="237" w:firstLine="567"/>
        <w:jc w:val="both"/>
        <w:rPr>
          <w:sz w:val="24"/>
          <w:szCs w:val="24"/>
        </w:rPr>
      </w:pPr>
    </w:p>
    <w:p w:rsidR="00163EE1" w:rsidRPr="00B536A6" w:rsidRDefault="00163EE1" w:rsidP="00163EE1">
      <w:pPr>
        <w:jc w:val="center"/>
        <w:rPr>
          <w:rFonts w:ascii="Century Gothic" w:hAnsi="Century Gothic"/>
          <w:lang w:val="id-ID"/>
        </w:rPr>
      </w:pPr>
      <w:r w:rsidRPr="00B536A6">
        <w:rPr>
          <w:rFonts w:ascii="Century Gothic" w:hAnsi="Century Gothic"/>
        </w:rPr>
        <w:t>Table 2. Result of Unit Root Test with Augmented Dickey-Fuller (ADF) in level</w:t>
      </w:r>
    </w:p>
    <w:tbl>
      <w:tblPr>
        <w:tblW w:w="8491" w:type="dxa"/>
        <w:jc w:val="center"/>
        <w:tblBorders>
          <w:top w:val="single" w:sz="4" w:space="0" w:color="auto"/>
          <w:bottom w:val="single" w:sz="4" w:space="0" w:color="auto"/>
        </w:tblBorders>
        <w:tblLayout w:type="fixed"/>
        <w:tblLook w:val="04A0" w:firstRow="1" w:lastRow="0" w:firstColumn="1" w:lastColumn="0" w:noHBand="0" w:noVBand="1"/>
      </w:tblPr>
      <w:tblGrid>
        <w:gridCol w:w="1270"/>
        <w:gridCol w:w="1191"/>
        <w:gridCol w:w="1355"/>
        <w:gridCol w:w="1238"/>
        <w:gridCol w:w="1314"/>
        <w:gridCol w:w="952"/>
        <w:gridCol w:w="963"/>
        <w:gridCol w:w="208"/>
      </w:tblGrid>
      <w:tr w:rsidR="00163EE1" w:rsidRPr="000A2EAF" w:rsidTr="006E65BB">
        <w:trPr>
          <w:jc w:val="center"/>
        </w:trPr>
        <w:tc>
          <w:tcPr>
            <w:tcW w:w="1270" w:type="dxa"/>
            <w:vMerge w:val="restart"/>
            <w:tcBorders>
              <w:top w:val="single" w:sz="4" w:space="0" w:color="auto"/>
              <w:bottom w:val="nil"/>
            </w:tcBorders>
            <w:shd w:val="clear" w:color="auto" w:fill="auto"/>
            <w:vAlign w:val="center"/>
          </w:tcPr>
          <w:p w:rsidR="00163EE1" w:rsidRPr="00B536A6" w:rsidRDefault="00163EE1" w:rsidP="006E65BB">
            <w:pPr>
              <w:rPr>
                <w:rFonts w:eastAsia="Calibri"/>
                <w:b/>
                <w:sz w:val="18"/>
                <w:szCs w:val="18"/>
              </w:rPr>
            </w:pPr>
            <w:r w:rsidRPr="00B536A6">
              <w:rPr>
                <w:rFonts w:eastAsia="Calibri"/>
                <w:b/>
                <w:sz w:val="18"/>
                <w:szCs w:val="18"/>
              </w:rPr>
              <w:t>Variable</w:t>
            </w:r>
          </w:p>
        </w:tc>
        <w:tc>
          <w:tcPr>
            <w:tcW w:w="1191" w:type="dxa"/>
            <w:vMerge w:val="restart"/>
            <w:tcBorders>
              <w:top w:val="single" w:sz="4" w:space="0" w:color="auto"/>
              <w:bottom w:val="nil"/>
              <w:right w:val="nil"/>
            </w:tcBorders>
            <w:shd w:val="clear" w:color="auto" w:fill="auto"/>
          </w:tcPr>
          <w:p w:rsidR="00163EE1" w:rsidRPr="00B536A6" w:rsidRDefault="00163EE1" w:rsidP="006E65BB">
            <w:pPr>
              <w:rPr>
                <w:rFonts w:eastAsia="Calibri"/>
                <w:b/>
                <w:sz w:val="18"/>
                <w:szCs w:val="18"/>
              </w:rPr>
            </w:pPr>
            <w:r w:rsidRPr="00B536A6">
              <w:rPr>
                <w:rFonts w:eastAsia="Calibri"/>
                <w:b/>
                <w:sz w:val="18"/>
                <w:szCs w:val="18"/>
              </w:rPr>
              <w:t>ADF statistics</w:t>
            </w:r>
          </w:p>
        </w:tc>
        <w:tc>
          <w:tcPr>
            <w:tcW w:w="3907" w:type="dxa"/>
            <w:gridSpan w:val="3"/>
            <w:tcBorders>
              <w:top w:val="single" w:sz="4" w:space="0" w:color="auto"/>
              <w:left w:val="nil"/>
              <w:bottom w:val="nil"/>
            </w:tcBorders>
            <w:shd w:val="clear" w:color="auto" w:fill="auto"/>
            <w:vAlign w:val="center"/>
          </w:tcPr>
          <w:p w:rsidR="00163EE1" w:rsidRPr="00B536A6" w:rsidRDefault="00163EE1" w:rsidP="006E65BB">
            <w:pPr>
              <w:jc w:val="center"/>
              <w:rPr>
                <w:rFonts w:eastAsia="Calibri"/>
                <w:b/>
                <w:sz w:val="18"/>
                <w:szCs w:val="18"/>
              </w:rPr>
            </w:pPr>
            <w:r w:rsidRPr="00B536A6">
              <w:rPr>
                <w:rFonts w:eastAsia="Calibri"/>
                <w:b/>
                <w:sz w:val="18"/>
                <w:szCs w:val="18"/>
              </w:rPr>
              <w:t>ADF critical value</w:t>
            </w:r>
          </w:p>
        </w:tc>
        <w:tc>
          <w:tcPr>
            <w:tcW w:w="952" w:type="dxa"/>
            <w:vMerge w:val="restart"/>
            <w:tcBorders>
              <w:top w:val="single" w:sz="4" w:space="0" w:color="auto"/>
              <w:bottom w:val="nil"/>
            </w:tcBorders>
            <w:shd w:val="clear" w:color="auto" w:fill="auto"/>
            <w:vAlign w:val="center"/>
          </w:tcPr>
          <w:p w:rsidR="00163EE1" w:rsidRPr="00B536A6" w:rsidRDefault="00163EE1" w:rsidP="006E65BB">
            <w:pPr>
              <w:rPr>
                <w:rFonts w:eastAsia="Calibri"/>
                <w:b/>
                <w:sz w:val="18"/>
                <w:szCs w:val="18"/>
                <w:lang w:val="id-ID"/>
              </w:rPr>
            </w:pPr>
            <w:r w:rsidRPr="00B536A6">
              <w:rPr>
                <w:rFonts w:eastAsia="Calibri"/>
                <w:b/>
                <w:sz w:val="18"/>
                <w:szCs w:val="18"/>
              </w:rPr>
              <w:t>Prob</w:t>
            </w:r>
          </w:p>
        </w:tc>
        <w:tc>
          <w:tcPr>
            <w:tcW w:w="1171" w:type="dxa"/>
            <w:gridSpan w:val="2"/>
            <w:tcBorders>
              <w:top w:val="single" w:sz="4" w:space="0" w:color="auto"/>
              <w:bottom w:val="nil"/>
            </w:tcBorders>
            <w:shd w:val="clear" w:color="auto" w:fill="auto"/>
            <w:vAlign w:val="center"/>
          </w:tcPr>
          <w:p w:rsidR="00163EE1" w:rsidRPr="00B536A6" w:rsidRDefault="00163EE1" w:rsidP="006E65BB">
            <w:pPr>
              <w:ind w:left="-138"/>
              <w:rPr>
                <w:rFonts w:eastAsia="Calibri"/>
                <w:b/>
                <w:sz w:val="18"/>
                <w:szCs w:val="18"/>
              </w:rPr>
            </w:pPr>
            <w:r w:rsidRPr="00B536A6">
              <w:rPr>
                <w:rFonts w:eastAsia="Calibri"/>
                <w:b/>
                <w:sz w:val="18"/>
                <w:szCs w:val="18"/>
              </w:rPr>
              <w:t>Decision</w:t>
            </w:r>
          </w:p>
        </w:tc>
      </w:tr>
      <w:tr w:rsidR="00163EE1" w:rsidRPr="00B536A6" w:rsidTr="006E65BB">
        <w:trPr>
          <w:gridAfter w:val="1"/>
          <w:wAfter w:w="208" w:type="dxa"/>
          <w:jc w:val="center"/>
        </w:trPr>
        <w:tc>
          <w:tcPr>
            <w:tcW w:w="1270" w:type="dxa"/>
            <w:vMerge/>
            <w:tcBorders>
              <w:bottom w:val="nil"/>
            </w:tcBorders>
            <w:shd w:val="clear" w:color="auto" w:fill="auto"/>
          </w:tcPr>
          <w:p w:rsidR="00163EE1" w:rsidRPr="00B536A6" w:rsidRDefault="00163EE1" w:rsidP="006E65BB">
            <w:pPr>
              <w:rPr>
                <w:rFonts w:eastAsia="Calibri"/>
                <w:b/>
                <w:sz w:val="18"/>
                <w:szCs w:val="18"/>
              </w:rPr>
            </w:pPr>
          </w:p>
        </w:tc>
        <w:tc>
          <w:tcPr>
            <w:tcW w:w="1191" w:type="dxa"/>
            <w:vMerge/>
            <w:tcBorders>
              <w:bottom w:val="nil"/>
              <w:right w:val="nil"/>
            </w:tcBorders>
            <w:shd w:val="clear" w:color="auto" w:fill="auto"/>
          </w:tcPr>
          <w:p w:rsidR="00163EE1" w:rsidRPr="00B536A6" w:rsidRDefault="00163EE1" w:rsidP="006E65BB">
            <w:pPr>
              <w:rPr>
                <w:rFonts w:eastAsia="Calibri"/>
                <w:b/>
                <w:sz w:val="18"/>
                <w:szCs w:val="18"/>
              </w:rPr>
            </w:pPr>
          </w:p>
        </w:tc>
        <w:tc>
          <w:tcPr>
            <w:tcW w:w="1355" w:type="dxa"/>
            <w:tcBorders>
              <w:top w:val="single" w:sz="4" w:space="0" w:color="auto"/>
              <w:left w:val="nil"/>
              <w:bottom w:val="nil"/>
            </w:tcBorders>
            <w:shd w:val="clear" w:color="auto" w:fill="auto"/>
            <w:vAlign w:val="center"/>
          </w:tcPr>
          <w:p w:rsidR="00163EE1" w:rsidRPr="00B536A6" w:rsidRDefault="00163EE1" w:rsidP="006E65BB">
            <w:pPr>
              <w:jc w:val="center"/>
              <w:rPr>
                <w:rFonts w:eastAsia="Calibri"/>
                <w:b/>
                <w:sz w:val="18"/>
                <w:szCs w:val="18"/>
              </w:rPr>
            </w:pPr>
            <w:r w:rsidRPr="00B536A6">
              <w:rPr>
                <w:rFonts w:eastAsia="Calibri"/>
                <w:b/>
                <w:sz w:val="18"/>
                <w:szCs w:val="18"/>
              </w:rPr>
              <w:t>1%</w:t>
            </w:r>
          </w:p>
        </w:tc>
        <w:tc>
          <w:tcPr>
            <w:tcW w:w="1238" w:type="dxa"/>
            <w:tcBorders>
              <w:top w:val="single" w:sz="4" w:space="0" w:color="auto"/>
              <w:bottom w:val="nil"/>
            </w:tcBorders>
            <w:shd w:val="clear" w:color="auto" w:fill="auto"/>
            <w:vAlign w:val="center"/>
          </w:tcPr>
          <w:p w:rsidR="00163EE1" w:rsidRPr="00B536A6" w:rsidRDefault="00163EE1" w:rsidP="006E65BB">
            <w:pPr>
              <w:jc w:val="center"/>
              <w:rPr>
                <w:rFonts w:eastAsia="Calibri"/>
                <w:b/>
                <w:sz w:val="18"/>
                <w:szCs w:val="18"/>
              </w:rPr>
            </w:pPr>
            <w:r w:rsidRPr="00B536A6">
              <w:rPr>
                <w:rFonts w:eastAsia="Calibri"/>
                <w:b/>
                <w:sz w:val="18"/>
                <w:szCs w:val="18"/>
              </w:rPr>
              <w:t>5%</w:t>
            </w:r>
          </w:p>
        </w:tc>
        <w:tc>
          <w:tcPr>
            <w:tcW w:w="1314" w:type="dxa"/>
            <w:tcBorders>
              <w:top w:val="single" w:sz="4" w:space="0" w:color="auto"/>
              <w:bottom w:val="nil"/>
            </w:tcBorders>
            <w:shd w:val="clear" w:color="auto" w:fill="auto"/>
            <w:vAlign w:val="center"/>
          </w:tcPr>
          <w:p w:rsidR="00163EE1" w:rsidRPr="00B536A6" w:rsidRDefault="00163EE1" w:rsidP="006E65BB">
            <w:pPr>
              <w:jc w:val="center"/>
              <w:rPr>
                <w:rFonts w:eastAsia="Calibri"/>
                <w:b/>
                <w:sz w:val="18"/>
                <w:szCs w:val="18"/>
              </w:rPr>
            </w:pPr>
            <w:r w:rsidRPr="00B536A6">
              <w:rPr>
                <w:rFonts w:eastAsia="Calibri"/>
                <w:b/>
                <w:sz w:val="18"/>
                <w:szCs w:val="18"/>
              </w:rPr>
              <w:t>10%</w:t>
            </w:r>
          </w:p>
        </w:tc>
        <w:tc>
          <w:tcPr>
            <w:tcW w:w="952" w:type="dxa"/>
            <w:vMerge/>
            <w:tcBorders>
              <w:bottom w:val="nil"/>
            </w:tcBorders>
            <w:shd w:val="clear" w:color="auto" w:fill="auto"/>
          </w:tcPr>
          <w:p w:rsidR="00163EE1" w:rsidRPr="00B536A6" w:rsidRDefault="00163EE1" w:rsidP="006E65BB">
            <w:pPr>
              <w:rPr>
                <w:rFonts w:eastAsia="Calibri"/>
                <w:b/>
                <w:sz w:val="18"/>
                <w:szCs w:val="18"/>
              </w:rPr>
            </w:pPr>
          </w:p>
        </w:tc>
        <w:tc>
          <w:tcPr>
            <w:tcW w:w="963" w:type="dxa"/>
            <w:tcBorders>
              <w:bottom w:val="nil"/>
            </w:tcBorders>
            <w:shd w:val="clear" w:color="auto" w:fill="auto"/>
          </w:tcPr>
          <w:p w:rsidR="00163EE1" w:rsidRPr="00B536A6" w:rsidRDefault="00163EE1" w:rsidP="006E65BB">
            <w:pPr>
              <w:rPr>
                <w:rFonts w:eastAsia="Calibri"/>
                <w:b/>
                <w:sz w:val="18"/>
                <w:szCs w:val="18"/>
              </w:rPr>
            </w:pPr>
          </w:p>
        </w:tc>
      </w:tr>
      <w:tr w:rsidR="00163EE1" w:rsidRPr="000A2EAF" w:rsidTr="00163EE1">
        <w:trPr>
          <w:trHeight w:val="281"/>
          <w:jc w:val="center"/>
        </w:trPr>
        <w:tc>
          <w:tcPr>
            <w:tcW w:w="1270" w:type="dxa"/>
            <w:tcBorders>
              <w:top w:val="single" w:sz="4" w:space="0" w:color="auto"/>
              <w:bottom w:val="nil"/>
            </w:tcBorders>
            <w:shd w:val="clear" w:color="auto" w:fill="auto"/>
          </w:tcPr>
          <w:p w:rsidR="00163EE1" w:rsidRPr="00B536A6" w:rsidRDefault="00163EE1" w:rsidP="006E65BB">
            <w:pPr>
              <w:rPr>
                <w:rFonts w:eastAsia="Calibri"/>
                <w:sz w:val="18"/>
                <w:szCs w:val="18"/>
              </w:rPr>
            </w:pPr>
            <w:r w:rsidRPr="00B536A6">
              <w:rPr>
                <w:rFonts w:eastAsia="Calibri"/>
                <w:sz w:val="18"/>
                <w:szCs w:val="18"/>
              </w:rPr>
              <w:t>FER</w:t>
            </w:r>
          </w:p>
        </w:tc>
        <w:tc>
          <w:tcPr>
            <w:tcW w:w="1191" w:type="dxa"/>
            <w:tcBorders>
              <w:top w:val="single" w:sz="4" w:space="0" w:color="auto"/>
              <w:bottom w:val="nil"/>
            </w:tcBorders>
            <w:shd w:val="clear" w:color="auto" w:fill="auto"/>
          </w:tcPr>
          <w:p w:rsidR="00163EE1" w:rsidRPr="00B536A6" w:rsidRDefault="00163EE1" w:rsidP="006E65BB">
            <w:pPr>
              <w:rPr>
                <w:rFonts w:eastAsia="Calibri"/>
                <w:sz w:val="18"/>
                <w:szCs w:val="18"/>
              </w:rPr>
            </w:pPr>
            <w:r w:rsidRPr="00B536A6">
              <w:rPr>
                <w:rFonts w:eastAsia="Calibri"/>
                <w:sz w:val="18"/>
                <w:szCs w:val="18"/>
              </w:rPr>
              <w:t>-3.0250</w:t>
            </w:r>
          </w:p>
        </w:tc>
        <w:tc>
          <w:tcPr>
            <w:tcW w:w="1355" w:type="dxa"/>
            <w:tcBorders>
              <w:top w:val="single" w:sz="4" w:space="0" w:color="auto"/>
              <w:bottom w:val="nil"/>
            </w:tcBorders>
            <w:shd w:val="clear" w:color="auto" w:fill="auto"/>
          </w:tcPr>
          <w:p w:rsidR="00163EE1" w:rsidRPr="00B536A6" w:rsidRDefault="00163EE1" w:rsidP="006E65BB">
            <w:pPr>
              <w:rPr>
                <w:rFonts w:eastAsia="Calibri"/>
                <w:sz w:val="18"/>
                <w:szCs w:val="18"/>
              </w:rPr>
            </w:pPr>
            <w:r w:rsidRPr="00B536A6">
              <w:rPr>
                <w:rFonts w:eastAsia="Calibri"/>
                <w:sz w:val="18"/>
                <w:szCs w:val="18"/>
              </w:rPr>
              <w:t>-4,0376</w:t>
            </w:r>
          </w:p>
        </w:tc>
        <w:tc>
          <w:tcPr>
            <w:tcW w:w="1238" w:type="dxa"/>
            <w:tcBorders>
              <w:top w:val="single" w:sz="4" w:space="0" w:color="auto"/>
              <w:bottom w:val="nil"/>
            </w:tcBorders>
            <w:shd w:val="clear" w:color="auto" w:fill="auto"/>
          </w:tcPr>
          <w:p w:rsidR="00163EE1" w:rsidRPr="00B536A6" w:rsidRDefault="00163EE1" w:rsidP="006E65BB">
            <w:pPr>
              <w:rPr>
                <w:rFonts w:eastAsia="Calibri"/>
                <w:sz w:val="18"/>
                <w:szCs w:val="18"/>
              </w:rPr>
            </w:pPr>
            <w:r w:rsidRPr="00B536A6">
              <w:rPr>
                <w:rFonts w:eastAsia="Calibri"/>
                <w:sz w:val="18"/>
                <w:szCs w:val="18"/>
              </w:rPr>
              <w:t>-3,4483</w:t>
            </w:r>
          </w:p>
        </w:tc>
        <w:tc>
          <w:tcPr>
            <w:tcW w:w="1314" w:type="dxa"/>
            <w:tcBorders>
              <w:top w:val="single" w:sz="4" w:space="0" w:color="auto"/>
              <w:bottom w:val="nil"/>
            </w:tcBorders>
            <w:shd w:val="clear" w:color="auto" w:fill="auto"/>
          </w:tcPr>
          <w:p w:rsidR="00163EE1" w:rsidRPr="00B536A6" w:rsidRDefault="00163EE1" w:rsidP="006E65BB">
            <w:pPr>
              <w:rPr>
                <w:rFonts w:eastAsia="Calibri"/>
                <w:sz w:val="18"/>
                <w:szCs w:val="18"/>
              </w:rPr>
            </w:pPr>
            <w:r w:rsidRPr="00B536A6">
              <w:rPr>
                <w:rFonts w:eastAsia="Calibri"/>
                <w:sz w:val="18"/>
                <w:szCs w:val="18"/>
              </w:rPr>
              <w:t>-3.1493</w:t>
            </w:r>
          </w:p>
        </w:tc>
        <w:tc>
          <w:tcPr>
            <w:tcW w:w="952" w:type="dxa"/>
            <w:tcBorders>
              <w:top w:val="single" w:sz="4" w:space="0" w:color="auto"/>
              <w:bottom w:val="nil"/>
            </w:tcBorders>
            <w:shd w:val="clear" w:color="auto" w:fill="auto"/>
          </w:tcPr>
          <w:p w:rsidR="00163EE1" w:rsidRPr="00B536A6" w:rsidRDefault="00163EE1" w:rsidP="006E65BB">
            <w:pPr>
              <w:rPr>
                <w:rFonts w:eastAsia="Calibri"/>
                <w:sz w:val="18"/>
                <w:szCs w:val="18"/>
              </w:rPr>
            </w:pPr>
            <w:r w:rsidRPr="00B536A6">
              <w:rPr>
                <w:rFonts w:eastAsia="Calibri"/>
                <w:sz w:val="18"/>
                <w:szCs w:val="18"/>
              </w:rPr>
              <w:t>0.1299</w:t>
            </w:r>
          </w:p>
        </w:tc>
        <w:tc>
          <w:tcPr>
            <w:tcW w:w="1171" w:type="dxa"/>
            <w:gridSpan w:val="2"/>
            <w:tcBorders>
              <w:top w:val="single" w:sz="4" w:space="0" w:color="auto"/>
              <w:bottom w:val="nil"/>
            </w:tcBorders>
            <w:shd w:val="clear" w:color="auto" w:fill="auto"/>
            <w:vAlign w:val="center"/>
          </w:tcPr>
          <w:p w:rsidR="00163EE1" w:rsidRPr="00B536A6" w:rsidRDefault="00163EE1" w:rsidP="006E65BB">
            <w:pPr>
              <w:ind w:right="-171"/>
              <w:rPr>
                <w:rFonts w:eastAsia="Calibri"/>
                <w:sz w:val="18"/>
                <w:szCs w:val="18"/>
              </w:rPr>
            </w:pPr>
            <w:r w:rsidRPr="00B536A6">
              <w:rPr>
                <w:rFonts w:eastAsia="Calibri"/>
                <w:sz w:val="18"/>
                <w:szCs w:val="18"/>
              </w:rPr>
              <w:t>Not Stationary</w:t>
            </w:r>
          </w:p>
        </w:tc>
      </w:tr>
      <w:tr w:rsidR="00163EE1" w:rsidRPr="000A2EAF" w:rsidTr="00163EE1">
        <w:trPr>
          <w:trHeight w:val="281"/>
          <w:jc w:val="center"/>
        </w:trPr>
        <w:tc>
          <w:tcPr>
            <w:tcW w:w="1270" w:type="dxa"/>
            <w:tcBorders>
              <w:top w:val="nil"/>
            </w:tcBorders>
            <w:shd w:val="clear" w:color="auto" w:fill="auto"/>
          </w:tcPr>
          <w:p w:rsidR="00163EE1" w:rsidRPr="00B536A6" w:rsidRDefault="00163EE1" w:rsidP="006E65BB">
            <w:pPr>
              <w:rPr>
                <w:rFonts w:eastAsia="Calibri"/>
                <w:sz w:val="18"/>
                <w:szCs w:val="18"/>
              </w:rPr>
            </w:pPr>
            <w:r w:rsidRPr="00B536A6">
              <w:rPr>
                <w:rFonts w:eastAsia="Calibri"/>
                <w:sz w:val="18"/>
                <w:szCs w:val="18"/>
              </w:rPr>
              <w:t>ER</w:t>
            </w:r>
          </w:p>
        </w:tc>
        <w:tc>
          <w:tcPr>
            <w:tcW w:w="1191" w:type="dxa"/>
            <w:tcBorders>
              <w:top w:val="nil"/>
            </w:tcBorders>
            <w:shd w:val="clear" w:color="auto" w:fill="auto"/>
          </w:tcPr>
          <w:p w:rsidR="00163EE1" w:rsidRPr="00B536A6" w:rsidRDefault="00163EE1" w:rsidP="006E65BB">
            <w:pPr>
              <w:rPr>
                <w:rFonts w:eastAsia="Calibri"/>
                <w:sz w:val="18"/>
                <w:szCs w:val="18"/>
              </w:rPr>
            </w:pPr>
            <w:r w:rsidRPr="00B536A6">
              <w:rPr>
                <w:rFonts w:eastAsia="Calibri"/>
                <w:sz w:val="18"/>
                <w:szCs w:val="18"/>
              </w:rPr>
              <w:t>-1.8249</w:t>
            </w:r>
          </w:p>
        </w:tc>
        <w:tc>
          <w:tcPr>
            <w:tcW w:w="1355" w:type="dxa"/>
            <w:tcBorders>
              <w:top w:val="nil"/>
            </w:tcBorders>
            <w:shd w:val="clear" w:color="auto" w:fill="auto"/>
          </w:tcPr>
          <w:p w:rsidR="00163EE1" w:rsidRPr="00B536A6" w:rsidRDefault="00163EE1" w:rsidP="006E65BB">
            <w:pPr>
              <w:rPr>
                <w:rFonts w:eastAsia="Calibri"/>
                <w:sz w:val="18"/>
                <w:szCs w:val="18"/>
              </w:rPr>
            </w:pPr>
            <w:r w:rsidRPr="00B536A6">
              <w:rPr>
                <w:rFonts w:eastAsia="Calibri"/>
                <w:sz w:val="18"/>
                <w:szCs w:val="18"/>
              </w:rPr>
              <w:t>-4,0376</w:t>
            </w:r>
          </w:p>
        </w:tc>
        <w:tc>
          <w:tcPr>
            <w:tcW w:w="1238" w:type="dxa"/>
            <w:tcBorders>
              <w:top w:val="nil"/>
            </w:tcBorders>
            <w:shd w:val="clear" w:color="auto" w:fill="auto"/>
          </w:tcPr>
          <w:p w:rsidR="00163EE1" w:rsidRPr="00B536A6" w:rsidRDefault="00163EE1" w:rsidP="006E65BB">
            <w:pPr>
              <w:rPr>
                <w:rFonts w:eastAsia="Calibri"/>
                <w:sz w:val="18"/>
                <w:szCs w:val="18"/>
              </w:rPr>
            </w:pPr>
            <w:r w:rsidRPr="00B536A6">
              <w:rPr>
                <w:rFonts w:eastAsia="Calibri"/>
                <w:sz w:val="18"/>
                <w:szCs w:val="18"/>
              </w:rPr>
              <w:t>-3,4483</w:t>
            </w:r>
          </w:p>
        </w:tc>
        <w:tc>
          <w:tcPr>
            <w:tcW w:w="1314" w:type="dxa"/>
            <w:tcBorders>
              <w:top w:val="nil"/>
            </w:tcBorders>
            <w:shd w:val="clear" w:color="auto" w:fill="auto"/>
          </w:tcPr>
          <w:p w:rsidR="00163EE1" w:rsidRPr="00B536A6" w:rsidRDefault="00163EE1" w:rsidP="006E65BB">
            <w:pPr>
              <w:rPr>
                <w:rFonts w:eastAsia="Calibri"/>
                <w:sz w:val="18"/>
                <w:szCs w:val="18"/>
              </w:rPr>
            </w:pPr>
            <w:r w:rsidRPr="00B536A6">
              <w:rPr>
                <w:rFonts w:eastAsia="Calibri"/>
                <w:sz w:val="18"/>
                <w:szCs w:val="18"/>
              </w:rPr>
              <w:t>-3.1493</w:t>
            </w:r>
          </w:p>
        </w:tc>
        <w:tc>
          <w:tcPr>
            <w:tcW w:w="952" w:type="dxa"/>
            <w:tcBorders>
              <w:top w:val="nil"/>
            </w:tcBorders>
            <w:shd w:val="clear" w:color="auto" w:fill="auto"/>
          </w:tcPr>
          <w:p w:rsidR="00163EE1" w:rsidRPr="00B536A6" w:rsidRDefault="00163EE1" w:rsidP="006E65BB">
            <w:pPr>
              <w:rPr>
                <w:rFonts w:eastAsia="Calibri"/>
                <w:sz w:val="18"/>
                <w:szCs w:val="18"/>
              </w:rPr>
            </w:pPr>
            <w:r w:rsidRPr="00B536A6">
              <w:rPr>
                <w:rFonts w:eastAsia="Calibri"/>
                <w:sz w:val="18"/>
                <w:szCs w:val="18"/>
              </w:rPr>
              <w:t>0.6865</w:t>
            </w:r>
          </w:p>
        </w:tc>
        <w:tc>
          <w:tcPr>
            <w:tcW w:w="1171" w:type="dxa"/>
            <w:gridSpan w:val="2"/>
            <w:tcBorders>
              <w:top w:val="nil"/>
            </w:tcBorders>
            <w:shd w:val="clear" w:color="auto" w:fill="auto"/>
          </w:tcPr>
          <w:p w:rsidR="00163EE1" w:rsidRPr="00B536A6" w:rsidRDefault="00163EE1" w:rsidP="006E65BB">
            <w:pPr>
              <w:ind w:right="-171"/>
              <w:rPr>
                <w:rFonts w:eastAsia="Calibri"/>
                <w:sz w:val="18"/>
                <w:szCs w:val="18"/>
              </w:rPr>
            </w:pPr>
            <w:r w:rsidRPr="00B536A6">
              <w:rPr>
                <w:rFonts w:eastAsia="Calibri"/>
                <w:sz w:val="18"/>
                <w:szCs w:val="18"/>
              </w:rPr>
              <w:t>Not Stationary</w:t>
            </w:r>
          </w:p>
        </w:tc>
      </w:tr>
      <w:tr w:rsidR="00163EE1" w:rsidRPr="000A2EAF" w:rsidTr="00163EE1">
        <w:trPr>
          <w:trHeight w:val="319"/>
          <w:jc w:val="center"/>
        </w:trPr>
        <w:tc>
          <w:tcPr>
            <w:tcW w:w="1270" w:type="dxa"/>
            <w:tcBorders>
              <w:top w:val="nil"/>
              <w:bottom w:val="single" w:sz="4" w:space="0" w:color="auto"/>
            </w:tcBorders>
            <w:shd w:val="clear" w:color="auto" w:fill="auto"/>
          </w:tcPr>
          <w:p w:rsidR="00163EE1" w:rsidRPr="00B536A6" w:rsidRDefault="00163EE1" w:rsidP="006E65BB">
            <w:pPr>
              <w:rPr>
                <w:rFonts w:eastAsia="Calibri"/>
                <w:sz w:val="18"/>
                <w:szCs w:val="18"/>
              </w:rPr>
            </w:pPr>
            <w:r w:rsidRPr="00B536A6">
              <w:rPr>
                <w:rFonts w:eastAsia="Calibri"/>
                <w:sz w:val="18"/>
                <w:szCs w:val="18"/>
              </w:rPr>
              <w:t>NFT</w:t>
            </w:r>
          </w:p>
        </w:tc>
        <w:tc>
          <w:tcPr>
            <w:tcW w:w="1191" w:type="dxa"/>
            <w:tcBorders>
              <w:top w:val="nil"/>
              <w:bottom w:val="single" w:sz="4" w:space="0" w:color="auto"/>
            </w:tcBorders>
            <w:shd w:val="clear" w:color="auto" w:fill="auto"/>
          </w:tcPr>
          <w:p w:rsidR="00163EE1" w:rsidRPr="00B536A6" w:rsidRDefault="00163EE1" w:rsidP="006E65BB">
            <w:pPr>
              <w:rPr>
                <w:rFonts w:eastAsia="Calibri"/>
                <w:sz w:val="18"/>
                <w:szCs w:val="18"/>
              </w:rPr>
            </w:pPr>
            <w:r w:rsidRPr="00B536A6">
              <w:rPr>
                <w:rFonts w:eastAsia="Calibri"/>
                <w:sz w:val="18"/>
                <w:szCs w:val="18"/>
              </w:rPr>
              <w:t>-1.6461</w:t>
            </w:r>
          </w:p>
        </w:tc>
        <w:tc>
          <w:tcPr>
            <w:tcW w:w="1355" w:type="dxa"/>
            <w:tcBorders>
              <w:top w:val="nil"/>
              <w:bottom w:val="single" w:sz="4" w:space="0" w:color="auto"/>
            </w:tcBorders>
            <w:shd w:val="clear" w:color="auto" w:fill="auto"/>
          </w:tcPr>
          <w:p w:rsidR="00163EE1" w:rsidRPr="00B536A6" w:rsidRDefault="00163EE1" w:rsidP="006E65BB">
            <w:pPr>
              <w:rPr>
                <w:rFonts w:eastAsia="Calibri"/>
                <w:sz w:val="18"/>
                <w:szCs w:val="18"/>
              </w:rPr>
            </w:pPr>
            <w:r w:rsidRPr="00B536A6">
              <w:rPr>
                <w:rFonts w:eastAsia="Calibri"/>
                <w:sz w:val="18"/>
                <w:szCs w:val="18"/>
              </w:rPr>
              <w:t>-4.0460</w:t>
            </w:r>
          </w:p>
        </w:tc>
        <w:tc>
          <w:tcPr>
            <w:tcW w:w="1238" w:type="dxa"/>
            <w:tcBorders>
              <w:top w:val="nil"/>
              <w:bottom w:val="single" w:sz="4" w:space="0" w:color="auto"/>
            </w:tcBorders>
            <w:shd w:val="clear" w:color="auto" w:fill="auto"/>
          </w:tcPr>
          <w:p w:rsidR="00163EE1" w:rsidRPr="00B536A6" w:rsidRDefault="00163EE1" w:rsidP="006E65BB">
            <w:pPr>
              <w:rPr>
                <w:rFonts w:eastAsia="Calibri"/>
                <w:sz w:val="18"/>
                <w:szCs w:val="18"/>
              </w:rPr>
            </w:pPr>
            <w:r w:rsidRPr="00B536A6">
              <w:rPr>
                <w:rFonts w:eastAsia="Calibri"/>
                <w:sz w:val="18"/>
                <w:szCs w:val="18"/>
              </w:rPr>
              <w:t>-3.4523</w:t>
            </w:r>
          </w:p>
        </w:tc>
        <w:tc>
          <w:tcPr>
            <w:tcW w:w="1314" w:type="dxa"/>
            <w:tcBorders>
              <w:top w:val="nil"/>
              <w:bottom w:val="single" w:sz="4" w:space="0" w:color="auto"/>
            </w:tcBorders>
            <w:shd w:val="clear" w:color="auto" w:fill="auto"/>
          </w:tcPr>
          <w:p w:rsidR="00163EE1" w:rsidRPr="00B536A6" w:rsidRDefault="00163EE1" w:rsidP="006E65BB">
            <w:pPr>
              <w:rPr>
                <w:rFonts w:eastAsia="Calibri"/>
                <w:sz w:val="18"/>
                <w:szCs w:val="18"/>
              </w:rPr>
            </w:pPr>
            <w:r w:rsidRPr="00B536A6">
              <w:rPr>
                <w:rFonts w:eastAsia="Calibri"/>
                <w:sz w:val="18"/>
                <w:szCs w:val="18"/>
              </w:rPr>
              <w:t>-3.1516</w:t>
            </w:r>
          </w:p>
        </w:tc>
        <w:tc>
          <w:tcPr>
            <w:tcW w:w="952" w:type="dxa"/>
            <w:tcBorders>
              <w:top w:val="nil"/>
              <w:bottom w:val="single" w:sz="4" w:space="0" w:color="auto"/>
            </w:tcBorders>
            <w:shd w:val="clear" w:color="auto" w:fill="auto"/>
          </w:tcPr>
          <w:p w:rsidR="00163EE1" w:rsidRPr="00B536A6" w:rsidRDefault="00163EE1" w:rsidP="006E65BB">
            <w:pPr>
              <w:rPr>
                <w:rFonts w:eastAsia="Calibri"/>
                <w:sz w:val="18"/>
                <w:szCs w:val="18"/>
              </w:rPr>
            </w:pPr>
            <w:r w:rsidRPr="00B536A6">
              <w:rPr>
                <w:rFonts w:eastAsia="Calibri"/>
                <w:sz w:val="18"/>
                <w:szCs w:val="18"/>
              </w:rPr>
              <w:t>0.7679</w:t>
            </w:r>
          </w:p>
        </w:tc>
        <w:tc>
          <w:tcPr>
            <w:tcW w:w="1171" w:type="dxa"/>
            <w:gridSpan w:val="2"/>
            <w:tcBorders>
              <w:top w:val="nil"/>
              <w:bottom w:val="single" w:sz="4" w:space="0" w:color="auto"/>
            </w:tcBorders>
            <w:shd w:val="clear" w:color="auto" w:fill="auto"/>
          </w:tcPr>
          <w:p w:rsidR="00163EE1" w:rsidRPr="00B536A6" w:rsidRDefault="00163EE1" w:rsidP="006E65BB">
            <w:pPr>
              <w:ind w:right="-171"/>
              <w:rPr>
                <w:rFonts w:eastAsia="Calibri"/>
                <w:sz w:val="18"/>
                <w:szCs w:val="18"/>
              </w:rPr>
            </w:pPr>
            <w:r w:rsidRPr="00B536A6">
              <w:rPr>
                <w:rFonts w:eastAsia="Calibri"/>
                <w:sz w:val="18"/>
                <w:szCs w:val="18"/>
              </w:rPr>
              <w:t>Not Stasionary</w:t>
            </w:r>
          </w:p>
        </w:tc>
      </w:tr>
    </w:tbl>
    <w:p w:rsidR="00163EE1" w:rsidRDefault="00163EE1" w:rsidP="00163EE1">
      <w:pPr>
        <w:tabs>
          <w:tab w:val="left" w:pos="567"/>
          <w:tab w:val="left" w:pos="2552"/>
        </w:tabs>
        <w:autoSpaceDE w:val="0"/>
        <w:autoSpaceDN w:val="0"/>
        <w:adjustRightInd w:val="0"/>
        <w:rPr>
          <w:i/>
        </w:rPr>
      </w:pPr>
      <w:r w:rsidRPr="000A2EAF">
        <w:rPr>
          <w:i/>
        </w:rPr>
        <w:t xml:space="preserve">       </w:t>
      </w:r>
    </w:p>
    <w:p w:rsidR="00163EE1" w:rsidRPr="00B536A6" w:rsidRDefault="00163EE1" w:rsidP="00163EE1">
      <w:pPr>
        <w:tabs>
          <w:tab w:val="left" w:pos="2552"/>
        </w:tabs>
        <w:autoSpaceDE w:val="0"/>
        <w:autoSpaceDN w:val="0"/>
        <w:adjustRightInd w:val="0"/>
        <w:spacing w:before="58" w:line="278" w:lineRule="auto"/>
        <w:ind w:left="142" w:right="237" w:firstLine="567"/>
        <w:jc w:val="both"/>
        <w:rPr>
          <w:i/>
          <w:sz w:val="24"/>
          <w:szCs w:val="24"/>
        </w:rPr>
      </w:pPr>
      <w:r w:rsidRPr="00B536A6">
        <w:rPr>
          <w:sz w:val="24"/>
          <w:szCs w:val="24"/>
        </w:rPr>
        <w:t>Table 2 shows that foreign exchange reserves, exchange rates and halal tourism are not stationary at the level (the ADF value is greater than the critical va</w:t>
      </w:r>
      <w:r>
        <w:rPr>
          <w:sz w:val="24"/>
          <w:szCs w:val="24"/>
        </w:rPr>
        <w:t>lue), meaning that it rejects H</w:t>
      </w:r>
      <w:r>
        <w:rPr>
          <w:sz w:val="24"/>
          <w:szCs w:val="24"/>
          <w:vertAlign w:val="subscript"/>
        </w:rPr>
        <w:t>1</w:t>
      </w:r>
      <w:r>
        <w:rPr>
          <w:sz w:val="24"/>
          <w:szCs w:val="24"/>
        </w:rPr>
        <w:t xml:space="preserve"> and accepts H</w:t>
      </w:r>
      <w:r>
        <w:rPr>
          <w:sz w:val="24"/>
          <w:szCs w:val="24"/>
          <w:vertAlign w:val="subscript"/>
        </w:rPr>
        <w:t>0</w:t>
      </w:r>
      <w:r w:rsidRPr="00B536A6">
        <w:rPr>
          <w:sz w:val="24"/>
          <w:szCs w:val="24"/>
        </w:rPr>
        <w:t>, so the next stage is needed to carry out testing.</w:t>
      </w:r>
    </w:p>
    <w:p w:rsidR="00163EE1" w:rsidRPr="000A2EAF" w:rsidRDefault="00163EE1" w:rsidP="00163EE1">
      <w:pPr>
        <w:ind w:left="567" w:hanging="567"/>
      </w:pPr>
      <w:r w:rsidRPr="000A2EAF">
        <w:t xml:space="preserve">        </w:t>
      </w:r>
    </w:p>
    <w:p w:rsidR="00163EE1" w:rsidRPr="00B536A6" w:rsidRDefault="00163EE1" w:rsidP="00163EE1">
      <w:pPr>
        <w:ind w:left="567" w:hanging="567"/>
        <w:jc w:val="center"/>
        <w:rPr>
          <w:rFonts w:ascii="Century Gothic" w:hAnsi="Century Gothic"/>
        </w:rPr>
      </w:pPr>
      <w:r w:rsidRPr="00B536A6">
        <w:rPr>
          <w:rFonts w:ascii="Century Gothic" w:hAnsi="Century Gothic"/>
        </w:rPr>
        <w:t xml:space="preserve">Table </w:t>
      </w:r>
      <w:r w:rsidR="006E65BB">
        <w:rPr>
          <w:rFonts w:ascii="Century Gothic" w:hAnsi="Century Gothic"/>
          <w:lang w:val="id-ID"/>
        </w:rPr>
        <w:t>3</w:t>
      </w:r>
      <w:r w:rsidR="006E65BB">
        <w:rPr>
          <w:rFonts w:ascii="Century Gothic" w:hAnsi="Century Gothic"/>
        </w:rPr>
        <w:t>.</w:t>
      </w:r>
      <w:r w:rsidRPr="00B536A6">
        <w:rPr>
          <w:rFonts w:ascii="Century Gothic" w:hAnsi="Century Gothic"/>
          <w:lang w:val="id-ID"/>
        </w:rPr>
        <w:t xml:space="preserve"> </w:t>
      </w:r>
      <w:r w:rsidRPr="00B536A6">
        <w:rPr>
          <w:rFonts w:ascii="Century Gothic" w:hAnsi="Century Gothic"/>
        </w:rPr>
        <w:t xml:space="preserve">Result of Unit Root Test with Augmented Dickey-Fuller </w:t>
      </w:r>
    </w:p>
    <w:p w:rsidR="00163EE1" w:rsidRPr="00B536A6" w:rsidRDefault="00163EE1" w:rsidP="00163EE1">
      <w:pPr>
        <w:ind w:left="567" w:hanging="567"/>
        <w:jc w:val="center"/>
        <w:rPr>
          <w:rFonts w:ascii="Century Gothic" w:hAnsi="Century Gothic"/>
          <w:lang w:val="id-ID"/>
        </w:rPr>
      </w:pPr>
      <w:r w:rsidRPr="00B536A6">
        <w:rPr>
          <w:rFonts w:ascii="Century Gothic" w:hAnsi="Century Gothic"/>
        </w:rPr>
        <w:lastRenderedPageBreak/>
        <w:t>(ADF) in first diffference</w:t>
      </w:r>
    </w:p>
    <w:tbl>
      <w:tblPr>
        <w:tblW w:w="8521" w:type="dxa"/>
        <w:jc w:val="center"/>
        <w:tblBorders>
          <w:top w:val="single" w:sz="4" w:space="0" w:color="auto"/>
          <w:bottom w:val="single" w:sz="4" w:space="0" w:color="auto"/>
        </w:tblBorders>
        <w:tblLook w:val="04A0" w:firstRow="1" w:lastRow="0" w:firstColumn="1" w:lastColumn="0" w:noHBand="0" w:noVBand="1"/>
      </w:tblPr>
      <w:tblGrid>
        <w:gridCol w:w="1468"/>
        <w:gridCol w:w="1274"/>
        <w:gridCol w:w="1198"/>
        <w:gridCol w:w="1304"/>
        <w:gridCol w:w="1191"/>
        <w:gridCol w:w="1130"/>
        <w:gridCol w:w="956"/>
      </w:tblGrid>
      <w:tr w:rsidR="00163EE1" w:rsidRPr="000A2EAF" w:rsidTr="00163EE1">
        <w:trPr>
          <w:jc w:val="center"/>
        </w:trPr>
        <w:tc>
          <w:tcPr>
            <w:tcW w:w="1468" w:type="dxa"/>
            <w:vMerge w:val="restart"/>
            <w:tcBorders>
              <w:top w:val="single" w:sz="4" w:space="0" w:color="auto"/>
              <w:bottom w:val="nil"/>
            </w:tcBorders>
            <w:shd w:val="clear" w:color="auto" w:fill="auto"/>
            <w:vAlign w:val="center"/>
          </w:tcPr>
          <w:p w:rsidR="00163EE1" w:rsidRPr="00B536A6" w:rsidRDefault="00163EE1" w:rsidP="006E65BB">
            <w:pPr>
              <w:rPr>
                <w:rFonts w:eastAsia="Calibri"/>
                <w:b/>
                <w:sz w:val="18"/>
                <w:szCs w:val="18"/>
              </w:rPr>
            </w:pPr>
            <w:r w:rsidRPr="00B536A6">
              <w:rPr>
                <w:rFonts w:eastAsia="Calibri"/>
                <w:b/>
                <w:sz w:val="18"/>
                <w:szCs w:val="18"/>
              </w:rPr>
              <w:t>Variable</w:t>
            </w:r>
          </w:p>
        </w:tc>
        <w:tc>
          <w:tcPr>
            <w:tcW w:w="1274" w:type="dxa"/>
            <w:vMerge w:val="restart"/>
            <w:tcBorders>
              <w:top w:val="single" w:sz="4" w:space="0" w:color="auto"/>
              <w:bottom w:val="nil"/>
            </w:tcBorders>
            <w:shd w:val="clear" w:color="auto" w:fill="auto"/>
          </w:tcPr>
          <w:p w:rsidR="00163EE1" w:rsidRPr="00B536A6" w:rsidRDefault="00163EE1" w:rsidP="006E65BB">
            <w:pPr>
              <w:rPr>
                <w:rFonts w:eastAsia="Calibri"/>
                <w:b/>
                <w:sz w:val="18"/>
                <w:szCs w:val="18"/>
              </w:rPr>
            </w:pPr>
            <w:r w:rsidRPr="00B536A6">
              <w:rPr>
                <w:rFonts w:eastAsia="Calibri"/>
                <w:b/>
                <w:sz w:val="18"/>
                <w:szCs w:val="18"/>
              </w:rPr>
              <w:t>ADF statistics</w:t>
            </w:r>
          </w:p>
        </w:tc>
        <w:tc>
          <w:tcPr>
            <w:tcW w:w="3693" w:type="dxa"/>
            <w:gridSpan w:val="3"/>
            <w:tcBorders>
              <w:top w:val="single" w:sz="4" w:space="0" w:color="auto"/>
              <w:bottom w:val="single" w:sz="4" w:space="0" w:color="auto"/>
              <w:right w:val="nil"/>
            </w:tcBorders>
            <w:shd w:val="clear" w:color="auto" w:fill="auto"/>
            <w:vAlign w:val="center"/>
          </w:tcPr>
          <w:p w:rsidR="00163EE1" w:rsidRPr="00B536A6" w:rsidRDefault="00163EE1" w:rsidP="006E65BB">
            <w:pPr>
              <w:jc w:val="center"/>
              <w:rPr>
                <w:rFonts w:eastAsia="Calibri"/>
                <w:b/>
                <w:sz w:val="18"/>
                <w:szCs w:val="18"/>
              </w:rPr>
            </w:pPr>
            <w:r w:rsidRPr="00B536A6">
              <w:rPr>
                <w:rFonts w:eastAsia="Calibri"/>
                <w:b/>
                <w:sz w:val="18"/>
                <w:szCs w:val="18"/>
              </w:rPr>
              <w:t>ADF critical value</w:t>
            </w:r>
          </w:p>
        </w:tc>
        <w:tc>
          <w:tcPr>
            <w:tcW w:w="1130" w:type="dxa"/>
            <w:vMerge w:val="restart"/>
            <w:tcBorders>
              <w:top w:val="single" w:sz="4" w:space="0" w:color="auto"/>
              <w:left w:val="nil"/>
              <w:bottom w:val="nil"/>
            </w:tcBorders>
            <w:shd w:val="clear" w:color="auto" w:fill="auto"/>
            <w:vAlign w:val="center"/>
          </w:tcPr>
          <w:p w:rsidR="00163EE1" w:rsidRPr="00B536A6" w:rsidRDefault="00163EE1" w:rsidP="006E65BB">
            <w:pPr>
              <w:rPr>
                <w:rFonts w:eastAsia="Calibri"/>
                <w:b/>
                <w:sz w:val="18"/>
                <w:szCs w:val="18"/>
                <w:lang w:val="id-ID"/>
              </w:rPr>
            </w:pPr>
            <w:r w:rsidRPr="00B536A6">
              <w:rPr>
                <w:rFonts w:eastAsia="Calibri"/>
                <w:b/>
                <w:sz w:val="18"/>
                <w:szCs w:val="18"/>
              </w:rPr>
              <w:t>Pro</w:t>
            </w:r>
            <w:r w:rsidRPr="00B536A6">
              <w:rPr>
                <w:rFonts w:eastAsia="Calibri"/>
                <w:b/>
                <w:sz w:val="18"/>
                <w:szCs w:val="18"/>
                <w:lang w:val="id-ID"/>
              </w:rPr>
              <w:t>b</w:t>
            </w:r>
          </w:p>
        </w:tc>
        <w:tc>
          <w:tcPr>
            <w:tcW w:w="956" w:type="dxa"/>
            <w:vMerge w:val="restart"/>
            <w:tcBorders>
              <w:top w:val="single" w:sz="4" w:space="0" w:color="auto"/>
              <w:bottom w:val="nil"/>
            </w:tcBorders>
            <w:shd w:val="clear" w:color="auto" w:fill="auto"/>
            <w:vAlign w:val="center"/>
          </w:tcPr>
          <w:p w:rsidR="00163EE1" w:rsidRPr="00B536A6" w:rsidRDefault="00163EE1" w:rsidP="006E65BB">
            <w:pPr>
              <w:rPr>
                <w:rFonts w:eastAsia="Calibri"/>
                <w:b/>
                <w:sz w:val="18"/>
                <w:szCs w:val="18"/>
              </w:rPr>
            </w:pPr>
            <w:r w:rsidRPr="00B536A6">
              <w:rPr>
                <w:rFonts w:eastAsia="Calibri"/>
                <w:b/>
                <w:sz w:val="18"/>
                <w:szCs w:val="18"/>
              </w:rPr>
              <w:t>Decision</w:t>
            </w:r>
          </w:p>
        </w:tc>
      </w:tr>
      <w:tr w:rsidR="00163EE1" w:rsidRPr="000A2EAF" w:rsidTr="00163EE1">
        <w:trPr>
          <w:jc w:val="center"/>
        </w:trPr>
        <w:tc>
          <w:tcPr>
            <w:tcW w:w="1468" w:type="dxa"/>
            <w:vMerge/>
            <w:tcBorders>
              <w:top w:val="nil"/>
              <w:bottom w:val="single" w:sz="4" w:space="0" w:color="auto"/>
            </w:tcBorders>
            <w:shd w:val="clear" w:color="auto" w:fill="auto"/>
          </w:tcPr>
          <w:p w:rsidR="00163EE1" w:rsidRPr="00B536A6" w:rsidRDefault="00163EE1" w:rsidP="006E65BB">
            <w:pPr>
              <w:rPr>
                <w:rFonts w:eastAsia="Calibri"/>
                <w:b/>
                <w:sz w:val="18"/>
                <w:szCs w:val="18"/>
              </w:rPr>
            </w:pPr>
          </w:p>
        </w:tc>
        <w:tc>
          <w:tcPr>
            <w:tcW w:w="1274" w:type="dxa"/>
            <w:vMerge/>
            <w:tcBorders>
              <w:top w:val="nil"/>
              <w:bottom w:val="single" w:sz="4" w:space="0" w:color="auto"/>
            </w:tcBorders>
            <w:shd w:val="clear" w:color="auto" w:fill="auto"/>
          </w:tcPr>
          <w:p w:rsidR="00163EE1" w:rsidRPr="00B536A6" w:rsidRDefault="00163EE1" w:rsidP="006E65BB">
            <w:pPr>
              <w:rPr>
                <w:rFonts w:eastAsia="Calibri"/>
                <w:b/>
                <w:sz w:val="18"/>
                <w:szCs w:val="18"/>
              </w:rPr>
            </w:pPr>
          </w:p>
        </w:tc>
        <w:tc>
          <w:tcPr>
            <w:tcW w:w="1198" w:type="dxa"/>
            <w:tcBorders>
              <w:top w:val="single" w:sz="4" w:space="0" w:color="auto"/>
              <w:bottom w:val="single" w:sz="4" w:space="0" w:color="auto"/>
            </w:tcBorders>
            <w:shd w:val="clear" w:color="auto" w:fill="auto"/>
            <w:vAlign w:val="center"/>
          </w:tcPr>
          <w:p w:rsidR="00163EE1" w:rsidRPr="00B536A6" w:rsidRDefault="00163EE1" w:rsidP="006E65BB">
            <w:pPr>
              <w:jc w:val="center"/>
              <w:rPr>
                <w:rFonts w:eastAsia="Calibri"/>
                <w:b/>
                <w:sz w:val="18"/>
                <w:szCs w:val="18"/>
              </w:rPr>
            </w:pPr>
            <w:r w:rsidRPr="00B536A6">
              <w:rPr>
                <w:rFonts w:eastAsia="Calibri"/>
                <w:b/>
                <w:sz w:val="18"/>
                <w:szCs w:val="18"/>
              </w:rPr>
              <w:t>1%</w:t>
            </w:r>
          </w:p>
        </w:tc>
        <w:tc>
          <w:tcPr>
            <w:tcW w:w="1304" w:type="dxa"/>
            <w:tcBorders>
              <w:top w:val="single" w:sz="4" w:space="0" w:color="auto"/>
              <w:bottom w:val="single" w:sz="4" w:space="0" w:color="auto"/>
            </w:tcBorders>
            <w:shd w:val="clear" w:color="auto" w:fill="auto"/>
            <w:vAlign w:val="center"/>
          </w:tcPr>
          <w:p w:rsidR="00163EE1" w:rsidRPr="00B536A6" w:rsidRDefault="00163EE1" w:rsidP="006E65BB">
            <w:pPr>
              <w:jc w:val="center"/>
              <w:rPr>
                <w:rFonts w:eastAsia="Calibri"/>
                <w:b/>
                <w:sz w:val="18"/>
                <w:szCs w:val="18"/>
              </w:rPr>
            </w:pPr>
            <w:r w:rsidRPr="00B536A6">
              <w:rPr>
                <w:rFonts w:eastAsia="Calibri"/>
                <w:b/>
                <w:sz w:val="18"/>
                <w:szCs w:val="18"/>
              </w:rPr>
              <w:t>5%</w:t>
            </w:r>
          </w:p>
        </w:tc>
        <w:tc>
          <w:tcPr>
            <w:tcW w:w="1191" w:type="dxa"/>
            <w:tcBorders>
              <w:top w:val="single" w:sz="4" w:space="0" w:color="auto"/>
              <w:bottom w:val="single" w:sz="4" w:space="0" w:color="auto"/>
              <w:right w:val="nil"/>
            </w:tcBorders>
            <w:shd w:val="clear" w:color="auto" w:fill="auto"/>
            <w:vAlign w:val="center"/>
          </w:tcPr>
          <w:p w:rsidR="00163EE1" w:rsidRPr="00B536A6" w:rsidRDefault="00163EE1" w:rsidP="006E65BB">
            <w:pPr>
              <w:jc w:val="center"/>
              <w:rPr>
                <w:rFonts w:eastAsia="Calibri"/>
                <w:b/>
                <w:sz w:val="18"/>
                <w:szCs w:val="18"/>
              </w:rPr>
            </w:pPr>
            <w:r w:rsidRPr="00B536A6">
              <w:rPr>
                <w:rFonts w:eastAsia="Calibri"/>
                <w:b/>
                <w:sz w:val="18"/>
                <w:szCs w:val="18"/>
              </w:rPr>
              <w:t>10%</w:t>
            </w:r>
          </w:p>
        </w:tc>
        <w:tc>
          <w:tcPr>
            <w:tcW w:w="1130" w:type="dxa"/>
            <w:vMerge/>
            <w:tcBorders>
              <w:top w:val="nil"/>
              <w:left w:val="nil"/>
              <w:bottom w:val="single" w:sz="4" w:space="0" w:color="auto"/>
            </w:tcBorders>
            <w:shd w:val="clear" w:color="auto" w:fill="auto"/>
          </w:tcPr>
          <w:p w:rsidR="00163EE1" w:rsidRPr="00B536A6" w:rsidRDefault="00163EE1" w:rsidP="006E65BB">
            <w:pPr>
              <w:rPr>
                <w:rFonts w:eastAsia="Calibri"/>
                <w:b/>
                <w:sz w:val="18"/>
                <w:szCs w:val="18"/>
              </w:rPr>
            </w:pPr>
          </w:p>
        </w:tc>
        <w:tc>
          <w:tcPr>
            <w:tcW w:w="956" w:type="dxa"/>
            <w:vMerge/>
            <w:tcBorders>
              <w:top w:val="nil"/>
              <w:bottom w:val="single" w:sz="4" w:space="0" w:color="auto"/>
            </w:tcBorders>
            <w:shd w:val="clear" w:color="auto" w:fill="auto"/>
          </w:tcPr>
          <w:p w:rsidR="00163EE1" w:rsidRPr="00B536A6" w:rsidRDefault="00163EE1" w:rsidP="006E65BB">
            <w:pPr>
              <w:rPr>
                <w:rFonts w:eastAsia="Calibri"/>
                <w:b/>
                <w:sz w:val="18"/>
                <w:szCs w:val="18"/>
              </w:rPr>
            </w:pPr>
          </w:p>
        </w:tc>
      </w:tr>
      <w:tr w:rsidR="00163EE1" w:rsidRPr="000A2EAF" w:rsidTr="00163EE1">
        <w:trPr>
          <w:jc w:val="center"/>
        </w:trPr>
        <w:tc>
          <w:tcPr>
            <w:tcW w:w="1468" w:type="dxa"/>
            <w:tcBorders>
              <w:top w:val="single" w:sz="4" w:space="0" w:color="auto"/>
              <w:bottom w:val="nil"/>
            </w:tcBorders>
            <w:shd w:val="clear" w:color="auto" w:fill="auto"/>
          </w:tcPr>
          <w:p w:rsidR="00163EE1" w:rsidRPr="00B536A6" w:rsidRDefault="00163EE1" w:rsidP="006E65BB">
            <w:pPr>
              <w:rPr>
                <w:rFonts w:eastAsia="Calibri"/>
                <w:sz w:val="18"/>
                <w:szCs w:val="18"/>
              </w:rPr>
            </w:pPr>
          </w:p>
          <w:p w:rsidR="00163EE1" w:rsidRPr="00B536A6" w:rsidRDefault="00163EE1" w:rsidP="006E65BB">
            <w:pPr>
              <w:rPr>
                <w:rFonts w:eastAsia="Calibri"/>
                <w:sz w:val="18"/>
                <w:szCs w:val="18"/>
              </w:rPr>
            </w:pPr>
            <w:r w:rsidRPr="00B536A6">
              <w:rPr>
                <w:rFonts w:eastAsia="Calibri"/>
                <w:sz w:val="18"/>
                <w:szCs w:val="18"/>
              </w:rPr>
              <w:t>FER</w:t>
            </w:r>
          </w:p>
        </w:tc>
        <w:tc>
          <w:tcPr>
            <w:tcW w:w="1274" w:type="dxa"/>
            <w:tcBorders>
              <w:top w:val="single" w:sz="4" w:space="0" w:color="auto"/>
              <w:bottom w:val="nil"/>
            </w:tcBorders>
            <w:shd w:val="clear" w:color="auto" w:fill="auto"/>
          </w:tcPr>
          <w:p w:rsidR="00163EE1" w:rsidRPr="00B536A6" w:rsidRDefault="00163EE1" w:rsidP="006E65BB">
            <w:pPr>
              <w:rPr>
                <w:rFonts w:eastAsia="Calibri"/>
                <w:sz w:val="18"/>
                <w:szCs w:val="18"/>
              </w:rPr>
            </w:pPr>
          </w:p>
          <w:p w:rsidR="00163EE1" w:rsidRPr="00B536A6" w:rsidRDefault="00163EE1" w:rsidP="006E65BB">
            <w:pPr>
              <w:rPr>
                <w:rFonts w:eastAsia="Calibri"/>
                <w:sz w:val="18"/>
                <w:szCs w:val="18"/>
              </w:rPr>
            </w:pPr>
            <w:r w:rsidRPr="00B536A6">
              <w:rPr>
                <w:rFonts w:eastAsia="Calibri"/>
                <w:sz w:val="18"/>
                <w:szCs w:val="18"/>
              </w:rPr>
              <w:t>-9.1469</w:t>
            </w:r>
          </w:p>
        </w:tc>
        <w:tc>
          <w:tcPr>
            <w:tcW w:w="1198" w:type="dxa"/>
            <w:tcBorders>
              <w:top w:val="single" w:sz="4" w:space="0" w:color="auto"/>
              <w:bottom w:val="nil"/>
            </w:tcBorders>
            <w:shd w:val="clear" w:color="auto" w:fill="auto"/>
          </w:tcPr>
          <w:p w:rsidR="00163EE1" w:rsidRPr="00B536A6" w:rsidRDefault="00163EE1" w:rsidP="006E65BB">
            <w:pPr>
              <w:rPr>
                <w:rFonts w:eastAsia="Calibri"/>
                <w:sz w:val="18"/>
                <w:szCs w:val="18"/>
              </w:rPr>
            </w:pPr>
          </w:p>
          <w:p w:rsidR="00163EE1" w:rsidRPr="00B536A6" w:rsidRDefault="00163EE1" w:rsidP="006E65BB">
            <w:pPr>
              <w:rPr>
                <w:rFonts w:eastAsia="Calibri"/>
                <w:sz w:val="18"/>
                <w:szCs w:val="18"/>
              </w:rPr>
            </w:pPr>
            <w:r w:rsidRPr="00B536A6">
              <w:rPr>
                <w:rFonts w:eastAsia="Calibri"/>
                <w:sz w:val="18"/>
                <w:szCs w:val="18"/>
              </w:rPr>
              <w:t>-4,0376</w:t>
            </w:r>
          </w:p>
        </w:tc>
        <w:tc>
          <w:tcPr>
            <w:tcW w:w="1304" w:type="dxa"/>
            <w:tcBorders>
              <w:top w:val="single" w:sz="4" w:space="0" w:color="auto"/>
              <w:bottom w:val="nil"/>
            </w:tcBorders>
            <w:shd w:val="clear" w:color="auto" w:fill="auto"/>
          </w:tcPr>
          <w:p w:rsidR="00163EE1" w:rsidRPr="00B536A6" w:rsidRDefault="00163EE1" w:rsidP="006E65BB">
            <w:pPr>
              <w:rPr>
                <w:rFonts w:eastAsia="Calibri"/>
                <w:sz w:val="18"/>
                <w:szCs w:val="18"/>
              </w:rPr>
            </w:pPr>
          </w:p>
          <w:p w:rsidR="00163EE1" w:rsidRPr="00B536A6" w:rsidRDefault="00163EE1" w:rsidP="006E65BB">
            <w:pPr>
              <w:rPr>
                <w:rFonts w:eastAsia="Calibri"/>
                <w:sz w:val="18"/>
                <w:szCs w:val="18"/>
              </w:rPr>
            </w:pPr>
            <w:r w:rsidRPr="00B536A6">
              <w:rPr>
                <w:rFonts w:eastAsia="Calibri"/>
                <w:sz w:val="18"/>
                <w:szCs w:val="18"/>
              </w:rPr>
              <w:t>-3,4483</w:t>
            </w:r>
          </w:p>
        </w:tc>
        <w:tc>
          <w:tcPr>
            <w:tcW w:w="1191" w:type="dxa"/>
            <w:tcBorders>
              <w:top w:val="single" w:sz="4" w:space="0" w:color="auto"/>
              <w:bottom w:val="nil"/>
            </w:tcBorders>
            <w:shd w:val="clear" w:color="auto" w:fill="auto"/>
          </w:tcPr>
          <w:p w:rsidR="00163EE1" w:rsidRPr="00B536A6" w:rsidRDefault="00163EE1" w:rsidP="006E65BB">
            <w:pPr>
              <w:rPr>
                <w:rFonts w:eastAsia="Calibri"/>
                <w:sz w:val="18"/>
                <w:szCs w:val="18"/>
              </w:rPr>
            </w:pPr>
          </w:p>
          <w:p w:rsidR="00163EE1" w:rsidRPr="00B536A6" w:rsidRDefault="00163EE1" w:rsidP="006E65BB">
            <w:pPr>
              <w:rPr>
                <w:rFonts w:eastAsia="Calibri"/>
                <w:sz w:val="18"/>
                <w:szCs w:val="18"/>
              </w:rPr>
            </w:pPr>
            <w:r w:rsidRPr="00B536A6">
              <w:rPr>
                <w:rFonts w:eastAsia="Calibri"/>
                <w:sz w:val="18"/>
                <w:szCs w:val="18"/>
              </w:rPr>
              <w:t>-3.1493</w:t>
            </w:r>
          </w:p>
        </w:tc>
        <w:tc>
          <w:tcPr>
            <w:tcW w:w="1130" w:type="dxa"/>
            <w:tcBorders>
              <w:top w:val="single" w:sz="4" w:space="0" w:color="auto"/>
              <w:bottom w:val="nil"/>
            </w:tcBorders>
            <w:shd w:val="clear" w:color="auto" w:fill="auto"/>
          </w:tcPr>
          <w:p w:rsidR="00163EE1" w:rsidRPr="00B536A6" w:rsidRDefault="00163EE1" w:rsidP="006E65BB">
            <w:pPr>
              <w:rPr>
                <w:rFonts w:eastAsia="Calibri"/>
                <w:sz w:val="18"/>
                <w:szCs w:val="18"/>
              </w:rPr>
            </w:pPr>
          </w:p>
          <w:p w:rsidR="00163EE1" w:rsidRPr="00B536A6" w:rsidRDefault="00163EE1" w:rsidP="006E65BB">
            <w:pPr>
              <w:rPr>
                <w:rFonts w:eastAsia="Calibri"/>
                <w:sz w:val="18"/>
                <w:szCs w:val="18"/>
              </w:rPr>
            </w:pPr>
            <w:r w:rsidRPr="00B536A6">
              <w:rPr>
                <w:rFonts w:eastAsia="Calibri"/>
                <w:sz w:val="18"/>
                <w:szCs w:val="18"/>
              </w:rPr>
              <w:t>0.0000</w:t>
            </w:r>
          </w:p>
        </w:tc>
        <w:tc>
          <w:tcPr>
            <w:tcW w:w="956" w:type="dxa"/>
            <w:tcBorders>
              <w:top w:val="single" w:sz="4" w:space="0" w:color="auto"/>
              <w:bottom w:val="nil"/>
            </w:tcBorders>
            <w:shd w:val="clear" w:color="auto" w:fill="auto"/>
            <w:vAlign w:val="center"/>
          </w:tcPr>
          <w:p w:rsidR="00163EE1" w:rsidRPr="00B536A6" w:rsidRDefault="00163EE1" w:rsidP="006E65BB">
            <w:pPr>
              <w:rPr>
                <w:rFonts w:eastAsia="Calibri"/>
                <w:sz w:val="18"/>
                <w:szCs w:val="18"/>
              </w:rPr>
            </w:pPr>
            <w:r w:rsidRPr="00B536A6">
              <w:rPr>
                <w:rFonts w:eastAsia="Calibri"/>
                <w:sz w:val="18"/>
                <w:szCs w:val="18"/>
              </w:rPr>
              <w:t>Stationary</w:t>
            </w:r>
          </w:p>
        </w:tc>
      </w:tr>
      <w:tr w:rsidR="00163EE1" w:rsidRPr="000A2EAF" w:rsidTr="00163EE1">
        <w:trPr>
          <w:trHeight w:val="614"/>
          <w:jc w:val="center"/>
        </w:trPr>
        <w:tc>
          <w:tcPr>
            <w:tcW w:w="1468" w:type="dxa"/>
            <w:tcBorders>
              <w:top w:val="nil"/>
              <w:bottom w:val="nil"/>
            </w:tcBorders>
            <w:shd w:val="clear" w:color="auto" w:fill="auto"/>
          </w:tcPr>
          <w:p w:rsidR="00163EE1" w:rsidRPr="00B536A6" w:rsidRDefault="00163EE1" w:rsidP="006E65BB">
            <w:pPr>
              <w:rPr>
                <w:rFonts w:eastAsia="Calibri"/>
                <w:sz w:val="18"/>
                <w:szCs w:val="18"/>
              </w:rPr>
            </w:pPr>
          </w:p>
          <w:p w:rsidR="00163EE1" w:rsidRPr="00B536A6" w:rsidRDefault="00163EE1" w:rsidP="006E65BB">
            <w:pPr>
              <w:rPr>
                <w:rFonts w:eastAsia="Calibri"/>
                <w:sz w:val="18"/>
                <w:szCs w:val="18"/>
              </w:rPr>
            </w:pPr>
            <w:r w:rsidRPr="00B536A6">
              <w:rPr>
                <w:rFonts w:eastAsia="Calibri"/>
                <w:sz w:val="18"/>
                <w:szCs w:val="18"/>
              </w:rPr>
              <w:t>ER</w:t>
            </w:r>
          </w:p>
        </w:tc>
        <w:tc>
          <w:tcPr>
            <w:tcW w:w="1274" w:type="dxa"/>
            <w:tcBorders>
              <w:top w:val="nil"/>
              <w:bottom w:val="nil"/>
            </w:tcBorders>
            <w:shd w:val="clear" w:color="auto" w:fill="auto"/>
          </w:tcPr>
          <w:p w:rsidR="00163EE1" w:rsidRPr="00B536A6" w:rsidRDefault="00163EE1" w:rsidP="006E65BB">
            <w:pPr>
              <w:rPr>
                <w:rFonts w:eastAsia="Calibri"/>
                <w:sz w:val="18"/>
                <w:szCs w:val="18"/>
              </w:rPr>
            </w:pPr>
          </w:p>
          <w:p w:rsidR="00163EE1" w:rsidRPr="00B536A6" w:rsidRDefault="00163EE1" w:rsidP="006E65BB">
            <w:pPr>
              <w:rPr>
                <w:rFonts w:eastAsia="Calibri"/>
                <w:sz w:val="18"/>
                <w:szCs w:val="18"/>
              </w:rPr>
            </w:pPr>
            <w:r w:rsidRPr="00B536A6">
              <w:rPr>
                <w:rFonts w:eastAsia="Calibri"/>
                <w:sz w:val="18"/>
                <w:szCs w:val="18"/>
              </w:rPr>
              <w:t>-8,7096</w:t>
            </w:r>
          </w:p>
        </w:tc>
        <w:tc>
          <w:tcPr>
            <w:tcW w:w="1198" w:type="dxa"/>
            <w:tcBorders>
              <w:top w:val="nil"/>
              <w:bottom w:val="nil"/>
            </w:tcBorders>
            <w:shd w:val="clear" w:color="auto" w:fill="auto"/>
          </w:tcPr>
          <w:p w:rsidR="00163EE1" w:rsidRPr="00B536A6" w:rsidRDefault="00163EE1" w:rsidP="006E65BB">
            <w:pPr>
              <w:rPr>
                <w:rFonts w:eastAsia="Calibri"/>
                <w:sz w:val="18"/>
                <w:szCs w:val="18"/>
              </w:rPr>
            </w:pPr>
          </w:p>
          <w:p w:rsidR="00163EE1" w:rsidRPr="00B536A6" w:rsidRDefault="00163EE1" w:rsidP="006E65BB">
            <w:pPr>
              <w:rPr>
                <w:rFonts w:eastAsia="Calibri"/>
                <w:sz w:val="18"/>
                <w:szCs w:val="18"/>
              </w:rPr>
            </w:pPr>
            <w:r w:rsidRPr="00B536A6">
              <w:rPr>
                <w:rFonts w:eastAsia="Calibri"/>
                <w:sz w:val="18"/>
                <w:szCs w:val="18"/>
              </w:rPr>
              <w:t>-4,0376</w:t>
            </w:r>
          </w:p>
        </w:tc>
        <w:tc>
          <w:tcPr>
            <w:tcW w:w="1304" w:type="dxa"/>
            <w:tcBorders>
              <w:top w:val="nil"/>
              <w:bottom w:val="nil"/>
            </w:tcBorders>
            <w:shd w:val="clear" w:color="auto" w:fill="auto"/>
          </w:tcPr>
          <w:p w:rsidR="00163EE1" w:rsidRPr="00B536A6" w:rsidRDefault="00163EE1" w:rsidP="006E65BB">
            <w:pPr>
              <w:rPr>
                <w:rFonts w:eastAsia="Calibri"/>
                <w:sz w:val="18"/>
                <w:szCs w:val="18"/>
              </w:rPr>
            </w:pPr>
          </w:p>
          <w:p w:rsidR="00163EE1" w:rsidRPr="00B536A6" w:rsidRDefault="00163EE1" w:rsidP="006E65BB">
            <w:pPr>
              <w:rPr>
                <w:rFonts w:eastAsia="Calibri"/>
                <w:sz w:val="18"/>
                <w:szCs w:val="18"/>
              </w:rPr>
            </w:pPr>
            <w:r w:rsidRPr="00B536A6">
              <w:rPr>
                <w:rFonts w:eastAsia="Calibri"/>
                <w:sz w:val="18"/>
                <w:szCs w:val="18"/>
              </w:rPr>
              <w:t>-3,4483</w:t>
            </w:r>
          </w:p>
        </w:tc>
        <w:tc>
          <w:tcPr>
            <w:tcW w:w="1191" w:type="dxa"/>
            <w:tcBorders>
              <w:top w:val="nil"/>
              <w:bottom w:val="nil"/>
            </w:tcBorders>
            <w:shd w:val="clear" w:color="auto" w:fill="auto"/>
          </w:tcPr>
          <w:p w:rsidR="00163EE1" w:rsidRPr="00B536A6" w:rsidRDefault="00163EE1" w:rsidP="006E65BB">
            <w:pPr>
              <w:rPr>
                <w:rFonts w:eastAsia="Calibri"/>
                <w:sz w:val="18"/>
                <w:szCs w:val="18"/>
              </w:rPr>
            </w:pPr>
          </w:p>
          <w:p w:rsidR="00163EE1" w:rsidRPr="00B536A6" w:rsidRDefault="00163EE1" w:rsidP="006E65BB">
            <w:pPr>
              <w:rPr>
                <w:rFonts w:eastAsia="Calibri"/>
                <w:sz w:val="18"/>
                <w:szCs w:val="18"/>
              </w:rPr>
            </w:pPr>
            <w:r w:rsidRPr="00B536A6">
              <w:rPr>
                <w:rFonts w:eastAsia="Calibri"/>
                <w:sz w:val="18"/>
                <w:szCs w:val="18"/>
              </w:rPr>
              <w:t>-3.1493</w:t>
            </w:r>
          </w:p>
        </w:tc>
        <w:tc>
          <w:tcPr>
            <w:tcW w:w="1130" w:type="dxa"/>
            <w:tcBorders>
              <w:top w:val="nil"/>
              <w:bottom w:val="nil"/>
            </w:tcBorders>
            <w:shd w:val="clear" w:color="auto" w:fill="auto"/>
          </w:tcPr>
          <w:p w:rsidR="00163EE1" w:rsidRPr="00B536A6" w:rsidRDefault="00163EE1" w:rsidP="006E65BB">
            <w:pPr>
              <w:rPr>
                <w:rFonts w:eastAsia="Calibri"/>
                <w:sz w:val="18"/>
                <w:szCs w:val="18"/>
              </w:rPr>
            </w:pPr>
          </w:p>
          <w:p w:rsidR="00163EE1" w:rsidRPr="00B536A6" w:rsidRDefault="00163EE1" w:rsidP="006E65BB">
            <w:pPr>
              <w:rPr>
                <w:rFonts w:eastAsia="Calibri"/>
                <w:sz w:val="18"/>
                <w:szCs w:val="18"/>
              </w:rPr>
            </w:pPr>
            <w:r w:rsidRPr="00B536A6">
              <w:rPr>
                <w:rFonts w:eastAsia="Calibri"/>
                <w:sz w:val="18"/>
                <w:szCs w:val="18"/>
              </w:rPr>
              <w:t>0.0000</w:t>
            </w:r>
          </w:p>
        </w:tc>
        <w:tc>
          <w:tcPr>
            <w:tcW w:w="956" w:type="dxa"/>
            <w:tcBorders>
              <w:top w:val="nil"/>
              <w:bottom w:val="nil"/>
            </w:tcBorders>
            <w:shd w:val="clear" w:color="auto" w:fill="auto"/>
          </w:tcPr>
          <w:p w:rsidR="00163EE1" w:rsidRPr="00B536A6" w:rsidRDefault="00163EE1" w:rsidP="006E65BB">
            <w:pPr>
              <w:rPr>
                <w:rFonts w:eastAsia="Calibri"/>
                <w:sz w:val="18"/>
                <w:szCs w:val="18"/>
              </w:rPr>
            </w:pPr>
          </w:p>
          <w:p w:rsidR="00163EE1" w:rsidRPr="00B536A6" w:rsidRDefault="00163EE1" w:rsidP="006E65BB">
            <w:pPr>
              <w:rPr>
                <w:rFonts w:eastAsia="Calibri"/>
                <w:sz w:val="18"/>
                <w:szCs w:val="18"/>
              </w:rPr>
            </w:pPr>
            <w:r w:rsidRPr="00B536A6">
              <w:rPr>
                <w:rFonts w:eastAsia="Calibri"/>
                <w:sz w:val="18"/>
                <w:szCs w:val="18"/>
              </w:rPr>
              <w:t>Stationary</w:t>
            </w:r>
          </w:p>
        </w:tc>
      </w:tr>
      <w:tr w:rsidR="00163EE1" w:rsidRPr="000A2EAF" w:rsidTr="00163EE1">
        <w:trPr>
          <w:trHeight w:val="157"/>
          <w:jc w:val="center"/>
        </w:trPr>
        <w:tc>
          <w:tcPr>
            <w:tcW w:w="1468" w:type="dxa"/>
            <w:tcBorders>
              <w:top w:val="nil"/>
              <w:bottom w:val="single" w:sz="4" w:space="0" w:color="auto"/>
            </w:tcBorders>
            <w:shd w:val="clear" w:color="auto" w:fill="auto"/>
          </w:tcPr>
          <w:p w:rsidR="00163EE1" w:rsidRPr="00B536A6" w:rsidRDefault="00163EE1" w:rsidP="006E65BB">
            <w:pPr>
              <w:rPr>
                <w:rFonts w:eastAsia="Calibri"/>
                <w:sz w:val="18"/>
                <w:szCs w:val="18"/>
              </w:rPr>
            </w:pPr>
            <w:r w:rsidRPr="00B536A6">
              <w:rPr>
                <w:rFonts w:eastAsia="Calibri"/>
                <w:sz w:val="18"/>
                <w:szCs w:val="18"/>
              </w:rPr>
              <w:t>NFT</w:t>
            </w:r>
          </w:p>
        </w:tc>
        <w:tc>
          <w:tcPr>
            <w:tcW w:w="1274" w:type="dxa"/>
            <w:tcBorders>
              <w:top w:val="nil"/>
              <w:bottom w:val="single" w:sz="4" w:space="0" w:color="auto"/>
            </w:tcBorders>
            <w:shd w:val="clear" w:color="auto" w:fill="auto"/>
          </w:tcPr>
          <w:p w:rsidR="00163EE1" w:rsidRPr="00B536A6" w:rsidRDefault="00163EE1" w:rsidP="006E65BB">
            <w:pPr>
              <w:rPr>
                <w:rFonts w:eastAsia="Calibri"/>
                <w:sz w:val="18"/>
                <w:szCs w:val="18"/>
              </w:rPr>
            </w:pPr>
            <w:r w:rsidRPr="00B536A6">
              <w:rPr>
                <w:rFonts w:eastAsia="Calibri"/>
                <w:sz w:val="18"/>
                <w:szCs w:val="18"/>
              </w:rPr>
              <w:t>-5,0648</w:t>
            </w:r>
          </w:p>
        </w:tc>
        <w:tc>
          <w:tcPr>
            <w:tcW w:w="1198" w:type="dxa"/>
            <w:tcBorders>
              <w:top w:val="nil"/>
              <w:bottom w:val="single" w:sz="4" w:space="0" w:color="auto"/>
            </w:tcBorders>
            <w:shd w:val="clear" w:color="auto" w:fill="auto"/>
          </w:tcPr>
          <w:p w:rsidR="00163EE1" w:rsidRPr="00B536A6" w:rsidRDefault="00163EE1" w:rsidP="006E65BB">
            <w:pPr>
              <w:rPr>
                <w:rFonts w:eastAsia="Calibri"/>
                <w:sz w:val="18"/>
                <w:szCs w:val="18"/>
              </w:rPr>
            </w:pPr>
            <w:r w:rsidRPr="00B536A6">
              <w:rPr>
                <w:rFonts w:eastAsia="Calibri"/>
                <w:sz w:val="18"/>
                <w:szCs w:val="18"/>
              </w:rPr>
              <w:t>-4,0460</w:t>
            </w:r>
          </w:p>
        </w:tc>
        <w:tc>
          <w:tcPr>
            <w:tcW w:w="2495" w:type="dxa"/>
            <w:gridSpan w:val="2"/>
            <w:tcBorders>
              <w:top w:val="nil"/>
              <w:bottom w:val="single" w:sz="4" w:space="0" w:color="auto"/>
            </w:tcBorders>
            <w:shd w:val="clear" w:color="auto" w:fill="auto"/>
          </w:tcPr>
          <w:p w:rsidR="00163EE1" w:rsidRPr="00B536A6" w:rsidRDefault="00163EE1" w:rsidP="006E65BB">
            <w:pPr>
              <w:rPr>
                <w:rFonts w:eastAsia="Calibri"/>
                <w:sz w:val="18"/>
                <w:szCs w:val="18"/>
              </w:rPr>
            </w:pPr>
            <w:r w:rsidRPr="00B536A6">
              <w:rPr>
                <w:rFonts w:eastAsia="Calibri"/>
                <w:sz w:val="18"/>
                <w:szCs w:val="18"/>
              </w:rPr>
              <w:t>-3.4523</w:t>
            </w:r>
            <w:r w:rsidRPr="00B536A6">
              <w:rPr>
                <w:rFonts w:eastAsia="Calibri"/>
                <w:sz w:val="18"/>
                <w:szCs w:val="18"/>
                <w:lang w:val="id-ID"/>
              </w:rPr>
              <w:t xml:space="preserve">           </w:t>
            </w:r>
            <w:r w:rsidRPr="00B536A6">
              <w:rPr>
                <w:rFonts w:eastAsia="Calibri"/>
                <w:sz w:val="18"/>
                <w:szCs w:val="18"/>
              </w:rPr>
              <w:t>-3.1516</w:t>
            </w:r>
          </w:p>
          <w:p w:rsidR="00163EE1" w:rsidRPr="00B536A6" w:rsidRDefault="00163EE1" w:rsidP="006E65BB">
            <w:pPr>
              <w:rPr>
                <w:rFonts w:eastAsia="Calibri"/>
                <w:sz w:val="18"/>
                <w:szCs w:val="18"/>
              </w:rPr>
            </w:pPr>
          </w:p>
        </w:tc>
        <w:tc>
          <w:tcPr>
            <w:tcW w:w="1130" w:type="dxa"/>
            <w:tcBorders>
              <w:top w:val="nil"/>
              <w:bottom w:val="single" w:sz="4" w:space="0" w:color="auto"/>
            </w:tcBorders>
            <w:shd w:val="clear" w:color="auto" w:fill="auto"/>
          </w:tcPr>
          <w:p w:rsidR="00163EE1" w:rsidRPr="00B536A6" w:rsidRDefault="00163EE1" w:rsidP="006E65BB">
            <w:pPr>
              <w:rPr>
                <w:rFonts w:eastAsia="Calibri"/>
                <w:sz w:val="18"/>
                <w:szCs w:val="18"/>
              </w:rPr>
            </w:pPr>
            <w:r w:rsidRPr="00B536A6">
              <w:rPr>
                <w:rFonts w:eastAsia="Calibri"/>
                <w:sz w:val="18"/>
                <w:szCs w:val="18"/>
              </w:rPr>
              <w:t>0.0003</w:t>
            </w:r>
          </w:p>
        </w:tc>
        <w:tc>
          <w:tcPr>
            <w:tcW w:w="956" w:type="dxa"/>
            <w:tcBorders>
              <w:top w:val="nil"/>
              <w:bottom w:val="single" w:sz="4" w:space="0" w:color="auto"/>
            </w:tcBorders>
            <w:shd w:val="clear" w:color="auto" w:fill="auto"/>
          </w:tcPr>
          <w:p w:rsidR="00163EE1" w:rsidRPr="00B536A6" w:rsidRDefault="00163EE1" w:rsidP="006E65BB">
            <w:pPr>
              <w:rPr>
                <w:rFonts w:eastAsia="Calibri"/>
                <w:sz w:val="18"/>
                <w:szCs w:val="18"/>
              </w:rPr>
            </w:pPr>
            <w:r w:rsidRPr="00B536A6">
              <w:rPr>
                <w:rFonts w:eastAsia="Calibri"/>
                <w:sz w:val="18"/>
                <w:szCs w:val="18"/>
              </w:rPr>
              <w:t>Stationary</w:t>
            </w:r>
          </w:p>
        </w:tc>
      </w:tr>
    </w:tbl>
    <w:p w:rsidR="00163EE1" w:rsidRDefault="00163EE1" w:rsidP="00163EE1">
      <w:pPr>
        <w:rPr>
          <w:sz w:val="24"/>
          <w:szCs w:val="24"/>
        </w:rPr>
      </w:pPr>
    </w:p>
    <w:p w:rsidR="00163EE1" w:rsidRPr="00163EE1" w:rsidRDefault="00163EE1" w:rsidP="00163EE1">
      <w:pPr>
        <w:ind w:left="142" w:right="237" w:firstLine="567"/>
        <w:jc w:val="both"/>
        <w:rPr>
          <w:sz w:val="24"/>
          <w:szCs w:val="24"/>
          <w:lang w:val="id-ID"/>
        </w:rPr>
      </w:pPr>
      <w:r w:rsidRPr="00163EE1">
        <w:rPr>
          <w:sz w:val="24"/>
          <w:szCs w:val="24"/>
        </w:rPr>
        <w:t xml:space="preserve">Based on Table </w:t>
      </w:r>
      <w:r w:rsidR="006E65BB">
        <w:rPr>
          <w:sz w:val="24"/>
          <w:szCs w:val="24"/>
          <w:lang w:val="id-ID"/>
        </w:rPr>
        <w:t>3</w:t>
      </w:r>
      <w:r w:rsidRPr="00163EE1">
        <w:rPr>
          <w:sz w:val="24"/>
          <w:szCs w:val="24"/>
        </w:rPr>
        <w:t>, at the first difference level all variables, both foreign exchange reserves, exchange rates, and halal tourism are stationary, so they qualify for the ECM test.</w:t>
      </w:r>
    </w:p>
    <w:p w:rsidR="00163EE1" w:rsidRDefault="00163EE1" w:rsidP="00163EE1">
      <w:pPr>
        <w:rPr>
          <w:lang w:val="id-ID"/>
        </w:rPr>
      </w:pPr>
    </w:p>
    <w:p w:rsidR="00163EE1" w:rsidRPr="00550C80" w:rsidRDefault="00163EE1" w:rsidP="00163EE1">
      <w:pPr>
        <w:rPr>
          <w:lang w:val="id-ID"/>
        </w:rPr>
      </w:pPr>
    </w:p>
    <w:p w:rsidR="00163EE1" w:rsidRPr="00B536A6" w:rsidRDefault="00163EE1" w:rsidP="00163EE1">
      <w:pPr>
        <w:autoSpaceDE w:val="0"/>
        <w:autoSpaceDN w:val="0"/>
        <w:adjustRightInd w:val="0"/>
        <w:jc w:val="center"/>
        <w:rPr>
          <w:rFonts w:ascii="Century Gothic" w:hAnsi="Century Gothic"/>
        </w:rPr>
      </w:pPr>
      <w:r w:rsidRPr="00B536A6">
        <w:rPr>
          <w:rFonts w:ascii="Century Gothic" w:hAnsi="Century Gothic"/>
        </w:rPr>
        <w:t>Table 4.</w:t>
      </w:r>
      <w:r w:rsidR="006E65BB">
        <w:rPr>
          <w:rFonts w:ascii="Century Gothic" w:hAnsi="Century Gothic"/>
          <w:lang w:val="id-ID"/>
        </w:rPr>
        <w:t xml:space="preserve"> </w:t>
      </w:r>
      <w:r w:rsidRPr="00B536A6">
        <w:rPr>
          <w:rFonts w:ascii="Century Gothic" w:hAnsi="Century Gothic"/>
        </w:rPr>
        <w:t>Result of Coeintegration Test</w:t>
      </w:r>
    </w:p>
    <w:tbl>
      <w:tblPr>
        <w:tblpPr w:leftFromText="180" w:rightFromText="180" w:vertAnchor="text" w:horzAnchor="margin" w:tblpXSpec="center" w:tblpY="137"/>
        <w:tblW w:w="8647" w:type="dxa"/>
        <w:tblBorders>
          <w:top w:val="single" w:sz="4" w:space="0" w:color="auto"/>
          <w:bottom w:val="single" w:sz="4" w:space="0" w:color="auto"/>
        </w:tblBorders>
        <w:tblLayout w:type="fixed"/>
        <w:tblLook w:val="04A0" w:firstRow="1" w:lastRow="0" w:firstColumn="1" w:lastColumn="0" w:noHBand="0" w:noVBand="1"/>
      </w:tblPr>
      <w:tblGrid>
        <w:gridCol w:w="1242"/>
        <w:gridCol w:w="1276"/>
        <w:gridCol w:w="1276"/>
        <w:gridCol w:w="1275"/>
        <w:gridCol w:w="1276"/>
        <w:gridCol w:w="1134"/>
        <w:gridCol w:w="1168"/>
      </w:tblGrid>
      <w:tr w:rsidR="00163EE1" w:rsidRPr="00163EE1" w:rsidTr="00336A65">
        <w:tc>
          <w:tcPr>
            <w:tcW w:w="1242" w:type="dxa"/>
            <w:vMerge w:val="restart"/>
            <w:tcBorders>
              <w:top w:val="single" w:sz="4" w:space="0" w:color="auto"/>
              <w:bottom w:val="nil"/>
            </w:tcBorders>
            <w:shd w:val="clear" w:color="auto" w:fill="auto"/>
            <w:vAlign w:val="center"/>
          </w:tcPr>
          <w:p w:rsidR="00163EE1" w:rsidRPr="00163EE1" w:rsidRDefault="00163EE1" w:rsidP="00336A65">
            <w:pPr>
              <w:ind w:left="142"/>
              <w:rPr>
                <w:rFonts w:eastAsia="Calibri"/>
                <w:b/>
                <w:sz w:val="18"/>
                <w:szCs w:val="18"/>
              </w:rPr>
            </w:pPr>
            <w:r w:rsidRPr="00163EE1">
              <w:rPr>
                <w:rFonts w:eastAsia="Calibri"/>
                <w:b/>
                <w:sz w:val="18"/>
                <w:szCs w:val="18"/>
              </w:rPr>
              <w:t>Variable</w:t>
            </w:r>
          </w:p>
        </w:tc>
        <w:tc>
          <w:tcPr>
            <w:tcW w:w="1276" w:type="dxa"/>
            <w:vMerge w:val="restart"/>
            <w:tcBorders>
              <w:top w:val="single" w:sz="4" w:space="0" w:color="auto"/>
              <w:bottom w:val="nil"/>
            </w:tcBorders>
            <w:shd w:val="clear" w:color="auto" w:fill="auto"/>
            <w:vAlign w:val="center"/>
          </w:tcPr>
          <w:p w:rsidR="00163EE1" w:rsidRPr="00163EE1" w:rsidRDefault="00163EE1" w:rsidP="00336A65">
            <w:pPr>
              <w:ind w:left="142"/>
              <w:rPr>
                <w:rFonts w:eastAsia="Calibri"/>
                <w:b/>
                <w:sz w:val="18"/>
                <w:szCs w:val="18"/>
              </w:rPr>
            </w:pPr>
            <w:r w:rsidRPr="00163EE1">
              <w:rPr>
                <w:rFonts w:eastAsia="Calibri"/>
                <w:b/>
                <w:sz w:val="18"/>
                <w:szCs w:val="18"/>
              </w:rPr>
              <w:t>ADF value</w:t>
            </w:r>
          </w:p>
        </w:tc>
        <w:tc>
          <w:tcPr>
            <w:tcW w:w="3827" w:type="dxa"/>
            <w:gridSpan w:val="3"/>
            <w:tcBorders>
              <w:top w:val="single" w:sz="4" w:space="0" w:color="auto"/>
              <w:bottom w:val="single" w:sz="4" w:space="0" w:color="auto"/>
            </w:tcBorders>
            <w:shd w:val="clear" w:color="auto" w:fill="auto"/>
            <w:vAlign w:val="center"/>
          </w:tcPr>
          <w:p w:rsidR="00163EE1" w:rsidRPr="00163EE1" w:rsidRDefault="00163EE1" w:rsidP="00336A65">
            <w:pPr>
              <w:ind w:left="142"/>
              <w:jc w:val="center"/>
              <w:rPr>
                <w:rFonts w:eastAsia="Calibri"/>
                <w:b/>
                <w:sz w:val="18"/>
                <w:szCs w:val="18"/>
              </w:rPr>
            </w:pPr>
            <w:r w:rsidRPr="00163EE1">
              <w:rPr>
                <w:rFonts w:eastAsia="Calibri"/>
                <w:b/>
                <w:sz w:val="18"/>
                <w:szCs w:val="18"/>
              </w:rPr>
              <w:t>ADF Critical Value</w:t>
            </w:r>
          </w:p>
        </w:tc>
        <w:tc>
          <w:tcPr>
            <w:tcW w:w="1134" w:type="dxa"/>
            <w:vMerge w:val="restart"/>
            <w:tcBorders>
              <w:top w:val="single" w:sz="4" w:space="0" w:color="auto"/>
              <w:bottom w:val="single" w:sz="4" w:space="0" w:color="auto"/>
            </w:tcBorders>
            <w:shd w:val="clear" w:color="auto" w:fill="auto"/>
            <w:vAlign w:val="center"/>
          </w:tcPr>
          <w:p w:rsidR="00163EE1" w:rsidRPr="00163EE1" w:rsidRDefault="00163EE1" w:rsidP="00336A65">
            <w:pPr>
              <w:ind w:left="142"/>
              <w:jc w:val="center"/>
              <w:rPr>
                <w:rFonts w:eastAsia="Calibri"/>
                <w:b/>
                <w:sz w:val="18"/>
                <w:szCs w:val="18"/>
                <w:lang w:val="id-ID"/>
              </w:rPr>
            </w:pPr>
            <w:r w:rsidRPr="00163EE1">
              <w:rPr>
                <w:rFonts w:eastAsia="Calibri"/>
                <w:b/>
                <w:sz w:val="18"/>
                <w:szCs w:val="18"/>
              </w:rPr>
              <w:t>Pro</w:t>
            </w:r>
            <w:r w:rsidRPr="00163EE1">
              <w:rPr>
                <w:rFonts w:eastAsia="Calibri"/>
                <w:b/>
                <w:sz w:val="18"/>
                <w:szCs w:val="18"/>
                <w:lang w:val="id-ID"/>
              </w:rPr>
              <w:t>b.</w:t>
            </w:r>
          </w:p>
        </w:tc>
        <w:tc>
          <w:tcPr>
            <w:tcW w:w="1168" w:type="dxa"/>
            <w:vMerge w:val="restart"/>
            <w:tcBorders>
              <w:top w:val="single" w:sz="4" w:space="0" w:color="auto"/>
              <w:bottom w:val="single" w:sz="4" w:space="0" w:color="auto"/>
            </w:tcBorders>
            <w:shd w:val="clear" w:color="auto" w:fill="auto"/>
            <w:vAlign w:val="center"/>
          </w:tcPr>
          <w:p w:rsidR="00163EE1" w:rsidRPr="00163EE1" w:rsidRDefault="00163EE1" w:rsidP="00336A65">
            <w:pPr>
              <w:ind w:left="142"/>
              <w:rPr>
                <w:rFonts w:eastAsia="Calibri"/>
                <w:b/>
                <w:sz w:val="18"/>
                <w:szCs w:val="18"/>
              </w:rPr>
            </w:pPr>
            <w:r w:rsidRPr="00163EE1">
              <w:rPr>
                <w:rFonts w:eastAsia="Calibri"/>
                <w:b/>
                <w:sz w:val="18"/>
                <w:szCs w:val="18"/>
              </w:rPr>
              <w:t>Decision</w:t>
            </w:r>
          </w:p>
        </w:tc>
      </w:tr>
      <w:tr w:rsidR="00163EE1" w:rsidRPr="00163EE1" w:rsidTr="00336A65">
        <w:tc>
          <w:tcPr>
            <w:tcW w:w="1242" w:type="dxa"/>
            <w:vMerge/>
            <w:tcBorders>
              <w:top w:val="nil"/>
              <w:bottom w:val="single" w:sz="4" w:space="0" w:color="auto"/>
            </w:tcBorders>
            <w:shd w:val="clear" w:color="auto" w:fill="auto"/>
          </w:tcPr>
          <w:p w:rsidR="00163EE1" w:rsidRPr="00163EE1" w:rsidRDefault="00163EE1" w:rsidP="00336A65">
            <w:pPr>
              <w:ind w:left="142"/>
              <w:rPr>
                <w:rFonts w:eastAsia="Calibri"/>
                <w:b/>
                <w:sz w:val="18"/>
                <w:szCs w:val="18"/>
              </w:rPr>
            </w:pPr>
          </w:p>
        </w:tc>
        <w:tc>
          <w:tcPr>
            <w:tcW w:w="1276" w:type="dxa"/>
            <w:vMerge/>
            <w:tcBorders>
              <w:top w:val="nil"/>
              <w:bottom w:val="single" w:sz="4" w:space="0" w:color="auto"/>
            </w:tcBorders>
            <w:shd w:val="clear" w:color="auto" w:fill="auto"/>
          </w:tcPr>
          <w:p w:rsidR="00163EE1" w:rsidRPr="00163EE1" w:rsidRDefault="00163EE1" w:rsidP="00336A65">
            <w:pPr>
              <w:ind w:left="142"/>
              <w:rPr>
                <w:rFonts w:eastAsia="Calibri"/>
                <w:b/>
                <w:sz w:val="18"/>
                <w:szCs w:val="18"/>
              </w:rPr>
            </w:pPr>
          </w:p>
        </w:tc>
        <w:tc>
          <w:tcPr>
            <w:tcW w:w="1276" w:type="dxa"/>
            <w:tcBorders>
              <w:top w:val="single" w:sz="4" w:space="0" w:color="auto"/>
              <w:bottom w:val="single" w:sz="4" w:space="0" w:color="auto"/>
            </w:tcBorders>
            <w:shd w:val="clear" w:color="auto" w:fill="auto"/>
            <w:vAlign w:val="center"/>
          </w:tcPr>
          <w:p w:rsidR="00163EE1" w:rsidRPr="00163EE1" w:rsidRDefault="00163EE1" w:rsidP="00336A65">
            <w:pPr>
              <w:ind w:left="142"/>
              <w:jc w:val="center"/>
              <w:rPr>
                <w:rFonts w:eastAsia="Calibri"/>
                <w:b/>
                <w:sz w:val="18"/>
                <w:szCs w:val="18"/>
              </w:rPr>
            </w:pPr>
            <w:r w:rsidRPr="00163EE1">
              <w:rPr>
                <w:rFonts w:eastAsia="Calibri"/>
                <w:b/>
                <w:sz w:val="18"/>
                <w:szCs w:val="18"/>
              </w:rPr>
              <w:t>1%</w:t>
            </w:r>
          </w:p>
        </w:tc>
        <w:tc>
          <w:tcPr>
            <w:tcW w:w="1275" w:type="dxa"/>
            <w:tcBorders>
              <w:top w:val="single" w:sz="4" w:space="0" w:color="auto"/>
              <w:bottom w:val="single" w:sz="4" w:space="0" w:color="auto"/>
            </w:tcBorders>
            <w:shd w:val="clear" w:color="auto" w:fill="auto"/>
            <w:vAlign w:val="center"/>
          </w:tcPr>
          <w:p w:rsidR="00163EE1" w:rsidRPr="00163EE1" w:rsidRDefault="00163EE1" w:rsidP="00336A65">
            <w:pPr>
              <w:ind w:left="142"/>
              <w:jc w:val="center"/>
              <w:rPr>
                <w:rFonts w:eastAsia="Calibri"/>
                <w:b/>
                <w:sz w:val="18"/>
                <w:szCs w:val="18"/>
              </w:rPr>
            </w:pPr>
            <w:r w:rsidRPr="00163EE1">
              <w:rPr>
                <w:rFonts w:eastAsia="Calibri"/>
                <w:b/>
                <w:sz w:val="18"/>
                <w:szCs w:val="18"/>
              </w:rPr>
              <w:t>5%</w:t>
            </w:r>
          </w:p>
        </w:tc>
        <w:tc>
          <w:tcPr>
            <w:tcW w:w="1276" w:type="dxa"/>
            <w:tcBorders>
              <w:top w:val="single" w:sz="4" w:space="0" w:color="auto"/>
              <w:bottom w:val="single" w:sz="4" w:space="0" w:color="auto"/>
            </w:tcBorders>
            <w:shd w:val="clear" w:color="auto" w:fill="auto"/>
            <w:vAlign w:val="center"/>
          </w:tcPr>
          <w:p w:rsidR="00163EE1" w:rsidRPr="00163EE1" w:rsidRDefault="00163EE1" w:rsidP="00336A65">
            <w:pPr>
              <w:ind w:left="142"/>
              <w:jc w:val="center"/>
              <w:rPr>
                <w:rFonts w:eastAsia="Calibri"/>
                <w:b/>
                <w:sz w:val="18"/>
                <w:szCs w:val="18"/>
              </w:rPr>
            </w:pPr>
            <w:r w:rsidRPr="00163EE1">
              <w:rPr>
                <w:rFonts w:eastAsia="Calibri"/>
                <w:b/>
                <w:sz w:val="18"/>
                <w:szCs w:val="18"/>
              </w:rPr>
              <w:t>10%</w:t>
            </w:r>
          </w:p>
        </w:tc>
        <w:tc>
          <w:tcPr>
            <w:tcW w:w="1134" w:type="dxa"/>
            <w:vMerge/>
            <w:tcBorders>
              <w:top w:val="nil"/>
              <w:bottom w:val="single" w:sz="4" w:space="0" w:color="auto"/>
            </w:tcBorders>
            <w:shd w:val="clear" w:color="auto" w:fill="auto"/>
          </w:tcPr>
          <w:p w:rsidR="00163EE1" w:rsidRPr="00163EE1" w:rsidRDefault="00163EE1" w:rsidP="00336A65">
            <w:pPr>
              <w:ind w:left="142"/>
              <w:rPr>
                <w:rFonts w:eastAsia="Calibri"/>
                <w:b/>
                <w:sz w:val="18"/>
                <w:szCs w:val="18"/>
              </w:rPr>
            </w:pPr>
          </w:p>
        </w:tc>
        <w:tc>
          <w:tcPr>
            <w:tcW w:w="1168" w:type="dxa"/>
            <w:vMerge/>
            <w:tcBorders>
              <w:top w:val="nil"/>
              <w:bottom w:val="single" w:sz="4" w:space="0" w:color="auto"/>
            </w:tcBorders>
            <w:shd w:val="clear" w:color="auto" w:fill="auto"/>
          </w:tcPr>
          <w:p w:rsidR="00163EE1" w:rsidRPr="00163EE1" w:rsidRDefault="00163EE1" w:rsidP="00336A65">
            <w:pPr>
              <w:ind w:left="142"/>
              <w:rPr>
                <w:rFonts w:eastAsia="Calibri"/>
                <w:b/>
                <w:sz w:val="18"/>
                <w:szCs w:val="18"/>
              </w:rPr>
            </w:pPr>
          </w:p>
        </w:tc>
      </w:tr>
      <w:tr w:rsidR="00163EE1" w:rsidRPr="00163EE1" w:rsidTr="00336A65">
        <w:trPr>
          <w:trHeight w:val="333"/>
        </w:trPr>
        <w:tc>
          <w:tcPr>
            <w:tcW w:w="1242" w:type="dxa"/>
            <w:tcBorders>
              <w:top w:val="single" w:sz="4" w:space="0" w:color="auto"/>
              <w:bottom w:val="single" w:sz="4" w:space="0" w:color="auto"/>
            </w:tcBorders>
            <w:shd w:val="clear" w:color="auto" w:fill="auto"/>
          </w:tcPr>
          <w:p w:rsidR="00163EE1" w:rsidRPr="00163EE1" w:rsidRDefault="00163EE1" w:rsidP="00336A65">
            <w:pPr>
              <w:ind w:left="142"/>
              <w:rPr>
                <w:rFonts w:eastAsia="Calibri"/>
                <w:sz w:val="18"/>
                <w:szCs w:val="18"/>
              </w:rPr>
            </w:pPr>
            <w:r w:rsidRPr="00163EE1">
              <w:rPr>
                <w:rFonts w:eastAsia="Calibri"/>
                <w:sz w:val="18"/>
                <w:szCs w:val="18"/>
              </w:rPr>
              <w:t xml:space="preserve">Residual </w:t>
            </w:r>
          </w:p>
        </w:tc>
        <w:tc>
          <w:tcPr>
            <w:tcW w:w="1276" w:type="dxa"/>
            <w:tcBorders>
              <w:top w:val="single" w:sz="4" w:space="0" w:color="auto"/>
              <w:bottom w:val="single" w:sz="4" w:space="0" w:color="auto"/>
            </w:tcBorders>
            <w:shd w:val="clear" w:color="auto" w:fill="auto"/>
          </w:tcPr>
          <w:p w:rsidR="00163EE1" w:rsidRPr="00163EE1" w:rsidRDefault="00163EE1" w:rsidP="00336A65">
            <w:pPr>
              <w:ind w:left="142"/>
              <w:rPr>
                <w:rFonts w:eastAsia="Calibri"/>
                <w:sz w:val="18"/>
                <w:szCs w:val="18"/>
                <w:lang w:val="id-ID"/>
              </w:rPr>
            </w:pPr>
            <w:r w:rsidRPr="00163EE1">
              <w:rPr>
                <w:rFonts w:eastAsia="Calibri"/>
                <w:sz w:val="18"/>
                <w:szCs w:val="18"/>
              </w:rPr>
              <w:t>-10,569</w:t>
            </w:r>
          </w:p>
        </w:tc>
        <w:tc>
          <w:tcPr>
            <w:tcW w:w="1276" w:type="dxa"/>
            <w:tcBorders>
              <w:top w:val="single" w:sz="4" w:space="0" w:color="auto"/>
              <w:bottom w:val="single" w:sz="4" w:space="0" w:color="auto"/>
            </w:tcBorders>
            <w:shd w:val="clear" w:color="auto" w:fill="auto"/>
          </w:tcPr>
          <w:p w:rsidR="00163EE1" w:rsidRPr="00163EE1" w:rsidRDefault="00163EE1" w:rsidP="00336A65">
            <w:pPr>
              <w:ind w:left="142"/>
              <w:rPr>
                <w:rFonts w:eastAsia="Calibri"/>
                <w:sz w:val="18"/>
                <w:szCs w:val="18"/>
              </w:rPr>
            </w:pPr>
            <w:r w:rsidRPr="00163EE1">
              <w:rPr>
                <w:rFonts w:eastAsia="Calibri"/>
                <w:sz w:val="18"/>
                <w:szCs w:val="18"/>
              </w:rPr>
              <w:t>-4,0383</w:t>
            </w:r>
          </w:p>
        </w:tc>
        <w:tc>
          <w:tcPr>
            <w:tcW w:w="1275" w:type="dxa"/>
            <w:tcBorders>
              <w:top w:val="single" w:sz="4" w:space="0" w:color="auto"/>
              <w:bottom w:val="single" w:sz="4" w:space="0" w:color="auto"/>
            </w:tcBorders>
            <w:shd w:val="clear" w:color="auto" w:fill="auto"/>
          </w:tcPr>
          <w:p w:rsidR="00163EE1" w:rsidRPr="00163EE1" w:rsidRDefault="00163EE1" w:rsidP="00336A65">
            <w:pPr>
              <w:ind w:left="142"/>
              <w:rPr>
                <w:rFonts w:eastAsia="Calibri"/>
                <w:sz w:val="18"/>
                <w:szCs w:val="18"/>
              </w:rPr>
            </w:pPr>
            <w:r w:rsidRPr="00163EE1">
              <w:rPr>
                <w:rFonts w:eastAsia="Calibri"/>
                <w:sz w:val="18"/>
                <w:szCs w:val="18"/>
              </w:rPr>
              <w:t>-3.4480</w:t>
            </w:r>
          </w:p>
        </w:tc>
        <w:tc>
          <w:tcPr>
            <w:tcW w:w="1276" w:type="dxa"/>
            <w:tcBorders>
              <w:top w:val="single" w:sz="4" w:space="0" w:color="auto"/>
              <w:bottom w:val="single" w:sz="4" w:space="0" w:color="auto"/>
            </w:tcBorders>
            <w:shd w:val="clear" w:color="auto" w:fill="auto"/>
          </w:tcPr>
          <w:p w:rsidR="00163EE1" w:rsidRPr="00163EE1" w:rsidRDefault="00163EE1" w:rsidP="00336A65">
            <w:pPr>
              <w:ind w:left="142"/>
              <w:rPr>
                <w:rFonts w:eastAsia="Calibri"/>
                <w:sz w:val="18"/>
                <w:szCs w:val="18"/>
              </w:rPr>
            </w:pPr>
            <w:r w:rsidRPr="00163EE1">
              <w:rPr>
                <w:rFonts w:eastAsia="Calibri"/>
                <w:sz w:val="18"/>
                <w:szCs w:val="18"/>
              </w:rPr>
              <w:t>-3.1495</w:t>
            </w:r>
          </w:p>
        </w:tc>
        <w:tc>
          <w:tcPr>
            <w:tcW w:w="1134" w:type="dxa"/>
            <w:tcBorders>
              <w:top w:val="single" w:sz="4" w:space="0" w:color="auto"/>
              <w:bottom w:val="single" w:sz="4" w:space="0" w:color="auto"/>
            </w:tcBorders>
            <w:shd w:val="clear" w:color="auto" w:fill="auto"/>
          </w:tcPr>
          <w:p w:rsidR="00163EE1" w:rsidRPr="00163EE1" w:rsidRDefault="00163EE1" w:rsidP="00336A65">
            <w:pPr>
              <w:ind w:left="142"/>
              <w:rPr>
                <w:rFonts w:eastAsia="Calibri"/>
                <w:sz w:val="18"/>
                <w:szCs w:val="18"/>
              </w:rPr>
            </w:pPr>
            <w:r w:rsidRPr="00163EE1">
              <w:rPr>
                <w:rFonts w:eastAsia="Calibri"/>
                <w:sz w:val="18"/>
                <w:szCs w:val="18"/>
              </w:rPr>
              <w:t>0.0000</w:t>
            </w:r>
          </w:p>
        </w:tc>
        <w:tc>
          <w:tcPr>
            <w:tcW w:w="1168" w:type="dxa"/>
            <w:tcBorders>
              <w:top w:val="single" w:sz="4" w:space="0" w:color="auto"/>
              <w:bottom w:val="single" w:sz="4" w:space="0" w:color="auto"/>
            </w:tcBorders>
            <w:shd w:val="clear" w:color="auto" w:fill="auto"/>
          </w:tcPr>
          <w:p w:rsidR="00163EE1" w:rsidRPr="00163EE1" w:rsidRDefault="00163EE1" w:rsidP="00336A65">
            <w:pPr>
              <w:ind w:left="142"/>
              <w:rPr>
                <w:rFonts w:eastAsia="Calibri"/>
                <w:sz w:val="18"/>
                <w:szCs w:val="18"/>
              </w:rPr>
            </w:pPr>
            <w:r w:rsidRPr="00163EE1">
              <w:rPr>
                <w:rFonts w:eastAsia="Calibri"/>
                <w:sz w:val="18"/>
                <w:szCs w:val="18"/>
              </w:rPr>
              <w:t>Stationary</w:t>
            </w:r>
          </w:p>
        </w:tc>
      </w:tr>
    </w:tbl>
    <w:p w:rsidR="00163EE1" w:rsidRDefault="00163EE1" w:rsidP="00336A65">
      <w:pPr>
        <w:autoSpaceDE w:val="0"/>
        <w:autoSpaceDN w:val="0"/>
        <w:adjustRightInd w:val="0"/>
        <w:ind w:left="142"/>
        <w:rPr>
          <w:i/>
          <w:lang w:val="id-ID"/>
        </w:rPr>
      </w:pPr>
    </w:p>
    <w:p w:rsidR="00163EE1" w:rsidRPr="006E65BB" w:rsidRDefault="00163EE1" w:rsidP="006E65BB">
      <w:pPr>
        <w:autoSpaceDE w:val="0"/>
        <w:autoSpaceDN w:val="0"/>
        <w:adjustRightInd w:val="0"/>
        <w:spacing w:before="58" w:line="278" w:lineRule="auto"/>
        <w:ind w:left="142" w:right="238" w:firstLine="578"/>
        <w:jc w:val="both"/>
        <w:rPr>
          <w:sz w:val="24"/>
          <w:szCs w:val="24"/>
        </w:rPr>
      </w:pPr>
      <w:r w:rsidRPr="006E65BB">
        <w:rPr>
          <w:sz w:val="24"/>
          <w:szCs w:val="24"/>
        </w:rPr>
        <w:t xml:space="preserve">Table 4 shows that there is a long-term relationship between variables, because the residuals are stationary at the 1%, 5% and 10% levels. </w:t>
      </w:r>
    </w:p>
    <w:p w:rsidR="00163EE1" w:rsidRDefault="00163EE1" w:rsidP="00163EE1">
      <w:pPr>
        <w:autoSpaceDE w:val="0"/>
        <w:autoSpaceDN w:val="0"/>
        <w:adjustRightInd w:val="0"/>
      </w:pPr>
    </w:p>
    <w:p w:rsidR="00163EE1" w:rsidRPr="000A2EAF" w:rsidRDefault="00163EE1" w:rsidP="00163EE1">
      <w:pPr>
        <w:autoSpaceDE w:val="0"/>
        <w:autoSpaceDN w:val="0"/>
        <w:adjustRightInd w:val="0"/>
      </w:pPr>
    </w:p>
    <w:p w:rsidR="00163EE1" w:rsidRPr="00336A65" w:rsidRDefault="00163EE1" w:rsidP="00163EE1">
      <w:pPr>
        <w:autoSpaceDE w:val="0"/>
        <w:autoSpaceDN w:val="0"/>
        <w:adjustRightInd w:val="0"/>
        <w:jc w:val="center"/>
        <w:rPr>
          <w:rFonts w:ascii="Century Gothic" w:hAnsi="Century Gothic"/>
        </w:rPr>
      </w:pPr>
      <w:r w:rsidRPr="00336A65">
        <w:rPr>
          <w:rFonts w:ascii="Century Gothic" w:hAnsi="Century Gothic"/>
        </w:rPr>
        <w:t xml:space="preserve">Table </w:t>
      </w:r>
      <w:r w:rsidR="006E65BB">
        <w:rPr>
          <w:rFonts w:ascii="Century Gothic" w:hAnsi="Century Gothic"/>
          <w:lang w:val="id-ID"/>
        </w:rPr>
        <w:t>5</w:t>
      </w:r>
      <w:r w:rsidR="006E65BB">
        <w:rPr>
          <w:rFonts w:ascii="Century Gothic" w:hAnsi="Century Gothic"/>
        </w:rPr>
        <w:t>.</w:t>
      </w:r>
      <w:r w:rsidRPr="00336A65">
        <w:rPr>
          <w:rFonts w:ascii="Century Gothic" w:hAnsi="Century Gothic"/>
          <w:lang w:val="id-ID"/>
        </w:rPr>
        <w:t xml:space="preserve"> </w:t>
      </w:r>
      <w:r w:rsidRPr="00336A65">
        <w:rPr>
          <w:rFonts w:ascii="Century Gothic" w:hAnsi="Century Gothic"/>
        </w:rPr>
        <w:t>Results of Long Run Equations</w:t>
      </w:r>
    </w:p>
    <w:tbl>
      <w:tblPr>
        <w:tblW w:w="4889" w:type="pct"/>
        <w:jc w:val="center"/>
        <w:tblBorders>
          <w:top w:val="single" w:sz="4" w:space="0" w:color="auto"/>
          <w:bottom w:val="single" w:sz="4" w:space="0" w:color="auto"/>
        </w:tblBorders>
        <w:tblLook w:val="04A0" w:firstRow="1" w:lastRow="0" w:firstColumn="1" w:lastColumn="0" w:noHBand="0" w:noVBand="1"/>
      </w:tblPr>
      <w:tblGrid>
        <w:gridCol w:w="2608"/>
        <w:gridCol w:w="2208"/>
        <w:gridCol w:w="2005"/>
        <w:gridCol w:w="2005"/>
      </w:tblGrid>
      <w:tr w:rsidR="00336A65" w:rsidRPr="00336A65" w:rsidTr="001C1DC3">
        <w:trPr>
          <w:trHeight w:val="440"/>
          <w:jc w:val="center"/>
        </w:trPr>
        <w:tc>
          <w:tcPr>
            <w:tcW w:w="1477" w:type="pct"/>
            <w:tcBorders>
              <w:top w:val="single" w:sz="4" w:space="0" w:color="auto"/>
              <w:bottom w:val="single" w:sz="4" w:space="0" w:color="auto"/>
            </w:tcBorders>
            <w:shd w:val="clear" w:color="auto" w:fill="auto"/>
            <w:vAlign w:val="center"/>
          </w:tcPr>
          <w:p w:rsidR="00336A65" w:rsidRPr="00336A65" w:rsidRDefault="00336A65" w:rsidP="001C1DC3">
            <w:pPr>
              <w:autoSpaceDE w:val="0"/>
              <w:autoSpaceDN w:val="0"/>
              <w:adjustRightInd w:val="0"/>
              <w:ind w:left="34"/>
              <w:jc w:val="center"/>
              <w:rPr>
                <w:rFonts w:eastAsia="Calibri"/>
                <w:sz w:val="18"/>
                <w:szCs w:val="18"/>
              </w:rPr>
            </w:pPr>
            <w:r w:rsidRPr="00336A65">
              <w:rPr>
                <w:rFonts w:eastAsia="Calibri"/>
                <w:sz w:val="18"/>
                <w:szCs w:val="18"/>
              </w:rPr>
              <w:t>Independent variable</w:t>
            </w:r>
          </w:p>
        </w:tc>
        <w:tc>
          <w:tcPr>
            <w:tcW w:w="1251" w:type="pct"/>
            <w:tcBorders>
              <w:top w:val="single" w:sz="4" w:space="0" w:color="auto"/>
              <w:bottom w:val="single" w:sz="4" w:space="0" w:color="auto"/>
            </w:tcBorders>
            <w:shd w:val="clear" w:color="auto" w:fill="auto"/>
            <w:vAlign w:val="center"/>
          </w:tcPr>
          <w:p w:rsidR="00336A65" w:rsidRPr="00336A65" w:rsidRDefault="00336A65" w:rsidP="006E65BB">
            <w:pPr>
              <w:autoSpaceDE w:val="0"/>
              <w:autoSpaceDN w:val="0"/>
              <w:adjustRightInd w:val="0"/>
              <w:rPr>
                <w:rFonts w:eastAsia="Calibri"/>
                <w:sz w:val="18"/>
                <w:szCs w:val="18"/>
              </w:rPr>
            </w:pPr>
            <w:r w:rsidRPr="00336A65">
              <w:rPr>
                <w:rFonts w:eastAsia="Calibri"/>
                <w:sz w:val="18"/>
                <w:szCs w:val="18"/>
              </w:rPr>
              <w:t>Coefficient</w:t>
            </w:r>
          </w:p>
        </w:tc>
        <w:tc>
          <w:tcPr>
            <w:tcW w:w="1136" w:type="pct"/>
            <w:tcBorders>
              <w:top w:val="single" w:sz="4" w:space="0" w:color="auto"/>
              <w:bottom w:val="single" w:sz="4" w:space="0" w:color="auto"/>
            </w:tcBorders>
            <w:shd w:val="clear" w:color="auto" w:fill="auto"/>
            <w:vAlign w:val="center"/>
          </w:tcPr>
          <w:p w:rsidR="00336A65" w:rsidRPr="00336A65" w:rsidRDefault="00336A65" w:rsidP="006E65BB">
            <w:pPr>
              <w:autoSpaceDE w:val="0"/>
              <w:autoSpaceDN w:val="0"/>
              <w:adjustRightInd w:val="0"/>
              <w:rPr>
                <w:rFonts w:eastAsia="Calibri"/>
                <w:sz w:val="18"/>
                <w:szCs w:val="18"/>
              </w:rPr>
            </w:pPr>
            <w:r w:rsidRPr="00336A65">
              <w:rPr>
                <w:rFonts w:eastAsia="Calibri"/>
                <w:sz w:val="18"/>
                <w:szCs w:val="18"/>
              </w:rPr>
              <w:t>t-statistics</w:t>
            </w:r>
          </w:p>
        </w:tc>
        <w:tc>
          <w:tcPr>
            <w:tcW w:w="1136" w:type="pct"/>
            <w:tcBorders>
              <w:top w:val="single" w:sz="4" w:space="0" w:color="auto"/>
              <w:bottom w:val="single" w:sz="4" w:space="0" w:color="auto"/>
            </w:tcBorders>
            <w:shd w:val="clear" w:color="auto" w:fill="auto"/>
            <w:vAlign w:val="center"/>
          </w:tcPr>
          <w:p w:rsidR="00336A65" w:rsidRPr="00336A65" w:rsidRDefault="00336A65" w:rsidP="00336A65">
            <w:pPr>
              <w:autoSpaceDE w:val="0"/>
              <w:autoSpaceDN w:val="0"/>
              <w:adjustRightInd w:val="0"/>
              <w:rPr>
                <w:rFonts w:eastAsia="Calibri"/>
                <w:sz w:val="18"/>
                <w:szCs w:val="18"/>
              </w:rPr>
            </w:pPr>
            <w:r w:rsidRPr="00336A65">
              <w:rPr>
                <w:rFonts w:eastAsia="Calibri"/>
                <w:sz w:val="18"/>
                <w:szCs w:val="18"/>
              </w:rPr>
              <w:t>Prob</w:t>
            </w:r>
          </w:p>
        </w:tc>
      </w:tr>
      <w:tr w:rsidR="00336A65" w:rsidRPr="00336A65" w:rsidTr="001C1DC3">
        <w:trPr>
          <w:trHeight w:val="209"/>
          <w:jc w:val="center"/>
        </w:trPr>
        <w:tc>
          <w:tcPr>
            <w:tcW w:w="1477" w:type="pct"/>
            <w:tcBorders>
              <w:top w:val="single" w:sz="4" w:space="0" w:color="auto"/>
              <w:bottom w:val="nil"/>
            </w:tcBorders>
            <w:shd w:val="clear" w:color="auto" w:fill="auto"/>
            <w:vAlign w:val="center"/>
          </w:tcPr>
          <w:p w:rsidR="00336A65" w:rsidRPr="00336A65" w:rsidRDefault="00336A65" w:rsidP="001C1DC3">
            <w:pPr>
              <w:autoSpaceDE w:val="0"/>
              <w:autoSpaceDN w:val="0"/>
              <w:adjustRightInd w:val="0"/>
              <w:ind w:left="34"/>
              <w:rPr>
                <w:rFonts w:eastAsia="Calibri"/>
                <w:sz w:val="18"/>
                <w:szCs w:val="18"/>
              </w:rPr>
            </w:pPr>
            <w:r w:rsidRPr="00336A65">
              <w:rPr>
                <w:rFonts w:eastAsia="Calibri"/>
                <w:sz w:val="18"/>
                <w:szCs w:val="18"/>
              </w:rPr>
              <w:t>C</w:t>
            </w:r>
          </w:p>
        </w:tc>
        <w:tc>
          <w:tcPr>
            <w:tcW w:w="1251" w:type="pct"/>
            <w:tcBorders>
              <w:top w:val="single" w:sz="4" w:space="0" w:color="auto"/>
              <w:bottom w:val="nil"/>
            </w:tcBorders>
            <w:shd w:val="clear" w:color="auto" w:fill="auto"/>
            <w:vAlign w:val="center"/>
          </w:tcPr>
          <w:p w:rsidR="00336A65" w:rsidRPr="00336A65" w:rsidRDefault="00336A65" w:rsidP="006E65BB">
            <w:pPr>
              <w:autoSpaceDE w:val="0"/>
              <w:autoSpaceDN w:val="0"/>
              <w:adjustRightInd w:val="0"/>
              <w:rPr>
                <w:rFonts w:eastAsia="Calibri"/>
                <w:sz w:val="18"/>
                <w:szCs w:val="18"/>
              </w:rPr>
            </w:pPr>
            <w:r>
              <w:rPr>
                <w:rFonts w:eastAsia="Calibri"/>
                <w:sz w:val="18"/>
                <w:szCs w:val="18"/>
              </w:rPr>
              <w:t xml:space="preserve">  </w:t>
            </w:r>
            <w:r w:rsidRPr="00336A65">
              <w:rPr>
                <w:rFonts w:eastAsia="Calibri"/>
                <w:sz w:val="18"/>
                <w:szCs w:val="18"/>
              </w:rPr>
              <w:t>8857</w:t>
            </w:r>
          </w:p>
        </w:tc>
        <w:tc>
          <w:tcPr>
            <w:tcW w:w="1136" w:type="pct"/>
            <w:tcBorders>
              <w:top w:val="single" w:sz="4" w:space="0" w:color="auto"/>
              <w:bottom w:val="nil"/>
            </w:tcBorders>
            <w:shd w:val="clear" w:color="auto" w:fill="auto"/>
            <w:vAlign w:val="center"/>
          </w:tcPr>
          <w:p w:rsidR="00336A65" w:rsidRPr="00336A65" w:rsidRDefault="00336A65" w:rsidP="006E65BB">
            <w:pPr>
              <w:autoSpaceDE w:val="0"/>
              <w:autoSpaceDN w:val="0"/>
              <w:adjustRightInd w:val="0"/>
              <w:rPr>
                <w:rFonts w:eastAsia="Calibri"/>
                <w:sz w:val="18"/>
                <w:szCs w:val="18"/>
              </w:rPr>
            </w:pPr>
            <w:r>
              <w:rPr>
                <w:rFonts w:eastAsia="Calibri"/>
                <w:sz w:val="18"/>
                <w:szCs w:val="18"/>
              </w:rPr>
              <w:t xml:space="preserve"> </w:t>
            </w:r>
            <w:r w:rsidRPr="00336A65">
              <w:rPr>
                <w:rFonts w:eastAsia="Calibri"/>
                <w:sz w:val="18"/>
                <w:szCs w:val="18"/>
              </w:rPr>
              <w:t>6183</w:t>
            </w:r>
          </w:p>
        </w:tc>
        <w:tc>
          <w:tcPr>
            <w:tcW w:w="1136" w:type="pct"/>
            <w:tcBorders>
              <w:top w:val="single" w:sz="4" w:space="0" w:color="auto"/>
              <w:bottom w:val="nil"/>
            </w:tcBorders>
            <w:shd w:val="clear" w:color="auto" w:fill="auto"/>
            <w:vAlign w:val="center"/>
          </w:tcPr>
          <w:p w:rsidR="00336A65" w:rsidRPr="00336A65" w:rsidRDefault="00336A65" w:rsidP="006E65BB">
            <w:pPr>
              <w:autoSpaceDE w:val="0"/>
              <w:autoSpaceDN w:val="0"/>
              <w:adjustRightInd w:val="0"/>
              <w:rPr>
                <w:rFonts w:eastAsia="Calibri"/>
                <w:sz w:val="18"/>
                <w:szCs w:val="18"/>
              </w:rPr>
            </w:pPr>
            <w:r w:rsidRPr="00336A65">
              <w:rPr>
                <w:rFonts w:eastAsia="Calibri"/>
                <w:sz w:val="18"/>
                <w:szCs w:val="18"/>
              </w:rPr>
              <w:t>0.0000</w:t>
            </w:r>
          </w:p>
        </w:tc>
      </w:tr>
      <w:tr w:rsidR="00336A65" w:rsidRPr="00336A65" w:rsidTr="001C1DC3">
        <w:trPr>
          <w:trHeight w:val="326"/>
          <w:jc w:val="center"/>
        </w:trPr>
        <w:tc>
          <w:tcPr>
            <w:tcW w:w="1477" w:type="pct"/>
            <w:tcBorders>
              <w:top w:val="nil"/>
              <w:bottom w:val="nil"/>
            </w:tcBorders>
            <w:shd w:val="clear" w:color="auto" w:fill="auto"/>
            <w:vAlign w:val="center"/>
          </w:tcPr>
          <w:p w:rsidR="00336A65" w:rsidRPr="00336A65" w:rsidRDefault="00336A65" w:rsidP="001C1DC3">
            <w:pPr>
              <w:autoSpaceDE w:val="0"/>
              <w:autoSpaceDN w:val="0"/>
              <w:adjustRightInd w:val="0"/>
              <w:ind w:left="34"/>
              <w:rPr>
                <w:rFonts w:eastAsia="Calibri"/>
                <w:sz w:val="18"/>
                <w:szCs w:val="18"/>
              </w:rPr>
            </w:pPr>
            <w:r w:rsidRPr="00336A65">
              <w:rPr>
                <w:rFonts w:eastAsia="Calibri"/>
                <w:sz w:val="18"/>
                <w:szCs w:val="18"/>
              </w:rPr>
              <w:t>ER</w:t>
            </w:r>
          </w:p>
        </w:tc>
        <w:tc>
          <w:tcPr>
            <w:tcW w:w="1251" w:type="pct"/>
            <w:tcBorders>
              <w:top w:val="nil"/>
              <w:bottom w:val="nil"/>
            </w:tcBorders>
            <w:shd w:val="clear" w:color="auto" w:fill="auto"/>
            <w:vAlign w:val="center"/>
          </w:tcPr>
          <w:p w:rsidR="00336A65" w:rsidRPr="00336A65" w:rsidRDefault="00336A65" w:rsidP="006E65BB">
            <w:pPr>
              <w:autoSpaceDE w:val="0"/>
              <w:autoSpaceDN w:val="0"/>
              <w:adjustRightInd w:val="0"/>
              <w:rPr>
                <w:rFonts w:eastAsia="Calibri"/>
                <w:sz w:val="18"/>
                <w:szCs w:val="18"/>
              </w:rPr>
            </w:pPr>
            <w:r w:rsidRPr="00336A65">
              <w:rPr>
                <w:rFonts w:eastAsia="Calibri"/>
                <w:sz w:val="18"/>
                <w:szCs w:val="18"/>
              </w:rPr>
              <w:t>-1391.5</w:t>
            </w:r>
          </w:p>
        </w:tc>
        <w:tc>
          <w:tcPr>
            <w:tcW w:w="1136" w:type="pct"/>
            <w:tcBorders>
              <w:top w:val="nil"/>
              <w:bottom w:val="nil"/>
            </w:tcBorders>
            <w:shd w:val="clear" w:color="auto" w:fill="auto"/>
            <w:vAlign w:val="center"/>
          </w:tcPr>
          <w:p w:rsidR="00336A65" w:rsidRPr="00336A65" w:rsidRDefault="00336A65" w:rsidP="006E65BB">
            <w:pPr>
              <w:autoSpaceDE w:val="0"/>
              <w:autoSpaceDN w:val="0"/>
              <w:adjustRightInd w:val="0"/>
              <w:rPr>
                <w:rFonts w:eastAsia="Calibri"/>
                <w:sz w:val="18"/>
                <w:szCs w:val="18"/>
              </w:rPr>
            </w:pPr>
            <w:r>
              <w:rPr>
                <w:rFonts w:eastAsia="Calibri"/>
                <w:sz w:val="18"/>
                <w:szCs w:val="18"/>
              </w:rPr>
              <w:t>-1.</w:t>
            </w:r>
            <w:r w:rsidRPr="00336A65">
              <w:rPr>
                <w:rFonts w:eastAsia="Calibri"/>
                <w:sz w:val="18"/>
                <w:szCs w:val="18"/>
              </w:rPr>
              <w:t>6493</w:t>
            </w:r>
          </w:p>
        </w:tc>
        <w:tc>
          <w:tcPr>
            <w:tcW w:w="1136" w:type="pct"/>
            <w:tcBorders>
              <w:top w:val="nil"/>
              <w:bottom w:val="nil"/>
            </w:tcBorders>
            <w:shd w:val="clear" w:color="auto" w:fill="auto"/>
            <w:vAlign w:val="center"/>
          </w:tcPr>
          <w:p w:rsidR="00336A65" w:rsidRPr="00336A65" w:rsidRDefault="00336A65" w:rsidP="006E65BB">
            <w:pPr>
              <w:autoSpaceDE w:val="0"/>
              <w:autoSpaceDN w:val="0"/>
              <w:adjustRightInd w:val="0"/>
              <w:rPr>
                <w:rFonts w:eastAsia="Calibri"/>
                <w:sz w:val="18"/>
                <w:szCs w:val="18"/>
              </w:rPr>
            </w:pPr>
            <w:r w:rsidRPr="00336A65">
              <w:rPr>
                <w:rFonts w:eastAsia="Calibri"/>
                <w:sz w:val="18"/>
                <w:szCs w:val="18"/>
              </w:rPr>
              <w:t>0.1018</w:t>
            </w:r>
          </w:p>
        </w:tc>
      </w:tr>
      <w:tr w:rsidR="00336A65" w:rsidRPr="00336A65" w:rsidTr="001C1DC3">
        <w:trPr>
          <w:trHeight w:val="72"/>
          <w:jc w:val="center"/>
        </w:trPr>
        <w:tc>
          <w:tcPr>
            <w:tcW w:w="1477" w:type="pct"/>
            <w:tcBorders>
              <w:top w:val="nil"/>
              <w:bottom w:val="single" w:sz="4" w:space="0" w:color="auto"/>
            </w:tcBorders>
            <w:shd w:val="clear" w:color="auto" w:fill="auto"/>
            <w:vAlign w:val="center"/>
          </w:tcPr>
          <w:p w:rsidR="00336A65" w:rsidRPr="00336A65" w:rsidRDefault="00336A65" w:rsidP="001C1DC3">
            <w:pPr>
              <w:autoSpaceDE w:val="0"/>
              <w:autoSpaceDN w:val="0"/>
              <w:adjustRightInd w:val="0"/>
              <w:ind w:left="34"/>
              <w:rPr>
                <w:rFonts w:eastAsia="Calibri"/>
                <w:sz w:val="18"/>
                <w:szCs w:val="18"/>
              </w:rPr>
            </w:pPr>
            <w:r w:rsidRPr="00336A65">
              <w:rPr>
                <w:rFonts w:eastAsia="Calibri"/>
                <w:sz w:val="18"/>
                <w:szCs w:val="18"/>
              </w:rPr>
              <w:t>NFT</w:t>
            </w:r>
          </w:p>
        </w:tc>
        <w:tc>
          <w:tcPr>
            <w:tcW w:w="1251" w:type="pct"/>
            <w:tcBorders>
              <w:top w:val="nil"/>
              <w:bottom w:val="single" w:sz="4" w:space="0" w:color="auto"/>
            </w:tcBorders>
            <w:shd w:val="clear" w:color="auto" w:fill="auto"/>
            <w:vAlign w:val="center"/>
          </w:tcPr>
          <w:p w:rsidR="00336A65" w:rsidRPr="00336A65" w:rsidRDefault="00336A65" w:rsidP="006E65BB">
            <w:pPr>
              <w:autoSpaceDE w:val="0"/>
              <w:autoSpaceDN w:val="0"/>
              <w:adjustRightInd w:val="0"/>
              <w:rPr>
                <w:rFonts w:eastAsia="Calibri"/>
                <w:sz w:val="18"/>
                <w:szCs w:val="18"/>
              </w:rPr>
            </w:pPr>
            <w:r>
              <w:rPr>
                <w:rFonts w:eastAsia="Calibri"/>
                <w:sz w:val="18"/>
                <w:szCs w:val="18"/>
              </w:rPr>
              <w:t xml:space="preserve"> 42.</w:t>
            </w:r>
            <w:r w:rsidRPr="00336A65">
              <w:rPr>
                <w:rFonts w:eastAsia="Calibri"/>
                <w:sz w:val="18"/>
                <w:szCs w:val="18"/>
              </w:rPr>
              <w:t>2639</w:t>
            </w:r>
          </w:p>
        </w:tc>
        <w:tc>
          <w:tcPr>
            <w:tcW w:w="1136" w:type="pct"/>
            <w:tcBorders>
              <w:top w:val="nil"/>
              <w:bottom w:val="single" w:sz="4" w:space="0" w:color="auto"/>
            </w:tcBorders>
            <w:shd w:val="clear" w:color="auto" w:fill="auto"/>
            <w:vAlign w:val="center"/>
          </w:tcPr>
          <w:p w:rsidR="00336A65" w:rsidRPr="00336A65" w:rsidRDefault="00336A65" w:rsidP="006E65BB">
            <w:pPr>
              <w:autoSpaceDE w:val="0"/>
              <w:autoSpaceDN w:val="0"/>
              <w:adjustRightInd w:val="0"/>
              <w:rPr>
                <w:rFonts w:eastAsia="Calibri"/>
                <w:sz w:val="18"/>
                <w:szCs w:val="18"/>
              </w:rPr>
            </w:pPr>
            <w:r>
              <w:rPr>
                <w:rFonts w:eastAsia="Calibri"/>
                <w:sz w:val="18"/>
                <w:szCs w:val="18"/>
              </w:rPr>
              <w:t xml:space="preserve"> 6.</w:t>
            </w:r>
            <w:r w:rsidRPr="00336A65">
              <w:rPr>
                <w:rFonts w:eastAsia="Calibri"/>
                <w:sz w:val="18"/>
                <w:szCs w:val="18"/>
              </w:rPr>
              <w:t>6838</w:t>
            </w:r>
          </w:p>
        </w:tc>
        <w:tc>
          <w:tcPr>
            <w:tcW w:w="1136" w:type="pct"/>
            <w:tcBorders>
              <w:top w:val="nil"/>
              <w:bottom w:val="single" w:sz="4" w:space="0" w:color="auto"/>
            </w:tcBorders>
            <w:shd w:val="clear" w:color="auto" w:fill="auto"/>
            <w:vAlign w:val="center"/>
          </w:tcPr>
          <w:p w:rsidR="00336A65" w:rsidRPr="00336A65" w:rsidRDefault="00336A65" w:rsidP="006E65BB">
            <w:pPr>
              <w:autoSpaceDE w:val="0"/>
              <w:autoSpaceDN w:val="0"/>
              <w:adjustRightInd w:val="0"/>
              <w:rPr>
                <w:rFonts w:eastAsia="Calibri"/>
                <w:sz w:val="18"/>
                <w:szCs w:val="18"/>
              </w:rPr>
            </w:pPr>
            <w:r w:rsidRPr="00336A65">
              <w:rPr>
                <w:rFonts w:eastAsia="Calibri"/>
                <w:sz w:val="18"/>
                <w:szCs w:val="18"/>
              </w:rPr>
              <w:t>0.0000</w:t>
            </w:r>
          </w:p>
        </w:tc>
      </w:tr>
      <w:tr w:rsidR="00336A65" w:rsidRPr="00336A65" w:rsidTr="001C1DC3">
        <w:trPr>
          <w:trHeight w:val="72"/>
          <w:jc w:val="center"/>
        </w:trPr>
        <w:tc>
          <w:tcPr>
            <w:tcW w:w="1477" w:type="pct"/>
            <w:tcBorders>
              <w:top w:val="single" w:sz="4" w:space="0" w:color="auto"/>
              <w:bottom w:val="nil"/>
            </w:tcBorders>
            <w:shd w:val="clear" w:color="auto" w:fill="auto"/>
            <w:vAlign w:val="center"/>
          </w:tcPr>
          <w:p w:rsidR="00336A65" w:rsidRPr="00336A65" w:rsidRDefault="00336A65" w:rsidP="001C1DC3">
            <w:pPr>
              <w:autoSpaceDE w:val="0"/>
              <w:autoSpaceDN w:val="0"/>
              <w:adjustRightInd w:val="0"/>
              <w:ind w:left="34"/>
              <w:rPr>
                <w:rFonts w:eastAsia="Calibri"/>
                <w:sz w:val="18"/>
                <w:szCs w:val="18"/>
              </w:rPr>
            </w:pPr>
            <w:r>
              <w:rPr>
                <w:rFonts w:eastAsia="Calibri"/>
                <w:sz w:val="18"/>
                <w:szCs w:val="18"/>
              </w:rPr>
              <w:t>Adjusted R-Square</w:t>
            </w:r>
          </w:p>
        </w:tc>
        <w:tc>
          <w:tcPr>
            <w:tcW w:w="1251" w:type="pct"/>
            <w:tcBorders>
              <w:top w:val="single" w:sz="4" w:space="0" w:color="auto"/>
              <w:bottom w:val="nil"/>
            </w:tcBorders>
            <w:shd w:val="clear" w:color="auto" w:fill="auto"/>
            <w:vAlign w:val="center"/>
          </w:tcPr>
          <w:p w:rsidR="00336A65" w:rsidRPr="00336A65" w:rsidRDefault="00336A65" w:rsidP="006E65BB">
            <w:pPr>
              <w:autoSpaceDE w:val="0"/>
              <w:autoSpaceDN w:val="0"/>
              <w:adjustRightInd w:val="0"/>
              <w:rPr>
                <w:rFonts w:eastAsia="Calibri"/>
                <w:sz w:val="18"/>
                <w:szCs w:val="18"/>
              </w:rPr>
            </w:pPr>
            <w:r>
              <w:rPr>
                <w:rFonts w:eastAsia="Calibri"/>
                <w:sz w:val="18"/>
                <w:szCs w:val="18"/>
              </w:rPr>
              <w:t xml:space="preserve"> 0.4813</w:t>
            </w:r>
          </w:p>
        </w:tc>
        <w:tc>
          <w:tcPr>
            <w:tcW w:w="1136" w:type="pct"/>
            <w:tcBorders>
              <w:top w:val="single" w:sz="4" w:space="0" w:color="auto"/>
              <w:bottom w:val="nil"/>
            </w:tcBorders>
            <w:shd w:val="clear" w:color="auto" w:fill="auto"/>
            <w:vAlign w:val="center"/>
          </w:tcPr>
          <w:p w:rsidR="00336A65" w:rsidRPr="00336A65" w:rsidRDefault="00336A65" w:rsidP="006E65BB">
            <w:pPr>
              <w:autoSpaceDE w:val="0"/>
              <w:autoSpaceDN w:val="0"/>
              <w:adjustRightInd w:val="0"/>
              <w:rPr>
                <w:rFonts w:eastAsia="Calibri"/>
                <w:sz w:val="18"/>
                <w:szCs w:val="18"/>
              </w:rPr>
            </w:pPr>
          </w:p>
        </w:tc>
        <w:tc>
          <w:tcPr>
            <w:tcW w:w="1136" w:type="pct"/>
            <w:tcBorders>
              <w:top w:val="single" w:sz="4" w:space="0" w:color="auto"/>
              <w:bottom w:val="nil"/>
            </w:tcBorders>
            <w:shd w:val="clear" w:color="auto" w:fill="auto"/>
            <w:vAlign w:val="center"/>
          </w:tcPr>
          <w:p w:rsidR="00336A65" w:rsidRPr="00336A65" w:rsidRDefault="00336A65" w:rsidP="006E65BB">
            <w:pPr>
              <w:autoSpaceDE w:val="0"/>
              <w:autoSpaceDN w:val="0"/>
              <w:adjustRightInd w:val="0"/>
              <w:rPr>
                <w:rFonts w:eastAsia="Calibri"/>
                <w:sz w:val="18"/>
                <w:szCs w:val="18"/>
              </w:rPr>
            </w:pPr>
          </w:p>
        </w:tc>
      </w:tr>
      <w:tr w:rsidR="00336A65" w:rsidRPr="00336A65" w:rsidTr="001C1DC3">
        <w:trPr>
          <w:trHeight w:val="72"/>
          <w:jc w:val="center"/>
        </w:trPr>
        <w:tc>
          <w:tcPr>
            <w:tcW w:w="1477" w:type="pct"/>
            <w:tcBorders>
              <w:top w:val="nil"/>
              <w:bottom w:val="single" w:sz="4" w:space="0" w:color="auto"/>
            </w:tcBorders>
            <w:shd w:val="clear" w:color="auto" w:fill="auto"/>
            <w:vAlign w:val="center"/>
          </w:tcPr>
          <w:p w:rsidR="00336A65" w:rsidRDefault="00336A65" w:rsidP="001C1DC3">
            <w:pPr>
              <w:autoSpaceDE w:val="0"/>
              <w:autoSpaceDN w:val="0"/>
              <w:adjustRightInd w:val="0"/>
              <w:ind w:left="34"/>
              <w:rPr>
                <w:rFonts w:eastAsia="Calibri"/>
                <w:sz w:val="18"/>
                <w:szCs w:val="18"/>
              </w:rPr>
            </w:pPr>
            <w:r>
              <w:rPr>
                <w:rFonts w:eastAsia="Calibri"/>
                <w:sz w:val="18"/>
                <w:szCs w:val="18"/>
              </w:rPr>
              <w:t>Prob F statistic</w:t>
            </w:r>
          </w:p>
        </w:tc>
        <w:tc>
          <w:tcPr>
            <w:tcW w:w="1251" w:type="pct"/>
            <w:tcBorders>
              <w:top w:val="nil"/>
              <w:bottom w:val="single" w:sz="4" w:space="0" w:color="auto"/>
            </w:tcBorders>
            <w:shd w:val="clear" w:color="auto" w:fill="auto"/>
            <w:vAlign w:val="center"/>
          </w:tcPr>
          <w:p w:rsidR="00336A65" w:rsidRPr="00336A65" w:rsidRDefault="00336A65" w:rsidP="006E65BB">
            <w:pPr>
              <w:autoSpaceDE w:val="0"/>
              <w:autoSpaceDN w:val="0"/>
              <w:adjustRightInd w:val="0"/>
              <w:rPr>
                <w:rFonts w:eastAsia="Calibri"/>
                <w:sz w:val="18"/>
                <w:szCs w:val="18"/>
              </w:rPr>
            </w:pPr>
            <w:r>
              <w:rPr>
                <w:rFonts w:eastAsia="Calibri"/>
                <w:sz w:val="18"/>
                <w:szCs w:val="18"/>
              </w:rPr>
              <w:t xml:space="preserve"> 0.000</w:t>
            </w:r>
          </w:p>
        </w:tc>
        <w:tc>
          <w:tcPr>
            <w:tcW w:w="1136" w:type="pct"/>
            <w:tcBorders>
              <w:top w:val="nil"/>
              <w:bottom w:val="single" w:sz="4" w:space="0" w:color="auto"/>
            </w:tcBorders>
            <w:shd w:val="clear" w:color="auto" w:fill="auto"/>
            <w:vAlign w:val="center"/>
          </w:tcPr>
          <w:p w:rsidR="00336A65" w:rsidRPr="00336A65" w:rsidRDefault="00336A65" w:rsidP="006E65BB">
            <w:pPr>
              <w:autoSpaceDE w:val="0"/>
              <w:autoSpaceDN w:val="0"/>
              <w:adjustRightInd w:val="0"/>
              <w:rPr>
                <w:rFonts w:eastAsia="Calibri"/>
                <w:sz w:val="18"/>
                <w:szCs w:val="18"/>
              </w:rPr>
            </w:pPr>
          </w:p>
        </w:tc>
        <w:tc>
          <w:tcPr>
            <w:tcW w:w="1136" w:type="pct"/>
            <w:tcBorders>
              <w:top w:val="nil"/>
              <w:bottom w:val="single" w:sz="4" w:space="0" w:color="auto"/>
            </w:tcBorders>
            <w:shd w:val="clear" w:color="auto" w:fill="auto"/>
            <w:vAlign w:val="center"/>
          </w:tcPr>
          <w:p w:rsidR="00336A65" w:rsidRPr="00336A65" w:rsidRDefault="00336A65" w:rsidP="006E65BB">
            <w:pPr>
              <w:autoSpaceDE w:val="0"/>
              <w:autoSpaceDN w:val="0"/>
              <w:adjustRightInd w:val="0"/>
              <w:rPr>
                <w:rFonts w:eastAsia="Calibri"/>
                <w:sz w:val="18"/>
                <w:szCs w:val="18"/>
              </w:rPr>
            </w:pPr>
          </w:p>
        </w:tc>
      </w:tr>
    </w:tbl>
    <w:p w:rsidR="00163EE1" w:rsidRDefault="00163EE1" w:rsidP="00163EE1">
      <w:pPr>
        <w:autoSpaceDE w:val="0"/>
        <w:autoSpaceDN w:val="0"/>
        <w:adjustRightInd w:val="0"/>
        <w:rPr>
          <w:i/>
          <w:lang w:val="id-ID"/>
        </w:rPr>
      </w:pPr>
      <w:r w:rsidRPr="000A2EAF">
        <w:rPr>
          <w:i/>
        </w:rPr>
        <w:t xml:space="preserve">  </w:t>
      </w:r>
    </w:p>
    <w:p w:rsidR="00163EE1" w:rsidRPr="00455F7B" w:rsidRDefault="00163EE1" w:rsidP="001C1DC3">
      <w:pPr>
        <w:autoSpaceDE w:val="0"/>
        <w:autoSpaceDN w:val="0"/>
        <w:adjustRightInd w:val="0"/>
        <w:spacing w:before="58" w:line="278" w:lineRule="auto"/>
        <w:ind w:left="142" w:right="238" w:firstLine="578"/>
        <w:jc w:val="both"/>
        <w:rPr>
          <w:sz w:val="24"/>
          <w:szCs w:val="24"/>
          <w:lang w:val="id-ID"/>
        </w:rPr>
      </w:pPr>
      <w:r w:rsidRPr="00455F7B">
        <w:rPr>
          <w:sz w:val="24"/>
          <w:szCs w:val="24"/>
        </w:rPr>
        <w:t xml:space="preserve">Table </w:t>
      </w:r>
      <w:r w:rsidR="006E65BB">
        <w:rPr>
          <w:sz w:val="24"/>
          <w:szCs w:val="24"/>
          <w:lang w:val="id-ID"/>
        </w:rPr>
        <w:t>5</w:t>
      </w:r>
      <w:r w:rsidRPr="00455F7B">
        <w:rPr>
          <w:sz w:val="24"/>
          <w:szCs w:val="24"/>
        </w:rPr>
        <w:t xml:space="preserve"> shows that the exchange rate variable has a significant t-statistic value at α = 5 percent and a probability of 0.1018 with a coefficient of -1391.5, which means that in the long run the exchange rate has a negative but insignificant effect on foreign exchange reserves in Indonesia. The number of foreign tourists who in the long run has a significant t-statistic value at α = 5 percent and a probability of 0.0000 (less than 0.05), and a coefficient of 42.2639, meaning that the variable number of foreign tourists has a positive and foreign exchange reserves in the long term. The R</w:t>
      </w:r>
      <w:r>
        <w:rPr>
          <w:sz w:val="24"/>
          <w:szCs w:val="24"/>
        </w:rPr>
        <w:t>-s</w:t>
      </w:r>
      <w:r w:rsidRPr="00455F7B">
        <w:rPr>
          <w:sz w:val="24"/>
          <w:szCs w:val="24"/>
        </w:rPr>
        <w:t>quared value of 0.4813 in this equation means that the dependent variable is influenced by the independent variable by 48 percent, and 52 percent is influenced by other variables that are not included in the model.</w:t>
      </w:r>
    </w:p>
    <w:p w:rsidR="001C1DC3" w:rsidRPr="001C1DC3" w:rsidRDefault="001C1DC3" w:rsidP="001C1DC3">
      <w:pPr>
        <w:autoSpaceDE w:val="0"/>
        <w:autoSpaceDN w:val="0"/>
        <w:adjustRightInd w:val="0"/>
        <w:spacing w:before="58" w:line="278" w:lineRule="auto"/>
        <w:ind w:left="142" w:right="238" w:firstLine="578"/>
        <w:jc w:val="both"/>
        <w:rPr>
          <w:sz w:val="24"/>
          <w:szCs w:val="24"/>
        </w:rPr>
      </w:pPr>
      <w:r w:rsidRPr="001C1DC3">
        <w:rPr>
          <w:sz w:val="24"/>
          <w:szCs w:val="24"/>
        </w:rPr>
        <w:t>ECT which is significant and has a negative value is one of the requirements for the ECM model to be valid. In Table 4.6, the ECT value of -0.0786 is obtained which is significant at α = 5 percent, and a probability of 0.0030 (less than 0.05), which means that the ECT coefficient is significant in this model, so that the independent variables used in This study has a significant effect on the dependent variable in the short and long term. This is also supported by the F-statistic probability value of 0.0000.</w:t>
      </w:r>
    </w:p>
    <w:p w:rsidR="00163EE1" w:rsidRDefault="00163EE1" w:rsidP="001C1DC3">
      <w:pPr>
        <w:autoSpaceDE w:val="0"/>
        <w:autoSpaceDN w:val="0"/>
        <w:adjustRightInd w:val="0"/>
        <w:ind w:left="142" w:right="237"/>
        <w:rPr>
          <w:lang w:val="id-ID"/>
        </w:rPr>
      </w:pPr>
    </w:p>
    <w:p w:rsidR="00163EE1" w:rsidRDefault="00163EE1" w:rsidP="001C1DC3">
      <w:pPr>
        <w:autoSpaceDE w:val="0"/>
        <w:autoSpaceDN w:val="0"/>
        <w:adjustRightInd w:val="0"/>
        <w:ind w:left="142" w:right="237"/>
        <w:rPr>
          <w:lang w:val="id-ID"/>
        </w:rPr>
      </w:pPr>
    </w:p>
    <w:p w:rsidR="00163EE1" w:rsidRDefault="00163EE1" w:rsidP="001C1DC3">
      <w:pPr>
        <w:autoSpaceDE w:val="0"/>
        <w:autoSpaceDN w:val="0"/>
        <w:adjustRightInd w:val="0"/>
        <w:ind w:left="142" w:right="237"/>
        <w:jc w:val="center"/>
        <w:rPr>
          <w:rFonts w:ascii="Century Gothic" w:hAnsi="Century Gothic"/>
        </w:rPr>
      </w:pPr>
      <w:r w:rsidRPr="001C1DC3">
        <w:rPr>
          <w:rFonts w:ascii="Century Gothic" w:hAnsi="Century Gothic"/>
        </w:rPr>
        <w:lastRenderedPageBreak/>
        <w:t xml:space="preserve">Table </w:t>
      </w:r>
      <w:r w:rsidR="006E65BB">
        <w:rPr>
          <w:rFonts w:ascii="Century Gothic" w:hAnsi="Century Gothic"/>
          <w:lang w:val="id-ID"/>
        </w:rPr>
        <w:t>6</w:t>
      </w:r>
      <w:r w:rsidRPr="001C1DC3">
        <w:rPr>
          <w:rFonts w:ascii="Century Gothic" w:hAnsi="Century Gothic"/>
        </w:rPr>
        <w:t xml:space="preserve"> Results of Short Run Equations</w:t>
      </w:r>
    </w:p>
    <w:tbl>
      <w:tblPr>
        <w:tblW w:w="4889" w:type="pct"/>
        <w:jc w:val="center"/>
        <w:tblBorders>
          <w:top w:val="single" w:sz="4" w:space="0" w:color="auto"/>
          <w:bottom w:val="single" w:sz="4" w:space="0" w:color="auto"/>
        </w:tblBorders>
        <w:tblLook w:val="04A0" w:firstRow="1" w:lastRow="0" w:firstColumn="1" w:lastColumn="0" w:noHBand="0" w:noVBand="1"/>
      </w:tblPr>
      <w:tblGrid>
        <w:gridCol w:w="2608"/>
        <w:gridCol w:w="2208"/>
        <w:gridCol w:w="2005"/>
        <w:gridCol w:w="2005"/>
      </w:tblGrid>
      <w:tr w:rsidR="001C1DC3" w:rsidRPr="00336A65" w:rsidTr="001C1DC3">
        <w:trPr>
          <w:trHeight w:val="440"/>
          <w:jc w:val="center"/>
        </w:trPr>
        <w:tc>
          <w:tcPr>
            <w:tcW w:w="1477" w:type="pct"/>
            <w:tcBorders>
              <w:top w:val="single" w:sz="4" w:space="0" w:color="auto"/>
              <w:bottom w:val="single" w:sz="4" w:space="0" w:color="auto"/>
            </w:tcBorders>
            <w:shd w:val="clear" w:color="auto" w:fill="auto"/>
            <w:vAlign w:val="center"/>
          </w:tcPr>
          <w:p w:rsidR="001C1DC3" w:rsidRPr="00AE1832" w:rsidRDefault="001C1DC3" w:rsidP="001C1DC3">
            <w:pPr>
              <w:autoSpaceDE w:val="0"/>
              <w:autoSpaceDN w:val="0"/>
              <w:adjustRightInd w:val="0"/>
              <w:ind w:left="176"/>
              <w:jc w:val="center"/>
              <w:rPr>
                <w:rFonts w:eastAsia="Calibri"/>
                <w:b/>
                <w:sz w:val="18"/>
                <w:szCs w:val="18"/>
              </w:rPr>
            </w:pPr>
            <w:r w:rsidRPr="00AE1832">
              <w:rPr>
                <w:rFonts w:eastAsia="Calibri"/>
                <w:b/>
                <w:sz w:val="18"/>
                <w:szCs w:val="18"/>
              </w:rPr>
              <w:t>Independent variable</w:t>
            </w:r>
          </w:p>
        </w:tc>
        <w:tc>
          <w:tcPr>
            <w:tcW w:w="1251" w:type="pct"/>
            <w:tcBorders>
              <w:top w:val="single" w:sz="4" w:space="0" w:color="auto"/>
              <w:bottom w:val="single" w:sz="4" w:space="0" w:color="auto"/>
            </w:tcBorders>
            <w:shd w:val="clear" w:color="auto" w:fill="auto"/>
            <w:vAlign w:val="center"/>
          </w:tcPr>
          <w:p w:rsidR="001C1DC3" w:rsidRPr="00AE1832" w:rsidRDefault="001C1DC3" w:rsidP="006E65BB">
            <w:pPr>
              <w:autoSpaceDE w:val="0"/>
              <w:autoSpaceDN w:val="0"/>
              <w:adjustRightInd w:val="0"/>
              <w:rPr>
                <w:rFonts w:eastAsia="Calibri"/>
                <w:b/>
                <w:sz w:val="18"/>
                <w:szCs w:val="18"/>
              </w:rPr>
            </w:pPr>
            <w:r w:rsidRPr="00AE1832">
              <w:rPr>
                <w:rFonts w:eastAsia="Calibri"/>
                <w:b/>
                <w:sz w:val="18"/>
                <w:szCs w:val="18"/>
              </w:rPr>
              <w:t>Coefficient</w:t>
            </w:r>
          </w:p>
        </w:tc>
        <w:tc>
          <w:tcPr>
            <w:tcW w:w="1136" w:type="pct"/>
            <w:tcBorders>
              <w:top w:val="single" w:sz="4" w:space="0" w:color="auto"/>
              <w:bottom w:val="single" w:sz="4" w:space="0" w:color="auto"/>
            </w:tcBorders>
            <w:shd w:val="clear" w:color="auto" w:fill="auto"/>
            <w:vAlign w:val="center"/>
          </w:tcPr>
          <w:p w:rsidR="001C1DC3" w:rsidRPr="00AE1832" w:rsidRDefault="001C1DC3" w:rsidP="006E65BB">
            <w:pPr>
              <w:autoSpaceDE w:val="0"/>
              <w:autoSpaceDN w:val="0"/>
              <w:adjustRightInd w:val="0"/>
              <w:rPr>
                <w:rFonts w:eastAsia="Calibri"/>
                <w:b/>
                <w:sz w:val="18"/>
                <w:szCs w:val="18"/>
              </w:rPr>
            </w:pPr>
            <w:r w:rsidRPr="00AE1832">
              <w:rPr>
                <w:rFonts w:eastAsia="Calibri"/>
                <w:b/>
                <w:sz w:val="18"/>
                <w:szCs w:val="18"/>
              </w:rPr>
              <w:t>t-statistics</w:t>
            </w:r>
          </w:p>
        </w:tc>
        <w:tc>
          <w:tcPr>
            <w:tcW w:w="1136" w:type="pct"/>
            <w:tcBorders>
              <w:top w:val="single" w:sz="4" w:space="0" w:color="auto"/>
              <w:bottom w:val="single" w:sz="4" w:space="0" w:color="auto"/>
            </w:tcBorders>
            <w:shd w:val="clear" w:color="auto" w:fill="auto"/>
            <w:vAlign w:val="center"/>
          </w:tcPr>
          <w:p w:rsidR="001C1DC3" w:rsidRPr="00AE1832" w:rsidRDefault="001C1DC3" w:rsidP="006E65BB">
            <w:pPr>
              <w:autoSpaceDE w:val="0"/>
              <w:autoSpaceDN w:val="0"/>
              <w:adjustRightInd w:val="0"/>
              <w:rPr>
                <w:rFonts w:eastAsia="Calibri"/>
                <w:b/>
                <w:sz w:val="18"/>
                <w:szCs w:val="18"/>
              </w:rPr>
            </w:pPr>
            <w:r w:rsidRPr="00AE1832">
              <w:rPr>
                <w:rFonts w:eastAsia="Calibri"/>
                <w:b/>
                <w:sz w:val="18"/>
                <w:szCs w:val="18"/>
              </w:rPr>
              <w:t>Prob</w:t>
            </w:r>
          </w:p>
        </w:tc>
      </w:tr>
      <w:tr w:rsidR="001C1DC3" w:rsidRPr="00336A65" w:rsidTr="001C1DC3">
        <w:trPr>
          <w:trHeight w:val="209"/>
          <w:jc w:val="center"/>
        </w:trPr>
        <w:tc>
          <w:tcPr>
            <w:tcW w:w="1477" w:type="pct"/>
            <w:tcBorders>
              <w:top w:val="single" w:sz="4" w:space="0" w:color="auto"/>
              <w:bottom w:val="nil"/>
            </w:tcBorders>
            <w:shd w:val="clear" w:color="auto" w:fill="auto"/>
            <w:vAlign w:val="center"/>
          </w:tcPr>
          <w:p w:rsidR="001C1DC3" w:rsidRPr="00336A65" w:rsidRDefault="001C1DC3" w:rsidP="001C1DC3">
            <w:pPr>
              <w:autoSpaceDE w:val="0"/>
              <w:autoSpaceDN w:val="0"/>
              <w:adjustRightInd w:val="0"/>
              <w:ind w:left="176"/>
              <w:rPr>
                <w:rFonts w:eastAsia="Calibri"/>
                <w:sz w:val="18"/>
                <w:szCs w:val="18"/>
              </w:rPr>
            </w:pPr>
            <w:r w:rsidRPr="00336A65">
              <w:rPr>
                <w:rFonts w:eastAsia="Calibri"/>
                <w:sz w:val="18"/>
                <w:szCs w:val="18"/>
              </w:rPr>
              <w:t>C</w:t>
            </w:r>
          </w:p>
        </w:tc>
        <w:tc>
          <w:tcPr>
            <w:tcW w:w="1251" w:type="pct"/>
            <w:tcBorders>
              <w:top w:val="single" w:sz="4" w:space="0" w:color="auto"/>
              <w:bottom w:val="nil"/>
            </w:tcBorders>
            <w:shd w:val="clear" w:color="auto" w:fill="auto"/>
            <w:vAlign w:val="center"/>
          </w:tcPr>
          <w:p w:rsidR="001C1DC3" w:rsidRPr="00336A65" w:rsidRDefault="001C1DC3" w:rsidP="006E65BB">
            <w:pPr>
              <w:autoSpaceDE w:val="0"/>
              <w:autoSpaceDN w:val="0"/>
              <w:adjustRightInd w:val="0"/>
              <w:rPr>
                <w:rFonts w:eastAsia="Calibri"/>
                <w:sz w:val="18"/>
                <w:szCs w:val="18"/>
              </w:rPr>
            </w:pPr>
            <w:r>
              <w:rPr>
                <w:rFonts w:eastAsia="Calibri"/>
                <w:sz w:val="18"/>
                <w:szCs w:val="18"/>
              </w:rPr>
              <w:t xml:space="preserve">  </w:t>
            </w:r>
            <w:r w:rsidRPr="001C1DC3">
              <w:rPr>
                <w:rFonts w:eastAsia="Calibri"/>
                <w:sz w:val="18"/>
                <w:szCs w:val="18"/>
              </w:rPr>
              <w:t>6614</w:t>
            </w:r>
          </w:p>
        </w:tc>
        <w:tc>
          <w:tcPr>
            <w:tcW w:w="1136" w:type="pct"/>
            <w:tcBorders>
              <w:top w:val="single" w:sz="4" w:space="0" w:color="auto"/>
              <w:bottom w:val="nil"/>
            </w:tcBorders>
            <w:shd w:val="clear" w:color="auto" w:fill="auto"/>
            <w:vAlign w:val="center"/>
          </w:tcPr>
          <w:p w:rsidR="001C1DC3" w:rsidRPr="00336A65" w:rsidRDefault="001C1DC3" w:rsidP="006E65BB">
            <w:pPr>
              <w:autoSpaceDE w:val="0"/>
              <w:autoSpaceDN w:val="0"/>
              <w:adjustRightInd w:val="0"/>
              <w:rPr>
                <w:rFonts w:eastAsia="Calibri"/>
                <w:sz w:val="18"/>
                <w:szCs w:val="18"/>
              </w:rPr>
            </w:pPr>
            <w:r>
              <w:rPr>
                <w:rFonts w:eastAsia="Calibri"/>
                <w:sz w:val="18"/>
                <w:szCs w:val="18"/>
              </w:rPr>
              <w:t xml:space="preserve"> 2.</w:t>
            </w:r>
            <w:r w:rsidRPr="001C1DC3">
              <w:rPr>
                <w:rFonts w:eastAsia="Calibri"/>
                <w:sz w:val="18"/>
                <w:szCs w:val="18"/>
              </w:rPr>
              <w:t>6101</w:t>
            </w:r>
          </w:p>
        </w:tc>
        <w:tc>
          <w:tcPr>
            <w:tcW w:w="1136" w:type="pct"/>
            <w:tcBorders>
              <w:top w:val="single" w:sz="4" w:space="0" w:color="auto"/>
              <w:bottom w:val="nil"/>
            </w:tcBorders>
            <w:shd w:val="clear" w:color="auto" w:fill="auto"/>
            <w:vAlign w:val="center"/>
          </w:tcPr>
          <w:p w:rsidR="001C1DC3" w:rsidRPr="00336A65" w:rsidRDefault="001C1DC3" w:rsidP="001C1DC3">
            <w:pPr>
              <w:autoSpaceDE w:val="0"/>
              <w:autoSpaceDN w:val="0"/>
              <w:adjustRightInd w:val="0"/>
              <w:rPr>
                <w:rFonts w:eastAsia="Calibri"/>
                <w:sz w:val="18"/>
                <w:szCs w:val="18"/>
              </w:rPr>
            </w:pPr>
            <w:r>
              <w:rPr>
                <w:rFonts w:eastAsia="Calibri"/>
                <w:sz w:val="18"/>
                <w:szCs w:val="18"/>
              </w:rPr>
              <w:t>0.01</w:t>
            </w:r>
            <w:r w:rsidRPr="00336A65">
              <w:rPr>
                <w:rFonts w:eastAsia="Calibri"/>
                <w:sz w:val="18"/>
                <w:szCs w:val="18"/>
              </w:rPr>
              <w:t>0</w:t>
            </w:r>
            <w:r>
              <w:rPr>
                <w:rFonts w:eastAsia="Calibri"/>
                <w:sz w:val="18"/>
                <w:szCs w:val="18"/>
              </w:rPr>
              <w:t>3</w:t>
            </w:r>
          </w:p>
        </w:tc>
      </w:tr>
      <w:tr w:rsidR="001C1DC3" w:rsidRPr="00336A65" w:rsidTr="001C1DC3">
        <w:trPr>
          <w:trHeight w:val="326"/>
          <w:jc w:val="center"/>
        </w:trPr>
        <w:tc>
          <w:tcPr>
            <w:tcW w:w="1477" w:type="pct"/>
            <w:tcBorders>
              <w:top w:val="nil"/>
              <w:bottom w:val="nil"/>
            </w:tcBorders>
            <w:shd w:val="clear" w:color="auto" w:fill="auto"/>
            <w:vAlign w:val="center"/>
          </w:tcPr>
          <w:p w:rsidR="001C1DC3" w:rsidRPr="00336A65" w:rsidRDefault="001C1DC3" w:rsidP="001C1DC3">
            <w:pPr>
              <w:autoSpaceDE w:val="0"/>
              <w:autoSpaceDN w:val="0"/>
              <w:adjustRightInd w:val="0"/>
              <w:ind w:left="176"/>
              <w:rPr>
                <w:rFonts w:eastAsia="Calibri"/>
                <w:sz w:val="18"/>
                <w:szCs w:val="18"/>
              </w:rPr>
            </w:pPr>
            <w:r>
              <w:rPr>
                <w:rFonts w:eastAsia="Calibri"/>
                <w:sz w:val="18"/>
                <w:szCs w:val="18"/>
              </w:rPr>
              <w:t>D</w:t>
            </w:r>
            <w:r w:rsidRPr="00336A65">
              <w:rPr>
                <w:rFonts w:eastAsia="Calibri"/>
                <w:sz w:val="18"/>
                <w:szCs w:val="18"/>
              </w:rPr>
              <w:t>ER</w:t>
            </w:r>
          </w:p>
        </w:tc>
        <w:tc>
          <w:tcPr>
            <w:tcW w:w="1251" w:type="pct"/>
            <w:tcBorders>
              <w:top w:val="nil"/>
              <w:bottom w:val="nil"/>
            </w:tcBorders>
            <w:shd w:val="clear" w:color="auto" w:fill="auto"/>
            <w:vAlign w:val="center"/>
          </w:tcPr>
          <w:p w:rsidR="001C1DC3" w:rsidRPr="00336A65" w:rsidRDefault="001C1DC3" w:rsidP="006E65BB">
            <w:pPr>
              <w:autoSpaceDE w:val="0"/>
              <w:autoSpaceDN w:val="0"/>
              <w:adjustRightInd w:val="0"/>
              <w:rPr>
                <w:rFonts w:eastAsia="Calibri"/>
                <w:sz w:val="18"/>
                <w:szCs w:val="18"/>
              </w:rPr>
            </w:pPr>
            <w:r w:rsidRPr="001C1DC3">
              <w:rPr>
                <w:rFonts w:eastAsia="Calibri"/>
                <w:color w:val="000000"/>
                <w:sz w:val="18"/>
                <w:szCs w:val="18"/>
              </w:rPr>
              <w:t>-5096.2</w:t>
            </w:r>
          </w:p>
        </w:tc>
        <w:tc>
          <w:tcPr>
            <w:tcW w:w="1136" w:type="pct"/>
            <w:tcBorders>
              <w:top w:val="nil"/>
              <w:bottom w:val="nil"/>
            </w:tcBorders>
            <w:shd w:val="clear" w:color="auto" w:fill="auto"/>
            <w:vAlign w:val="center"/>
          </w:tcPr>
          <w:p w:rsidR="001C1DC3" w:rsidRPr="00336A65" w:rsidRDefault="001C1DC3" w:rsidP="006E65BB">
            <w:pPr>
              <w:autoSpaceDE w:val="0"/>
              <w:autoSpaceDN w:val="0"/>
              <w:adjustRightInd w:val="0"/>
              <w:rPr>
                <w:rFonts w:eastAsia="Calibri"/>
                <w:sz w:val="18"/>
                <w:szCs w:val="18"/>
              </w:rPr>
            </w:pPr>
            <w:r w:rsidRPr="001C1DC3">
              <w:rPr>
                <w:rFonts w:eastAsia="Calibri"/>
                <w:color w:val="000000"/>
                <w:sz w:val="18"/>
                <w:szCs w:val="18"/>
              </w:rPr>
              <w:t>-4,1272</w:t>
            </w:r>
          </w:p>
        </w:tc>
        <w:tc>
          <w:tcPr>
            <w:tcW w:w="1136" w:type="pct"/>
            <w:tcBorders>
              <w:top w:val="nil"/>
              <w:bottom w:val="nil"/>
            </w:tcBorders>
            <w:shd w:val="clear" w:color="auto" w:fill="auto"/>
            <w:vAlign w:val="center"/>
          </w:tcPr>
          <w:p w:rsidR="001C1DC3" w:rsidRPr="00336A65" w:rsidRDefault="001C1DC3" w:rsidP="001C1DC3">
            <w:pPr>
              <w:autoSpaceDE w:val="0"/>
              <w:autoSpaceDN w:val="0"/>
              <w:adjustRightInd w:val="0"/>
              <w:rPr>
                <w:rFonts w:eastAsia="Calibri"/>
                <w:sz w:val="18"/>
                <w:szCs w:val="18"/>
              </w:rPr>
            </w:pPr>
            <w:r>
              <w:rPr>
                <w:rFonts w:eastAsia="Calibri"/>
                <w:sz w:val="18"/>
                <w:szCs w:val="18"/>
              </w:rPr>
              <w:t>0.0</w:t>
            </w:r>
            <w:r w:rsidRPr="00336A65">
              <w:rPr>
                <w:rFonts w:eastAsia="Calibri"/>
                <w:sz w:val="18"/>
                <w:szCs w:val="18"/>
              </w:rPr>
              <w:t>0</w:t>
            </w:r>
            <w:r>
              <w:rPr>
                <w:rFonts w:eastAsia="Calibri"/>
                <w:sz w:val="18"/>
                <w:szCs w:val="18"/>
              </w:rPr>
              <w:t>0</w:t>
            </w:r>
            <w:r w:rsidRPr="00336A65">
              <w:rPr>
                <w:rFonts w:eastAsia="Calibri"/>
                <w:sz w:val="18"/>
                <w:szCs w:val="18"/>
              </w:rPr>
              <w:t>1</w:t>
            </w:r>
          </w:p>
        </w:tc>
      </w:tr>
      <w:tr w:rsidR="001C1DC3" w:rsidRPr="00336A65" w:rsidTr="001C1DC3">
        <w:trPr>
          <w:trHeight w:val="72"/>
          <w:jc w:val="center"/>
        </w:trPr>
        <w:tc>
          <w:tcPr>
            <w:tcW w:w="1477" w:type="pct"/>
            <w:tcBorders>
              <w:top w:val="nil"/>
              <w:bottom w:val="single" w:sz="4" w:space="0" w:color="auto"/>
            </w:tcBorders>
            <w:shd w:val="clear" w:color="auto" w:fill="auto"/>
            <w:vAlign w:val="center"/>
          </w:tcPr>
          <w:p w:rsidR="001C1DC3" w:rsidRPr="00336A65" w:rsidRDefault="001C1DC3" w:rsidP="001C1DC3">
            <w:pPr>
              <w:autoSpaceDE w:val="0"/>
              <w:autoSpaceDN w:val="0"/>
              <w:adjustRightInd w:val="0"/>
              <w:ind w:left="176"/>
              <w:rPr>
                <w:rFonts w:eastAsia="Calibri"/>
                <w:sz w:val="18"/>
                <w:szCs w:val="18"/>
              </w:rPr>
            </w:pPr>
            <w:r>
              <w:rPr>
                <w:rFonts w:eastAsia="Calibri"/>
                <w:sz w:val="18"/>
                <w:szCs w:val="18"/>
              </w:rPr>
              <w:t>D</w:t>
            </w:r>
            <w:r w:rsidRPr="00336A65">
              <w:rPr>
                <w:rFonts w:eastAsia="Calibri"/>
                <w:sz w:val="18"/>
                <w:szCs w:val="18"/>
              </w:rPr>
              <w:t>NFT</w:t>
            </w:r>
          </w:p>
        </w:tc>
        <w:tc>
          <w:tcPr>
            <w:tcW w:w="1251" w:type="pct"/>
            <w:tcBorders>
              <w:top w:val="nil"/>
              <w:bottom w:val="single" w:sz="4" w:space="0" w:color="auto"/>
            </w:tcBorders>
            <w:shd w:val="clear" w:color="auto" w:fill="auto"/>
            <w:vAlign w:val="center"/>
          </w:tcPr>
          <w:p w:rsidR="001C1DC3" w:rsidRPr="00336A65" w:rsidRDefault="001C1DC3" w:rsidP="006E65BB">
            <w:pPr>
              <w:autoSpaceDE w:val="0"/>
              <w:autoSpaceDN w:val="0"/>
              <w:adjustRightInd w:val="0"/>
              <w:rPr>
                <w:rFonts w:eastAsia="Calibri"/>
                <w:sz w:val="18"/>
                <w:szCs w:val="18"/>
              </w:rPr>
            </w:pPr>
            <w:r>
              <w:rPr>
                <w:rFonts w:eastAsia="Calibri"/>
                <w:sz w:val="18"/>
                <w:szCs w:val="18"/>
              </w:rPr>
              <w:t xml:space="preserve"> 6.</w:t>
            </w:r>
            <w:r w:rsidRPr="001C1DC3">
              <w:rPr>
                <w:rFonts w:eastAsia="Calibri"/>
                <w:sz w:val="18"/>
                <w:szCs w:val="18"/>
              </w:rPr>
              <w:t>6617</w:t>
            </w:r>
          </w:p>
        </w:tc>
        <w:tc>
          <w:tcPr>
            <w:tcW w:w="1136" w:type="pct"/>
            <w:tcBorders>
              <w:top w:val="nil"/>
              <w:bottom w:val="single" w:sz="4" w:space="0" w:color="auto"/>
            </w:tcBorders>
            <w:shd w:val="clear" w:color="auto" w:fill="auto"/>
            <w:vAlign w:val="center"/>
          </w:tcPr>
          <w:p w:rsidR="001C1DC3" w:rsidRPr="00336A65" w:rsidRDefault="001C1DC3" w:rsidP="006E65BB">
            <w:pPr>
              <w:autoSpaceDE w:val="0"/>
              <w:autoSpaceDN w:val="0"/>
              <w:adjustRightInd w:val="0"/>
              <w:rPr>
                <w:rFonts w:eastAsia="Calibri"/>
                <w:sz w:val="18"/>
                <w:szCs w:val="18"/>
              </w:rPr>
            </w:pPr>
            <w:r>
              <w:rPr>
                <w:rFonts w:eastAsia="Calibri"/>
                <w:sz w:val="18"/>
                <w:szCs w:val="18"/>
              </w:rPr>
              <w:t xml:space="preserve"> 2.</w:t>
            </w:r>
            <w:r w:rsidRPr="001C1DC3">
              <w:rPr>
                <w:rFonts w:eastAsia="Calibri"/>
                <w:sz w:val="18"/>
                <w:szCs w:val="18"/>
              </w:rPr>
              <w:t>1954</w:t>
            </w:r>
          </w:p>
        </w:tc>
        <w:tc>
          <w:tcPr>
            <w:tcW w:w="1136" w:type="pct"/>
            <w:tcBorders>
              <w:top w:val="nil"/>
              <w:bottom w:val="single" w:sz="4" w:space="0" w:color="auto"/>
            </w:tcBorders>
            <w:shd w:val="clear" w:color="auto" w:fill="auto"/>
            <w:vAlign w:val="center"/>
          </w:tcPr>
          <w:p w:rsidR="001C1DC3" w:rsidRPr="00336A65" w:rsidRDefault="001C1DC3" w:rsidP="001C1DC3">
            <w:pPr>
              <w:autoSpaceDE w:val="0"/>
              <w:autoSpaceDN w:val="0"/>
              <w:adjustRightInd w:val="0"/>
              <w:rPr>
                <w:rFonts w:eastAsia="Calibri"/>
                <w:sz w:val="18"/>
                <w:szCs w:val="18"/>
              </w:rPr>
            </w:pPr>
            <w:r>
              <w:rPr>
                <w:rFonts w:eastAsia="Calibri"/>
                <w:sz w:val="18"/>
                <w:szCs w:val="18"/>
              </w:rPr>
              <w:t>0.03</w:t>
            </w:r>
            <w:r w:rsidRPr="00336A65">
              <w:rPr>
                <w:rFonts w:eastAsia="Calibri"/>
                <w:sz w:val="18"/>
                <w:szCs w:val="18"/>
              </w:rPr>
              <w:t>0</w:t>
            </w:r>
            <w:r>
              <w:rPr>
                <w:rFonts w:eastAsia="Calibri"/>
                <w:sz w:val="18"/>
                <w:szCs w:val="18"/>
              </w:rPr>
              <w:t>1</w:t>
            </w:r>
          </w:p>
        </w:tc>
      </w:tr>
      <w:tr w:rsidR="001C1DC3" w:rsidRPr="00336A65" w:rsidTr="001C1DC3">
        <w:trPr>
          <w:trHeight w:val="72"/>
          <w:jc w:val="center"/>
        </w:trPr>
        <w:tc>
          <w:tcPr>
            <w:tcW w:w="1477" w:type="pct"/>
            <w:tcBorders>
              <w:top w:val="nil"/>
              <w:bottom w:val="single" w:sz="4" w:space="0" w:color="auto"/>
            </w:tcBorders>
            <w:shd w:val="clear" w:color="auto" w:fill="auto"/>
            <w:vAlign w:val="center"/>
          </w:tcPr>
          <w:p w:rsidR="001C1DC3" w:rsidRDefault="001C1DC3" w:rsidP="001C1DC3">
            <w:pPr>
              <w:autoSpaceDE w:val="0"/>
              <w:autoSpaceDN w:val="0"/>
              <w:adjustRightInd w:val="0"/>
              <w:ind w:left="176"/>
              <w:rPr>
                <w:rFonts w:eastAsia="Calibri"/>
                <w:sz w:val="18"/>
                <w:szCs w:val="18"/>
              </w:rPr>
            </w:pPr>
            <w:r>
              <w:rPr>
                <w:rFonts w:eastAsia="Calibri"/>
                <w:sz w:val="18"/>
                <w:szCs w:val="18"/>
              </w:rPr>
              <w:t>ECT(-1)</w:t>
            </w:r>
          </w:p>
        </w:tc>
        <w:tc>
          <w:tcPr>
            <w:tcW w:w="1251" w:type="pct"/>
            <w:tcBorders>
              <w:top w:val="nil"/>
              <w:bottom w:val="single" w:sz="4" w:space="0" w:color="auto"/>
            </w:tcBorders>
            <w:shd w:val="clear" w:color="auto" w:fill="auto"/>
            <w:vAlign w:val="center"/>
          </w:tcPr>
          <w:p w:rsidR="001C1DC3" w:rsidRDefault="001C1DC3" w:rsidP="006E65BB">
            <w:pPr>
              <w:autoSpaceDE w:val="0"/>
              <w:autoSpaceDN w:val="0"/>
              <w:adjustRightInd w:val="0"/>
              <w:rPr>
                <w:rFonts w:eastAsia="Calibri"/>
                <w:sz w:val="18"/>
                <w:szCs w:val="18"/>
              </w:rPr>
            </w:pPr>
            <w:r w:rsidRPr="001C1DC3">
              <w:rPr>
                <w:rFonts w:eastAsia="Calibri"/>
                <w:sz w:val="18"/>
                <w:szCs w:val="18"/>
              </w:rPr>
              <w:t>-0.0786</w:t>
            </w:r>
          </w:p>
        </w:tc>
        <w:tc>
          <w:tcPr>
            <w:tcW w:w="1136" w:type="pct"/>
            <w:tcBorders>
              <w:top w:val="nil"/>
              <w:bottom w:val="single" w:sz="4" w:space="0" w:color="auto"/>
            </w:tcBorders>
            <w:shd w:val="clear" w:color="auto" w:fill="auto"/>
            <w:vAlign w:val="center"/>
          </w:tcPr>
          <w:p w:rsidR="001C1DC3" w:rsidRDefault="001C1DC3" w:rsidP="006E65BB">
            <w:pPr>
              <w:autoSpaceDE w:val="0"/>
              <w:autoSpaceDN w:val="0"/>
              <w:adjustRightInd w:val="0"/>
              <w:rPr>
                <w:rFonts w:eastAsia="Calibri"/>
                <w:sz w:val="18"/>
                <w:szCs w:val="18"/>
              </w:rPr>
            </w:pPr>
            <w:r w:rsidRPr="001C1DC3">
              <w:rPr>
                <w:rFonts w:eastAsia="Calibri"/>
                <w:sz w:val="18"/>
                <w:szCs w:val="18"/>
              </w:rPr>
              <w:t>-3.0338</w:t>
            </w:r>
          </w:p>
        </w:tc>
        <w:tc>
          <w:tcPr>
            <w:tcW w:w="1136" w:type="pct"/>
            <w:tcBorders>
              <w:top w:val="nil"/>
              <w:bottom w:val="single" w:sz="4" w:space="0" w:color="auto"/>
            </w:tcBorders>
            <w:shd w:val="clear" w:color="auto" w:fill="auto"/>
            <w:vAlign w:val="center"/>
          </w:tcPr>
          <w:p w:rsidR="001C1DC3" w:rsidRDefault="001C1DC3" w:rsidP="001C1DC3">
            <w:pPr>
              <w:autoSpaceDE w:val="0"/>
              <w:autoSpaceDN w:val="0"/>
              <w:adjustRightInd w:val="0"/>
              <w:rPr>
                <w:rFonts w:eastAsia="Calibri"/>
                <w:sz w:val="18"/>
                <w:szCs w:val="18"/>
              </w:rPr>
            </w:pPr>
            <w:r w:rsidRPr="001C1DC3">
              <w:rPr>
                <w:rFonts w:eastAsia="Calibri"/>
                <w:sz w:val="18"/>
                <w:szCs w:val="18"/>
              </w:rPr>
              <w:t>0.0030</w:t>
            </w:r>
          </w:p>
        </w:tc>
      </w:tr>
      <w:tr w:rsidR="001C1DC3" w:rsidRPr="00336A65" w:rsidTr="001C1DC3">
        <w:trPr>
          <w:trHeight w:val="72"/>
          <w:jc w:val="center"/>
        </w:trPr>
        <w:tc>
          <w:tcPr>
            <w:tcW w:w="1477" w:type="pct"/>
            <w:tcBorders>
              <w:top w:val="single" w:sz="4" w:space="0" w:color="auto"/>
              <w:bottom w:val="nil"/>
            </w:tcBorders>
            <w:shd w:val="clear" w:color="auto" w:fill="auto"/>
            <w:vAlign w:val="center"/>
          </w:tcPr>
          <w:p w:rsidR="001C1DC3" w:rsidRPr="00336A65" w:rsidRDefault="001C1DC3" w:rsidP="001C1DC3">
            <w:pPr>
              <w:autoSpaceDE w:val="0"/>
              <w:autoSpaceDN w:val="0"/>
              <w:adjustRightInd w:val="0"/>
              <w:ind w:left="176"/>
              <w:rPr>
                <w:rFonts w:eastAsia="Calibri"/>
                <w:sz w:val="18"/>
                <w:szCs w:val="18"/>
              </w:rPr>
            </w:pPr>
            <w:r>
              <w:rPr>
                <w:rFonts w:eastAsia="Calibri"/>
                <w:sz w:val="18"/>
                <w:szCs w:val="18"/>
              </w:rPr>
              <w:t>Adjusted R-Square</w:t>
            </w:r>
          </w:p>
        </w:tc>
        <w:tc>
          <w:tcPr>
            <w:tcW w:w="1251" w:type="pct"/>
            <w:tcBorders>
              <w:top w:val="single" w:sz="4" w:space="0" w:color="auto"/>
              <w:bottom w:val="nil"/>
            </w:tcBorders>
            <w:shd w:val="clear" w:color="auto" w:fill="auto"/>
            <w:vAlign w:val="center"/>
          </w:tcPr>
          <w:p w:rsidR="001C1DC3" w:rsidRPr="00336A65" w:rsidRDefault="001C1DC3" w:rsidP="006E65BB">
            <w:pPr>
              <w:autoSpaceDE w:val="0"/>
              <w:autoSpaceDN w:val="0"/>
              <w:adjustRightInd w:val="0"/>
              <w:rPr>
                <w:rFonts w:eastAsia="Calibri"/>
                <w:sz w:val="18"/>
                <w:szCs w:val="18"/>
              </w:rPr>
            </w:pPr>
            <w:r>
              <w:rPr>
                <w:rFonts w:eastAsia="Calibri"/>
                <w:sz w:val="18"/>
                <w:szCs w:val="18"/>
              </w:rPr>
              <w:t xml:space="preserve"> </w:t>
            </w:r>
            <w:r w:rsidRPr="001C1DC3">
              <w:rPr>
                <w:rFonts w:eastAsia="Calibri"/>
                <w:sz w:val="18"/>
                <w:szCs w:val="18"/>
              </w:rPr>
              <w:t>0.1796</w:t>
            </w:r>
          </w:p>
        </w:tc>
        <w:tc>
          <w:tcPr>
            <w:tcW w:w="1136" w:type="pct"/>
            <w:tcBorders>
              <w:top w:val="single" w:sz="4" w:space="0" w:color="auto"/>
              <w:bottom w:val="nil"/>
            </w:tcBorders>
            <w:shd w:val="clear" w:color="auto" w:fill="auto"/>
            <w:vAlign w:val="center"/>
          </w:tcPr>
          <w:p w:rsidR="001C1DC3" w:rsidRPr="00336A65" w:rsidRDefault="001C1DC3" w:rsidP="006E65BB">
            <w:pPr>
              <w:autoSpaceDE w:val="0"/>
              <w:autoSpaceDN w:val="0"/>
              <w:adjustRightInd w:val="0"/>
              <w:rPr>
                <w:rFonts w:eastAsia="Calibri"/>
                <w:sz w:val="18"/>
                <w:szCs w:val="18"/>
              </w:rPr>
            </w:pPr>
          </w:p>
        </w:tc>
        <w:tc>
          <w:tcPr>
            <w:tcW w:w="1136" w:type="pct"/>
            <w:tcBorders>
              <w:top w:val="single" w:sz="4" w:space="0" w:color="auto"/>
              <w:bottom w:val="nil"/>
            </w:tcBorders>
            <w:shd w:val="clear" w:color="auto" w:fill="auto"/>
            <w:vAlign w:val="center"/>
          </w:tcPr>
          <w:p w:rsidR="001C1DC3" w:rsidRPr="00336A65" w:rsidRDefault="001C1DC3" w:rsidP="006E65BB">
            <w:pPr>
              <w:autoSpaceDE w:val="0"/>
              <w:autoSpaceDN w:val="0"/>
              <w:adjustRightInd w:val="0"/>
              <w:rPr>
                <w:rFonts w:eastAsia="Calibri"/>
                <w:sz w:val="18"/>
                <w:szCs w:val="18"/>
              </w:rPr>
            </w:pPr>
          </w:p>
        </w:tc>
      </w:tr>
      <w:tr w:rsidR="001C1DC3" w:rsidRPr="00336A65" w:rsidTr="001C1DC3">
        <w:trPr>
          <w:trHeight w:val="72"/>
          <w:jc w:val="center"/>
        </w:trPr>
        <w:tc>
          <w:tcPr>
            <w:tcW w:w="1477" w:type="pct"/>
            <w:tcBorders>
              <w:top w:val="nil"/>
              <w:bottom w:val="single" w:sz="4" w:space="0" w:color="auto"/>
            </w:tcBorders>
            <w:shd w:val="clear" w:color="auto" w:fill="auto"/>
            <w:vAlign w:val="center"/>
          </w:tcPr>
          <w:p w:rsidR="001C1DC3" w:rsidRDefault="001C1DC3" w:rsidP="001C1DC3">
            <w:pPr>
              <w:autoSpaceDE w:val="0"/>
              <w:autoSpaceDN w:val="0"/>
              <w:adjustRightInd w:val="0"/>
              <w:ind w:left="176"/>
              <w:rPr>
                <w:rFonts w:eastAsia="Calibri"/>
                <w:sz w:val="18"/>
                <w:szCs w:val="18"/>
              </w:rPr>
            </w:pPr>
            <w:r>
              <w:rPr>
                <w:rFonts w:eastAsia="Calibri"/>
                <w:sz w:val="18"/>
                <w:szCs w:val="18"/>
              </w:rPr>
              <w:t>Prob F statistic</w:t>
            </w:r>
          </w:p>
        </w:tc>
        <w:tc>
          <w:tcPr>
            <w:tcW w:w="1251" w:type="pct"/>
            <w:tcBorders>
              <w:top w:val="nil"/>
              <w:bottom w:val="single" w:sz="4" w:space="0" w:color="auto"/>
            </w:tcBorders>
            <w:shd w:val="clear" w:color="auto" w:fill="auto"/>
            <w:vAlign w:val="center"/>
          </w:tcPr>
          <w:p w:rsidR="001C1DC3" w:rsidRPr="00336A65" w:rsidRDefault="001C1DC3" w:rsidP="006E65BB">
            <w:pPr>
              <w:autoSpaceDE w:val="0"/>
              <w:autoSpaceDN w:val="0"/>
              <w:adjustRightInd w:val="0"/>
              <w:rPr>
                <w:rFonts w:eastAsia="Calibri"/>
                <w:sz w:val="18"/>
                <w:szCs w:val="18"/>
              </w:rPr>
            </w:pPr>
            <w:r>
              <w:rPr>
                <w:rFonts w:eastAsia="Calibri"/>
                <w:sz w:val="18"/>
                <w:szCs w:val="18"/>
              </w:rPr>
              <w:t xml:space="preserve"> 0.0000</w:t>
            </w:r>
          </w:p>
        </w:tc>
        <w:tc>
          <w:tcPr>
            <w:tcW w:w="1136" w:type="pct"/>
            <w:tcBorders>
              <w:top w:val="nil"/>
              <w:bottom w:val="single" w:sz="4" w:space="0" w:color="auto"/>
            </w:tcBorders>
            <w:shd w:val="clear" w:color="auto" w:fill="auto"/>
            <w:vAlign w:val="center"/>
          </w:tcPr>
          <w:p w:rsidR="001C1DC3" w:rsidRPr="00336A65" w:rsidRDefault="001C1DC3" w:rsidP="006E65BB">
            <w:pPr>
              <w:autoSpaceDE w:val="0"/>
              <w:autoSpaceDN w:val="0"/>
              <w:adjustRightInd w:val="0"/>
              <w:rPr>
                <w:rFonts w:eastAsia="Calibri"/>
                <w:sz w:val="18"/>
                <w:szCs w:val="18"/>
              </w:rPr>
            </w:pPr>
          </w:p>
        </w:tc>
        <w:tc>
          <w:tcPr>
            <w:tcW w:w="1136" w:type="pct"/>
            <w:tcBorders>
              <w:top w:val="nil"/>
              <w:bottom w:val="single" w:sz="4" w:space="0" w:color="auto"/>
            </w:tcBorders>
            <w:shd w:val="clear" w:color="auto" w:fill="auto"/>
            <w:vAlign w:val="center"/>
          </w:tcPr>
          <w:p w:rsidR="001C1DC3" w:rsidRPr="00336A65" w:rsidRDefault="001C1DC3" w:rsidP="006E65BB">
            <w:pPr>
              <w:autoSpaceDE w:val="0"/>
              <w:autoSpaceDN w:val="0"/>
              <w:adjustRightInd w:val="0"/>
              <w:rPr>
                <w:rFonts w:eastAsia="Calibri"/>
                <w:sz w:val="18"/>
                <w:szCs w:val="18"/>
              </w:rPr>
            </w:pPr>
          </w:p>
        </w:tc>
      </w:tr>
    </w:tbl>
    <w:p w:rsidR="001C1DC3" w:rsidRPr="001C1DC3" w:rsidRDefault="001C1DC3" w:rsidP="001C1DC3">
      <w:pPr>
        <w:autoSpaceDE w:val="0"/>
        <w:autoSpaceDN w:val="0"/>
        <w:adjustRightInd w:val="0"/>
        <w:ind w:left="142" w:right="237"/>
        <w:jc w:val="center"/>
        <w:rPr>
          <w:rFonts w:ascii="Century Gothic" w:hAnsi="Century Gothic"/>
        </w:rPr>
      </w:pPr>
    </w:p>
    <w:p w:rsidR="00163EE1" w:rsidRPr="001C1DC3" w:rsidRDefault="00163EE1" w:rsidP="001C1DC3">
      <w:pPr>
        <w:autoSpaceDE w:val="0"/>
        <w:autoSpaceDN w:val="0"/>
        <w:adjustRightInd w:val="0"/>
        <w:spacing w:before="58" w:line="278" w:lineRule="auto"/>
        <w:ind w:left="142" w:right="238" w:firstLine="578"/>
        <w:jc w:val="both"/>
        <w:rPr>
          <w:sz w:val="24"/>
          <w:szCs w:val="24"/>
        </w:rPr>
      </w:pPr>
      <w:r w:rsidRPr="001C1DC3">
        <w:rPr>
          <w:sz w:val="24"/>
          <w:szCs w:val="24"/>
        </w:rPr>
        <w:t>Table 6 also explains that in the short term the exchange rate variable has a negative relationship and the number of foreign tourists has a positive relationship to foreign exchange reserves, with each</w:t>
      </w:r>
      <w:r w:rsidRPr="001C1DC3">
        <w:rPr>
          <w:color w:val="000000"/>
          <w:sz w:val="24"/>
          <w:szCs w:val="24"/>
        </w:rPr>
        <w:t>-Each</w:t>
      </w:r>
      <w:r w:rsidRPr="001C1DC3">
        <w:rPr>
          <w:sz w:val="24"/>
          <w:szCs w:val="24"/>
        </w:rPr>
        <w:t xml:space="preserve"> the coefficient is </w:t>
      </w:r>
      <w:r w:rsidRPr="001C1DC3">
        <w:rPr>
          <w:color w:val="000000"/>
          <w:sz w:val="24"/>
          <w:szCs w:val="24"/>
        </w:rPr>
        <w:t>-5096.2</w:t>
      </w:r>
      <w:r w:rsidRPr="001C1DC3">
        <w:rPr>
          <w:sz w:val="24"/>
          <w:szCs w:val="24"/>
        </w:rPr>
        <w:t>and 6.6617, and the probability is 0.0001 and 0.0301 so that all variables are significant in this study. The R square value of 0.1796 means that only 17 percent of the independent variables in this study affect the dependent variable, indicating that in the short term there are other variables that are not in the model that affect foreign exchange reserves.</w:t>
      </w:r>
    </w:p>
    <w:p w:rsidR="00163EE1" w:rsidRPr="00393C42" w:rsidRDefault="00163EE1" w:rsidP="001C1DC3">
      <w:pPr>
        <w:autoSpaceDE w:val="0"/>
        <w:autoSpaceDN w:val="0"/>
        <w:adjustRightInd w:val="0"/>
        <w:ind w:left="142" w:right="237"/>
      </w:pPr>
    </w:p>
    <w:p w:rsidR="00163EE1" w:rsidRPr="00AE1832" w:rsidRDefault="00163EE1" w:rsidP="001C1DC3">
      <w:pPr>
        <w:autoSpaceDE w:val="0"/>
        <w:autoSpaceDN w:val="0"/>
        <w:adjustRightInd w:val="0"/>
        <w:ind w:left="142" w:right="237"/>
        <w:jc w:val="center"/>
        <w:rPr>
          <w:rFonts w:ascii="Century Gothic" w:hAnsi="Century Gothic"/>
          <w:lang w:val="id-ID"/>
        </w:rPr>
      </w:pPr>
      <w:r w:rsidRPr="00AE1832">
        <w:rPr>
          <w:rFonts w:ascii="Century Gothic" w:hAnsi="Century Gothic"/>
        </w:rPr>
        <w:t xml:space="preserve">Table </w:t>
      </w:r>
      <w:r w:rsidR="006E65BB">
        <w:rPr>
          <w:rFonts w:ascii="Century Gothic" w:hAnsi="Century Gothic"/>
          <w:lang w:val="id-ID"/>
        </w:rPr>
        <w:t>7.</w:t>
      </w:r>
      <w:r w:rsidRPr="00AE1832">
        <w:rPr>
          <w:rFonts w:ascii="Century Gothic" w:hAnsi="Century Gothic"/>
          <w:lang w:val="id-ID"/>
        </w:rPr>
        <w:t xml:space="preserve"> </w:t>
      </w:r>
      <w:r w:rsidRPr="00AE1832">
        <w:rPr>
          <w:rFonts w:ascii="Century Gothic" w:hAnsi="Century Gothic"/>
        </w:rPr>
        <w:t>Normality Test</w:t>
      </w:r>
    </w:p>
    <w:tbl>
      <w:tblPr>
        <w:tblW w:w="0" w:type="auto"/>
        <w:jc w:val="center"/>
        <w:tblBorders>
          <w:top w:val="single" w:sz="4" w:space="0" w:color="auto"/>
          <w:bottom w:val="single" w:sz="4" w:space="0" w:color="auto"/>
        </w:tblBorders>
        <w:tblLook w:val="04A0" w:firstRow="1" w:lastRow="0" w:firstColumn="1" w:lastColumn="0" w:noHBand="0" w:noVBand="1"/>
      </w:tblPr>
      <w:tblGrid>
        <w:gridCol w:w="3415"/>
        <w:gridCol w:w="2784"/>
        <w:gridCol w:w="2511"/>
      </w:tblGrid>
      <w:tr w:rsidR="00163EE1" w:rsidRPr="00AE1832" w:rsidTr="00AE1832">
        <w:trPr>
          <w:jc w:val="center"/>
        </w:trPr>
        <w:tc>
          <w:tcPr>
            <w:tcW w:w="3415" w:type="dxa"/>
            <w:tcBorders>
              <w:top w:val="single" w:sz="4" w:space="0" w:color="auto"/>
              <w:bottom w:val="single" w:sz="4" w:space="0" w:color="auto"/>
            </w:tcBorders>
            <w:shd w:val="clear" w:color="auto" w:fill="auto"/>
          </w:tcPr>
          <w:p w:rsidR="00163EE1" w:rsidRPr="00AE1832" w:rsidRDefault="00163EE1" w:rsidP="001C1DC3">
            <w:pPr>
              <w:autoSpaceDE w:val="0"/>
              <w:autoSpaceDN w:val="0"/>
              <w:adjustRightInd w:val="0"/>
              <w:ind w:left="142" w:right="237"/>
              <w:rPr>
                <w:rFonts w:eastAsia="Calibri"/>
                <w:b/>
                <w:sz w:val="18"/>
                <w:szCs w:val="18"/>
              </w:rPr>
            </w:pPr>
            <w:r w:rsidRPr="00AE1832">
              <w:rPr>
                <w:rFonts w:eastAsia="Calibri"/>
                <w:b/>
                <w:i/>
                <w:sz w:val="18"/>
                <w:szCs w:val="18"/>
              </w:rPr>
              <w:t>Jarque-Berra</w:t>
            </w:r>
          </w:p>
        </w:tc>
        <w:tc>
          <w:tcPr>
            <w:tcW w:w="2784" w:type="dxa"/>
            <w:tcBorders>
              <w:top w:val="single" w:sz="4" w:space="0" w:color="auto"/>
              <w:bottom w:val="single" w:sz="4" w:space="0" w:color="auto"/>
            </w:tcBorders>
            <w:shd w:val="clear" w:color="auto" w:fill="auto"/>
          </w:tcPr>
          <w:p w:rsidR="00163EE1" w:rsidRPr="00AE1832" w:rsidRDefault="00163EE1" w:rsidP="001C1DC3">
            <w:pPr>
              <w:autoSpaceDE w:val="0"/>
              <w:autoSpaceDN w:val="0"/>
              <w:adjustRightInd w:val="0"/>
              <w:ind w:left="142" w:right="237"/>
              <w:rPr>
                <w:rFonts w:eastAsia="Calibri"/>
                <w:b/>
                <w:i/>
                <w:sz w:val="18"/>
                <w:szCs w:val="18"/>
              </w:rPr>
            </w:pPr>
            <w:r w:rsidRPr="00AE1832">
              <w:rPr>
                <w:rFonts w:eastAsia="Calibri"/>
                <w:b/>
                <w:i/>
                <w:sz w:val="18"/>
                <w:szCs w:val="18"/>
              </w:rPr>
              <w:t>Probability</w:t>
            </w:r>
          </w:p>
        </w:tc>
        <w:tc>
          <w:tcPr>
            <w:tcW w:w="2511" w:type="dxa"/>
            <w:tcBorders>
              <w:top w:val="single" w:sz="4" w:space="0" w:color="auto"/>
              <w:bottom w:val="single" w:sz="4" w:space="0" w:color="auto"/>
            </w:tcBorders>
            <w:shd w:val="clear" w:color="auto" w:fill="auto"/>
          </w:tcPr>
          <w:p w:rsidR="00163EE1" w:rsidRPr="00AE1832" w:rsidRDefault="00163EE1" w:rsidP="001C1DC3">
            <w:pPr>
              <w:autoSpaceDE w:val="0"/>
              <w:autoSpaceDN w:val="0"/>
              <w:adjustRightInd w:val="0"/>
              <w:ind w:left="142" w:right="237"/>
              <w:rPr>
                <w:rFonts w:eastAsia="Calibri"/>
                <w:b/>
                <w:sz w:val="18"/>
                <w:szCs w:val="18"/>
              </w:rPr>
            </w:pPr>
            <w:r w:rsidRPr="00AE1832">
              <w:rPr>
                <w:rFonts w:eastAsia="Calibri"/>
                <w:b/>
                <w:sz w:val="18"/>
                <w:szCs w:val="18"/>
              </w:rPr>
              <w:t>Information</w:t>
            </w:r>
          </w:p>
        </w:tc>
      </w:tr>
      <w:tr w:rsidR="00163EE1" w:rsidRPr="00AE1832" w:rsidTr="00AE1832">
        <w:trPr>
          <w:jc w:val="center"/>
        </w:trPr>
        <w:tc>
          <w:tcPr>
            <w:tcW w:w="3415" w:type="dxa"/>
            <w:tcBorders>
              <w:top w:val="single" w:sz="4" w:space="0" w:color="auto"/>
              <w:bottom w:val="single" w:sz="4" w:space="0" w:color="auto"/>
            </w:tcBorders>
            <w:shd w:val="clear" w:color="auto" w:fill="auto"/>
          </w:tcPr>
          <w:p w:rsidR="00163EE1" w:rsidRPr="00AE1832" w:rsidRDefault="00163EE1" w:rsidP="001C1DC3">
            <w:pPr>
              <w:autoSpaceDE w:val="0"/>
              <w:autoSpaceDN w:val="0"/>
              <w:adjustRightInd w:val="0"/>
              <w:ind w:left="142" w:right="237"/>
              <w:rPr>
                <w:rFonts w:eastAsia="Calibri"/>
                <w:sz w:val="18"/>
                <w:szCs w:val="18"/>
              </w:rPr>
            </w:pPr>
            <w:r w:rsidRPr="00AE1832">
              <w:rPr>
                <w:rFonts w:eastAsia="Calibri"/>
                <w:sz w:val="18"/>
                <w:szCs w:val="18"/>
              </w:rPr>
              <w:t>2,2674</w:t>
            </w:r>
          </w:p>
        </w:tc>
        <w:tc>
          <w:tcPr>
            <w:tcW w:w="2784" w:type="dxa"/>
            <w:tcBorders>
              <w:top w:val="single" w:sz="4" w:space="0" w:color="auto"/>
              <w:bottom w:val="single" w:sz="4" w:space="0" w:color="auto"/>
            </w:tcBorders>
            <w:shd w:val="clear" w:color="auto" w:fill="auto"/>
          </w:tcPr>
          <w:p w:rsidR="00163EE1" w:rsidRPr="00AE1832" w:rsidRDefault="00163EE1" w:rsidP="001C1DC3">
            <w:pPr>
              <w:autoSpaceDE w:val="0"/>
              <w:autoSpaceDN w:val="0"/>
              <w:adjustRightInd w:val="0"/>
              <w:ind w:left="142" w:right="237"/>
              <w:rPr>
                <w:rFonts w:eastAsia="Calibri"/>
                <w:sz w:val="18"/>
                <w:szCs w:val="18"/>
              </w:rPr>
            </w:pPr>
            <w:r w:rsidRPr="00AE1832">
              <w:rPr>
                <w:rFonts w:eastAsia="Calibri"/>
                <w:sz w:val="18"/>
                <w:szCs w:val="18"/>
              </w:rPr>
              <w:t>0.3218</w:t>
            </w:r>
          </w:p>
        </w:tc>
        <w:tc>
          <w:tcPr>
            <w:tcW w:w="2511" w:type="dxa"/>
            <w:tcBorders>
              <w:top w:val="single" w:sz="4" w:space="0" w:color="auto"/>
              <w:bottom w:val="single" w:sz="4" w:space="0" w:color="auto"/>
            </w:tcBorders>
            <w:shd w:val="clear" w:color="auto" w:fill="auto"/>
          </w:tcPr>
          <w:p w:rsidR="00163EE1" w:rsidRPr="00AE1832" w:rsidRDefault="00163EE1" w:rsidP="001C1DC3">
            <w:pPr>
              <w:autoSpaceDE w:val="0"/>
              <w:autoSpaceDN w:val="0"/>
              <w:adjustRightInd w:val="0"/>
              <w:ind w:left="142" w:right="237"/>
              <w:rPr>
                <w:rFonts w:eastAsia="Calibri"/>
                <w:sz w:val="18"/>
                <w:szCs w:val="18"/>
              </w:rPr>
            </w:pPr>
            <w:r w:rsidRPr="00AE1832">
              <w:rPr>
                <w:rFonts w:eastAsia="Calibri"/>
                <w:sz w:val="18"/>
                <w:szCs w:val="18"/>
              </w:rPr>
              <w:t>Normal</w:t>
            </w:r>
          </w:p>
        </w:tc>
      </w:tr>
    </w:tbl>
    <w:p w:rsidR="00163EE1" w:rsidRPr="000A2EAF" w:rsidRDefault="00163EE1" w:rsidP="001C1DC3">
      <w:pPr>
        <w:autoSpaceDE w:val="0"/>
        <w:autoSpaceDN w:val="0"/>
        <w:adjustRightInd w:val="0"/>
        <w:ind w:left="142" w:right="237"/>
        <w:rPr>
          <w:i/>
        </w:rPr>
      </w:pPr>
      <w:r w:rsidRPr="000A2EAF">
        <w:rPr>
          <w:i/>
        </w:rPr>
        <w:t xml:space="preserve">   </w:t>
      </w:r>
    </w:p>
    <w:p w:rsidR="00163EE1" w:rsidRPr="0076357B" w:rsidRDefault="0076357B" w:rsidP="0076357B">
      <w:pPr>
        <w:tabs>
          <w:tab w:val="left" w:pos="709"/>
        </w:tabs>
        <w:autoSpaceDE w:val="0"/>
        <w:autoSpaceDN w:val="0"/>
        <w:adjustRightInd w:val="0"/>
        <w:spacing w:before="58" w:line="278" w:lineRule="auto"/>
        <w:ind w:left="142" w:right="238"/>
        <w:jc w:val="both"/>
        <w:rPr>
          <w:sz w:val="24"/>
          <w:szCs w:val="24"/>
          <w:lang w:val="id-ID"/>
        </w:rPr>
      </w:pPr>
      <w:r>
        <w:rPr>
          <w:i/>
        </w:rPr>
        <w:tab/>
      </w:r>
      <w:r w:rsidR="00163EE1" w:rsidRPr="0076357B">
        <w:rPr>
          <w:sz w:val="24"/>
          <w:szCs w:val="24"/>
        </w:rPr>
        <w:t xml:space="preserve">Table </w:t>
      </w:r>
      <w:r w:rsidR="006E65BB">
        <w:rPr>
          <w:sz w:val="24"/>
          <w:szCs w:val="24"/>
          <w:lang w:val="id-ID"/>
        </w:rPr>
        <w:t>7</w:t>
      </w:r>
      <w:r w:rsidR="00163EE1" w:rsidRPr="0076357B">
        <w:rPr>
          <w:sz w:val="24"/>
          <w:szCs w:val="24"/>
        </w:rPr>
        <w:t xml:space="preserve"> shows that the data in this model is normally distributed because it has a probability value of 0.3218.</w:t>
      </w:r>
    </w:p>
    <w:p w:rsidR="00163EE1" w:rsidRPr="000A2EAF" w:rsidRDefault="00163EE1" w:rsidP="001C1DC3">
      <w:pPr>
        <w:autoSpaceDE w:val="0"/>
        <w:autoSpaceDN w:val="0"/>
        <w:adjustRightInd w:val="0"/>
        <w:ind w:left="142" w:right="237"/>
        <w:rPr>
          <w:i/>
        </w:rPr>
      </w:pPr>
    </w:p>
    <w:p w:rsidR="00163EE1" w:rsidRPr="0076357B" w:rsidRDefault="00163EE1" w:rsidP="001C1DC3">
      <w:pPr>
        <w:autoSpaceDE w:val="0"/>
        <w:autoSpaceDN w:val="0"/>
        <w:adjustRightInd w:val="0"/>
        <w:ind w:left="142" w:right="237"/>
        <w:jc w:val="center"/>
        <w:rPr>
          <w:rFonts w:ascii="Century Gothic" w:hAnsi="Century Gothic"/>
          <w:lang w:val="id-ID"/>
        </w:rPr>
      </w:pPr>
      <w:r w:rsidRPr="0076357B">
        <w:rPr>
          <w:rFonts w:ascii="Century Gothic" w:hAnsi="Century Gothic"/>
        </w:rPr>
        <w:t xml:space="preserve">Table </w:t>
      </w:r>
      <w:r w:rsidR="006E65BB">
        <w:rPr>
          <w:rFonts w:ascii="Century Gothic" w:hAnsi="Century Gothic"/>
          <w:lang w:val="id-ID"/>
        </w:rPr>
        <w:t>8.</w:t>
      </w:r>
      <w:r w:rsidRPr="0076357B">
        <w:rPr>
          <w:rFonts w:ascii="Century Gothic" w:hAnsi="Century Gothic"/>
          <w:lang w:val="id-ID"/>
        </w:rPr>
        <w:t xml:space="preserve"> </w:t>
      </w:r>
      <w:r w:rsidRPr="0076357B">
        <w:rPr>
          <w:rFonts w:ascii="Century Gothic" w:hAnsi="Century Gothic"/>
        </w:rPr>
        <w:t>Multicollinearity Test</w:t>
      </w:r>
    </w:p>
    <w:tbl>
      <w:tblPr>
        <w:tblW w:w="0" w:type="auto"/>
        <w:jc w:val="center"/>
        <w:tblBorders>
          <w:top w:val="single" w:sz="4" w:space="0" w:color="auto"/>
          <w:bottom w:val="single" w:sz="4" w:space="0" w:color="auto"/>
        </w:tblBorders>
        <w:tblLook w:val="04A0" w:firstRow="1" w:lastRow="0" w:firstColumn="1" w:lastColumn="0" w:noHBand="0" w:noVBand="1"/>
      </w:tblPr>
      <w:tblGrid>
        <w:gridCol w:w="4770"/>
        <w:gridCol w:w="4110"/>
      </w:tblGrid>
      <w:tr w:rsidR="00163EE1" w:rsidRPr="0076357B" w:rsidTr="0076357B">
        <w:trPr>
          <w:jc w:val="center"/>
        </w:trPr>
        <w:tc>
          <w:tcPr>
            <w:tcW w:w="4770" w:type="dxa"/>
            <w:tcBorders>
              <w:top w:val="single" w:sz="4" w:space="0" w:color="auto"/>
              <w:bottom w:val="single" w:sz="4" w:space="0" w:color="auto"/>
            </w:tcBorders>
            <w:shd w:val="clear" w:color="auto" w:fill="auto"/>
          </w:tcPr>
          <w:p w:rsidR="00163EE1" w:rsidRPr="0076357B" w:rsidRDefault="00163EE1" w:rsidP="001C1DC3">
            <w:pPr>
              <w:autoSpaceDE w:val="0"/>
              <w:autoSpaceDN w:val="0"/>
              <w:adjustRightInd w:val="0"/>
              <w:ind w:left="142" w:right="237"/>
              <w:rPr>
                <w:rFonts w:eastAsia="Calibri"/>
                <w:b/>
                <w:sz w:val="18"/>
                <w:szCs w:val="18"/>
              </w:rPr>
            </w:pPr>
            <w:r w:rsidRPr="0076357B">
              <w:rPr>
                <w:rFonts w:eastAsia="Calibri"/>
                <w:b/>
                <w:sz w:val="18"/>
                <w:szCs w:val="18"/>
              </w:rPr>
              <w:t>Independent Variable</w:t>
            </w:r>
          </w:p>
        </w:tc>
        <w:tc>
          <w:tcPr>
            <w:tcW w:w="4110" w:type="dxa"/>
            <w:tcBorders>
              <w:top w:val="single" w:sz="4" w:space="0" w:color="auto"/>
              <w:bottom w:val="single" w:sz="4" w:space="0" w:color="auto"/>
            </w:tcBorders>
            <w:shd w:val="clear" w:color="auto" w:fill="auto"/>
          </w:tcPr>
          <w:p w:rsidR="00163EE1" w:rsidRPr="0076357B" w:rsidRDefault="00163EE1" w:rsidP="001C1DC3">
            <w:pPr>
              <w:autoSpaceDE w:val="0"/>
              <w:autoSpaceDN w:val="0"/>
              <w:adjustRightInd w:val="0"/>
              <w:ind w:left="142" w:right="237"/>
              <w:rPr>
                <w:rFonts w:eastAsia="Calibri"/>
                <w:b/>
                <w:sz w:val="18"/>
                <w:szCs w:val="18"/>
              </w:rPr>
            </w:pPr>
            <w:r w:rsidRPr="0076357B">
              <w:rPr>
                <w:rFonts w:eastAsia="Calibri"/>
                <w:b/>
                <w:i/>
                <w:sz w:val="18"/>
                <w:szCs w:val="18"/>
              </w:rPr>
              <w:t>Variance Inflation Factor</w:t>
            </w:r>
            <w:r w:rsidRPr="0076357B">
              <w:rPr>
                <w:rFonts w:eastAsia="Calibri"/>
                <w:b/>
                <w:sz w:val="18"/>
                <w:szCs w:val="18"/>
              </w:rPr>
              <w:t xml:space="preserve"> (VIP)</w:t>
            </w:r>
          </w:p>
        </w:tc>
      </w:tr>
      <w:tr w:rsidR="00163EE1" w:rsidRPr="000A2EAF" w:rsidTr="0076357B">
        <w:trPr>
          <w:jc w:val="center"/>
        </w:trPr>
        <w:tc>
          <w:tcPr>
            <w:tcW w:w="4770" w:type="dxa"/>
            <w:tcBorders>
              <w:top w:val="single" w:sz="4" w:space="0" w:color="auto"/>
              <w:bottom w:val="nil"/>
            </w:tcBorders>
            <w:shd w:val="clear" w:color="auto" w:fill="auto"/>
          </w:tcPr>
          <w:p w:rsidR="00163EE1" w:rsidRPr="0076357B" w:rsidRDefault="00163EE1" w:rsidP="001C1DC3">
            <w:pPr>
              <w:autoSpaceDE w:val="0"/>
              <w:autoSpaceDN w:val="0"/>
              <w:adjustRightInd w:val="0"/>
              <w:ind w:left="142" w:right="237"/>
              <w:rPr>
                <w:rFonts w:eastAsia="Calibri"/>
                <w:sz w:val="18"/>
                <w:szCs w:val="18"/>
              </w:rPr>
            </w:pPr>
            <w:r w:rsidRPr="0076357B">
              <w:rPr>
                <w:rFonts w:eastAsia="Calibri"/>
                <w:sz w:val="18"/>
                <w:szCs w:val="18"/>
              </w:rPr>
              <w:t>Exchange rate</w:t>
            </w:r>
          </w:p>
        </w:tc>
        <w:tc>
          <w:tcPr>
            <w:tcW w:w="4110" w:type="dxa"/>
            <w:tcBorders>
              <w:top w:val="single" w:sz="4" w:space="0" w:color="auto"/>
              <w:bottom w:val="nil"/>
            </w:tcBorders>
            <w:shd w:val="clear" w:color="auto" w:fill="auto"/>
          </w:tcPr>
          <w:p w:rsidR="00163EE1" w:rsidRPr="0076357B" w:rsidRDefault="00163EE1" w:rsidP="001C1DC3">
            <w:pPr>
              <w:autoSpaceDE w:val="0"/>
              <w:autoSpaceDN w:val="0"/>
              <w:adjustRightInd w:val="0"/>
              <w:ind w:left="142" w:right="237"/>
              <w:rPr>
                <w:rFonts w:eastAsia="Calibri"/>
                <w:sz w:val="18"/>
                <w:szCs w:val="18"/>
              </w:rPr>
            </w:pPr>
            <w:r w:rsidRPr="0076357B">
              <w:rPr>
                <w:rFonts w:eastAsia="Calibri"/>
                <w:sz w:val="18"/>
                <w:szCs w:val="18"/>
              </w:rPr>
              <w:t>1,0202</w:t>
            </w:r>
          </w:p>
        </w:tc>
      </w:tr>
      <w:tr w:rsidR="00163EE1" w:rsidRPr="000A2EAF" w:rsidTr="0076357B">
        <w:trPr>
          <w:jc w:val="center"/>
        </w:trPr>
        <w:tc>
          <w:tcPr>
            <w:tcW w:w="4770" w:type="dxa"/>
            <w:tcBorders>
              <w:top w:val="nil"/>
              <w:bottom w:val="single" w:sz="4" w:space="0" w:color="auto"/>
            </w:tcBorders>
            <w:shd w:val="clear" w:color="auto" w:fill="auto"/>
          </w:tcPr>
          <w:p w:rsidR="00163EE1" w:rsidRPr="0076357B" w:rsidRDefault="00163EE1" w:rsidP="001C1DC3">
            <w:pPr>
              <w:autoSpaceDE w:val="0"/>
              <w:autoSpaceDN w:val="0"/>
              <w:adjustRightInd w:val="0"/>
              <w:ind w:left="142" w:right="237"/>
              <w:rPr>
                <w:rFonts w:eastAsia="Calibri"/>
                <w:sz w:val="18"/>
                <w:szCs w:val="18"/>
              </w:rPr>
            </w:pPr>
            <w:r w:rsidRPr="0076357B">
              <w:rPr>
                <w:rFonts w:eastAsia="Calibri"/>
                <w:sz w:val="18"/>
                <w:szCs w:val="18"/>
              </w:rPr>
              <w:t>Halal Tourism</w:t>
            </w:r>
          </w:p>
        </w:tc>
        <w:tc>
          <w:tcPr>
            <w:tcW w:w="4110" w:type="dxa"/>
            <w:tcBorders>
              <w:top w:val="nil"/>
              <w:bottom w:val="single" w:sz="4" w:space="0" w:color="auto"/>
            </w:tcBorders>
            <w:shd w:val="clear" w:color="auto" w:fill="auto"/>
          </w:tcPr>
          <w:p w:rsidR="00163EE1" w:rsidRPr="0076357B" w:rsidRDefault="00163EE1" w:rsidP="001C1DC3">
            <w:pPr>
              <w:autoSpaceDE w:val="0"/>
              <w:autoSpaceDN w:val="0"/>
              <w:adjustRightInd w:val="0"/>
              <w:ind w:left="142" w:right="237"/>
              <w:rPr>
                <w:rFonts w:eastAsia="Calibri"/>
                <w:sz w:val="18"/>
                <w:szCs w:val="18"/>
              </w:rPr>
            </w:pPr>
            <w:r w:rsidRPr="0076357B">
              <w:rPr>
                <w:rFonts w:eastAsia="Calibri"/>
                <w:sz w:val="18"/>
                <w:szCs w:val="18"/>
              </w:rPr>
              <w:t>1.0413</w:t>
            </w:r>
          </w:p>
        </w:tc>
      </w:tr>
    </w:tbl>
    <w:p w:rsidR="0076357B" w:rsidRDefault="0076357B" w:rsidP="0076357B">
      <w:pPr>
        <w:autoSpaceDE w:val="0"/>
        <w:autoSpaceDN w:val="0"/>
        <w:adjustRightInd w:val="0"/>
        <w:ind w:left="142" w:right="237" w:firstLine="578"/>
      </w:pPr>
    </w:p>
    <w:p w:rsidR="00163EE1" w:rsidRPr="0076357B" w:rsidRDefault="00163EE1" w:rsidP="0076357B">
      <w:pPr>
        <w:autoSpaceDE w:val="0"/>
        <w:autoSpaceDN w:val="0"/>
        <w:adjustRightInd w:val="0"/>
        <w:spacing w:before="58" w:line="278" w:lineRule="auto"/>
        <w:ind w:left="142" w:right="238" w:firstLine="578"/>
        <w:jc w:val="both"/>
        <w:rPr>
          <w:sz w:val="24"/>
          <w:szCs w:val="24"/>
        </w:rPr>
      </w:pPr>
      <w:r w:rsidRPr="0076357B">
        <w:rPr>
          <w:sz w:val="24"/>
          <w:szCs w:val="24"/>
        </w:rPr>
        <w:t xml:space="preserve">Based on Table </w:t>
      </w:r>
      <w:r w:rsidR="006E65BB">
        <w:rPr>
          <w:sz w:val="24"/>
          <w:szCs w:val="24"/>
          <w:lang w:val="id-ID"/>
        </w:rPr>
        <w:t>8</w:t>
      </w:r>
      <w:r w:rsidRPr="0076357B">
        <w:rPr>
          <w:sz w:val="24"/>
          <w:szCs w:val="24"/>
        </w:rPr>
        <w:t xml:space="preserve">, the VIP values ​​of the variables are 1.0202 and 1.0413, respectively, meaning less than 10, so there is no multicollinearity in this model. </w:t>
      </w:r>
    </w:p>
    <w:p w:rsidR="00163EE1" w:rsidRPr="000A2EAF" w:rsidRDefault="00163EE1" w:rsidP="001C1DC3">
      <w:pPr>
        <w:autoSpaceDE w:val="0"/>
        <w:autoSpaceDN w:val="0"/>
        <w:adjustRightInd w:val="0"/>
        <w:ind w:left="142" w:right="237"/>
      </w:pPr>
    </w:p>
    <w:p w:rsidR="00163EE1" w:rsidRPr="0076357B" w:rsidRDefault="00163EE1" w:rsidP="001C1DC3">
      <w:pPr>
        <w:autoSpaceDE w:val="0"/>
        <w:autoSpaceDN w:val="0"/>
        <w:adjustRightInd w:val="0"/>
        <w:ind w:left="142" w:right="237"/>
        <w:jc w:val="center"/>
        <w:rPr>
          <w:rFonts w:ascii="Century Gothic" w:hAnsi="Century Gothic"/>
          <w:lang w:val="id-ID"/>
        </w:rPr>
      </w:pPr>
      <w:r w:rsidRPr="0076357B">
        <w:rPr>
          <w:rFonts w:ascii="Century Gothic" w:hAnsi="Century Gothic"/>
        </w:rPr>
        <w:t xml:space="preserve">Table </w:t>
      </w:r>
      <w:r w:rsidRPr="0076357B">
        <w:rPr>
          <w:rFonts w:ascii="Century Gothic" w:hAnsi="Century Gothic"/>
          <w:lang w:val="id-ID"/>
        </w:rPr>
        <w:t>4</w:t>
      </w:r>
      <w:r w:rsidRPr="0076357B">
        <w:rPr>
          <w:rFonts w:ascii="Century Gothic" w:hAnsi="Century Gothic"/>
        </w:rPr>
        <w:t xml:space="preserve">. </w:t>
      </w:r>
      <w:r w:rsidRPr="0076357B">
        <w:rPr>
          <w:rFonts w:ascii="Century Gothic" w:hAnsi="Century Gothic"/>
          <w:lang w:val="id-ID"/>
        </w:rPr>
        <w:t xml:space="preserve">6c </w:t>
      </w:r>
      <w:r w:rsidRPr="0076357B">
        <w:rPr>
          <w:rFonts w:ascii="Century Gothic" w:hAnsi="Century Gothic"/>
        </w:rPr>
        <w:t>Heteroscedasticity Test</w:t>
      </w:r>
    </w:p>
    <w:tbl>
      <w:tblPr>
        <w:tblW w:w="5000" w:type="pct"/>
        <w:tblBorders>
          <w:top w:val="single" w:sz="4" w:space="0" w:color="auto"/>
          <w:bottom w:val="single" w:sz="4" w:space="0" w:color="auto"/>
        </w:tblBorders>
        <w:tblLook w:val="04A0" w:firstRow="1" w:lastRow="0" w:firstColumn="1" w:lastColumn="0" w:noHBand="0" w:noVBand="1"/>
      </w:tblPr>
      <w:tblGrid>
        <w:gridCol w:w="2657"/>
        <w:gridCol w:w="2356"/>
        <w:gridCol w:w="2728"/>
        <w:gridCol w:w="1285"/>
      </w:tblGrid>
      <w:tr w:rsidR="00163EE1" w:rsidRPr="000A2EAF" w:rsidTr="0076357B">
        <w:tc>
          <w:tcPr>
            <w:tcW w:w="1472" w:type="pct"/>
            <w:tcBorders>
              <w:top w:val="single" w:sz="4" w:space="0" w:color="auto"/>
              <w:bottom w:val="nil"/>
            </w:tcBorders>
            <w:shd w:val="clear" w:color="auto" w:fill="auto"/>
          </w:tcPr>
          <w:p w:rsidR="00163EE1" w:rsidRPr="0076357B" w:rsidRDefault="00163EE1" w:rsidP="001C1DC3">
            <w:pPr>
              <w:autoSpaceDE w:val="0"/>
              <w:autoSpaceDN w:val="0"/>
              <w:adjustRightInd w:val="0"/>
              <w:ind w:left="142" w:right="237"/>
              <w:rPr>
                <w:rFonts w:eastAsia="Calibri"/>
                <w:sz w:val="18"/>
                <w:szCs w:val="18"/>
              </w:rPr>
            </w:pPr>
            <w:r w:rsidRPr="0076357B">
              <w:rPr>
                <w:rFonts w:eastAsia="Calibri"/>
                <w:sz w:val="18"/>
                <w:szCs w:val="18"/>
              </w:rPr>
              <w:t>F-statistics</w:t>
            </w:r>
          </w:p>
        </w:tc>
        <w:tc>
          <w:tcPr>
            <w:tcW w:w="1305" w:type="pct"/>
            <w:tcBorders>
              <w:top w:val="single" w:sz="4" w:space="0" w:color="auto"/>
              <w:bottom w:val="nil"/>
            </w:tcBorders>
            <w:shd w:val="clear" w:color="auto" w:fill="auto"/>
          </w:tcPr>
          <w:p w:rsidR="00163EE1" w:rsidRPr="0076357B" w:rsidRDefault="00163EE1" w:rsidP="001C1DC3">
            <w:pPr>
              <w:autoSpaceDE w:val="0"/>
              <w:autoSpaceDN w:val="0"/>
              <w:adjustRightInd w:val="0"/>
              <w:ind w:left="142" w:right="237"/>
              <w:rPr>
                <w:rFonts w:eastAsia="Calibri"/>
                <w:sz w:val="18"/>
                <w:szCs w:val="18"/>
              </w:rPr>
            </w:pPr>
            <w:r w:rsidRPr="0076357B">
              <w:rPr>
                <w:rFonts w:eastAsia="Calibri"/>
                <w:sz w:val="18"/>
                <w:szCs w:val="18"/>
              </w:rPr>
              <w:t>1,6886</w:t>
            </w:r>
          </w:p>
        </w:tc>
        <w:tc>
          <w:tcPr>
            <w:tcW w:w="1511" w:type="pct"/>
            <w:tcBorders>
              <w:top w:val="single" w:sz="4" w:space="0" w:color="auto"/>
              <w:bottom w:val="nil"/>
            </w:tcBorders>
            <w:shd w:val="clear" w:color="auto" w:fill="auto"/>
          </w:tcPr>
          <w:p w:rsidR="00163EE1" w:rsidRPr="0076357B" w:rsidRDefault="00163EE1" w:rsidP="001C1DC3">
            <w:pPr>
              <w:autoSpaceDE w:val="0"/>
              <w:autoSpaceDN w:val="0"/>
              <w:adjustRightInd w:val="0"/>
              <w:ind w:left="142" w:right="237"/>
              <w:rPr>
                <w:rFonts w:eastAsia="Calibri"/>
                <w:sz w:val="18"/>
                <w:szCs w:val="18"/>
              </w:rPr>
            </w:pPr>
            <w:r w:rsidRPr="0076357B">
              <w:rPr>
                <w:rFonts w:eastAsia="Calibri"/>
                <w:sz w:val="18"/>
                <w:szCs w:val="18"/>
              </w:rPr>
              <w:t>Prob. F (20,38)</w:t>
            </w:r>
          </w:p>
        </w:tc>
        <w:tc>
          <w:tcPr>
            <w:tcW w:w="712" w:type="pct"/>
            <w:tcBorders>
              <w:top w:val="single" w:sz="4" w:space="0" w:color="auto"/>
              <w:bottom w:val="nil"/>
            </w:tcBorders>
            <w:shd w:val="clear" w:color="auto" w:fill="auto"/>
          </w:tcPr>
          <w:p w:rsidR="00163EE1" w:rsidRPr="0076357B" w:rsidRDefault="00163EE1" w:rsidP="001C1DC3">
            <w:pPr>
              <w:autoSpaceDE w:val="0"/>
              <w:autoSpaceDN w:val="0"/>
              <w:adjustRightInd w:val="0"/>
              <w:ind w:left="142" w:right="237"/>
              <w:rPr>
                <w:rFonts w:eastAsia="Calibri"/>
                <w:sz w:val="18"/>
                <w:szCs w:val="18"/>
              </w:rPr>
            </w:pPr>
            <w:r w:rsidRPr="0076357B">
              <w:rPr>
                <w:rFonts w:eastAsia="Calibri"/>
                <w:sz w:val="18"/>
                <w:szCs w:val="18"/>
              </w:rPr>
              <w:t>0.6232</w:t>
            </w:r>
          </w:p>
        </w:tc>
      </w:tr>
      <w:tr w:rsidR="00163EE1" w:rsidRPr="000A2EAF" w:rsidTr="0076357B">
        <w:tc>
          <w:tcPr>
            <w:tcW w:w="1472" w:type="pct"/>
            <w:tcBorders>
              <w:top w:val="nil"/>
              <w:bottom w:val="nil"/>
            </w:tcBorders>
            <w:shd w:val="clear" w:color="auto" w:fill="auto"/>
          </w:tcPr>
          <w:p w:rsidR="00163EE1" w:rsidRPr="0076357B" w:rsidRDefault="00163EE1" w:rsidP="001C1DC3">
            <w:pPr>
              <w:autoSpaceDE w:val="0"/>
              <w:autoSpaceDN w:val="0"/>
              <w:adjustRightInd w:val="0"/>
              <w:ind w:left="142" w:right="237"/>
              <w:rPr>
                <w:rFonts w:eastAsia="Calibri"/>
                <w:sz w:val="18"/>
                <w:szCs w:val="18"/>
              </w:rPr>
            </w:pPr>
            <w:r w:rsidRPr="0076357B">
              <w:rPr>
                <w:rFonts w:eastAsia="Calibri"/>
                <w:sz w:val="18"/>
                <w:szCs w:val="18"/>
              </w:rPr>
              <w:t>Obs * R-Squared</w:t>
            </w:r>
          </w:p>
        </w:tc>
        <w:tc>
          <w:tcPr>
            <w:tcW w:w="1305" w:type="pct"/>
            <w:tcBorders>
              <w:top w:val="nil"/>
              <w:bottom w:val="nil"/>
            </w:tcBorders>
            <w:shd w:val="clear" w:color="auto" w:fill="auto"/>
          </w:tcPr>
          <w:p w:rsidR="00163EE1" w:rsidRPr="0076357B" w:rsidRDefault="00163EE1" w:rsidP="001C1DC3">
            <w:pPr>
              <w:autoSpaceDE w:val="0"/>
              <w:autoSpaceDN w:val="0"/>
              <w:adjustRightInd w:val="0"/>
              <w:ind w:left="142" w:right="237"/>
              <w:rPr>
                <w:rFonts w:eastAsia="Calibri"/>
                <w:sz w:val="18"/>
                <w:szCs w:val="18"/>
              </w:rPr>
            </w:pPr>
            <w:r w:rsidRPr="0076357B">
              <w:rPr>
                <w:rFonts w:eastAsia="Calibri"/>
                <w:sz w:val="18"/>
                <w:szCs w:val="18"/>
              </w:rPr>
              <w:t>5.0210</w:t>
            </w:r>
          </w:p>
        </w:tc>
        <w:tc>
          <w:tcPr>
            <w:tcW w:w="1511" w:type="pct"/>
            <w:tcBorders>
              <w:top w:val="nil"/>
              <w:bottom w:val="nil"/>
            </w:tcBorders>
            <w:shd w:val="clear" w:color="auto" w:fill="auto"/>
          </w:tcPr>
          <w:p w:rsidR="00163EE1" w:rsidRPr="0076357B" w:rsidRDefault="00163EE1" w:rsidP="001C1DC3">
            <w:pPr>
              <w:autoSpaceDE w:val="0"/>
              <w:autoSpaceDN w:val="0"/>
              <w:adjustRightInd w:val="0"/>
              <w:ind w:left="142" w:right="237"/>
              <w:rPr>
                <w:rFonts w:eastAsia="Calibri"/>
                <w:sz w:val="18"/>
                <w:szCs w:val="18"/>
              </w:rPr>
            </w:pPr>
            <w:r w:rsidRPr="0076357B">
              <w:rPr>
                <w:rFonts w:eastAsia="Calibri"/>
                <w:sz w:val="18"/>
                <w:szCs w:val="18"/>
              </w:rPr>
              <w:t>Prob.Chi-Square (20)</w:t>
            </w:r>
          </w:p>
        </w:tc>
        <w:tc>
          <w:tcPr>
            <w:tcW w:w="712" w:type="pct"/>
            <w:tcBorders>
              <w:top w:val="nil"/>
              <w:bottom w:val="nil"/>
            </w:tcBorders>
            <w:shd w:val="clear" w:color="auto" w:fill="auto"/>
          </w:tcPr>
          <w:p w:rsidR="00163EE1" w:rsidRPr="0076357B" w:rsidRDefault="00163EE1" w:rsidP="001C1DC3">
            <w:pPr>
              <w:autoSpaceDE w:val="0"/>
              <w:autoSpaceDN w:val="0"/>
              <w:adjustRightInd w:val="0"/>
              <w:ind w:left="142" w:right="237"/>
              <w:rPr>
                <w:rFonts w:eastAsia="Calibri"/>
                <w:sz w:val="18"/>
                <w:szCs w:val="18"/>
              </w:rPr>
            </w:pPr>
            <w:r w:rsidRPr="0076357B">
              <w:rPr>
                <w:rFonts w:eastAsia="Calibri"/>
                <w:sz w:val="18"/>
                <w:szCs w:val="18"/>
              </w:rPr>
              <w:t>0.6146</w:t>
            </w:r>
          </w:p>
        </w:tc>
      </w:tr>
      <w:tr w:rsidR="00163EE1" w:rsidRPr="000A2EAF" w:rsidTr="0076357B">
        <w:tc>
          <w:tcPr>
            <w:tcW w:w="1472" w:type="pct"/>
            <w:tcBorders>
              <w:top w:val="nil"/>
              <w:bottom w:val="single" w:sz="4" w:space="0" w:color="auto"/>
            </w:tcBorders>
            <w:shd w:val="clear" w:color="auto" w:fill="auto"/>
          </w:tcPr>
          <w:p w:rsidR="00163EE1" w:rsidRPr="0076357B" w:rsidRDefault="00163EE1" w:rsidP="001C1DC3">
            <w:pPr>
              <w:autoSpaceDE w:val="0"/>
              <w:autoSpaceDN w:val="0"/>
              <w:adjustRightInd w:val="0"/>
              <w:ind w:left="142" w:right="237"/>
              <w:rPr>
                <w:rFonts w:eastAsia="Calibri"/>
                <w:sz w:val="18"/>
                <w:szCs w:val="18"/>
              </w:rPr>
            </w:pPr>
            <w:r w:rsidRPr="0076357B">
              <w:rPr>
                <w:rFonts w:eastAsia="Calibri"/>
                <w:sz w:val="18"/>
                <w:szCs w:val="18"/>
              </w:rPr>
              <w:t>Scaled explained SS</w:t>
            </w:r>
          </w:p>
        </w:tc>
        <w:tc>
          <w:tcPr>
            <w:tcW w:w="1305" w:type="pct"/>
            <w:tcBorders>
              <w:top w:val="nil"/>
              <w:bottom w:val="single" w:sz="4" w:space="0" w:color="auto"/>
            </w:tcBorders>
            <w:shd w:val="clear" w:color="auto" w:fill="auto"/>
          </w:tcPr>
          <w:p w:rsidR="00163EE1" w:rsidRPr="0076357B" w:rsidRDefault="00163EE1" w:rsidP="001C1DC3">
            <w:pPr>
              <w:autoSpaceDE w:val="0"/>
              <w:autoSpaceDN w:val="0"/>
              <w:adjustRightInd w:val="0"/>
              <w:ind w:left="142" w:right="237"/>
              <w:rPr>
                <w:rFonts w:eastAsia="Calibri"/>
                <w:sz w:val="18"/>
                <w:szCs w:val="18"/>
              </w:rPr>
            </w:pPr>
            <w:r w:rsidRPr="0076357B">
              <w:rPr>
                <w:rFonts w:eastAsia="Calibri"/>
                <w:sz w:val="18"/>
                <w:szCs w:val="18"/>
              </w:rPr>
              <w:t>5,3776</w:t>
            </w:r>
          </w:p>
        </w:tc>
        <w:tc>
          <w:tcPr>
            <w:tcW w:w="1511" w:type="pct"/>
            <w:tcBorders>
              <w:top w:val="nil"/>
              <w:bottom w:val="single" w:sz="4" w:space="0" w:color="auto"/>
            </w:tcBorders>
            <w:shd w:val="clear" w:color="auto" w:fill="auto"/>
          </w:tcPr>
          <w:p w:rsidR="00163EE1" w:rsidRPr="0076357B" w:rsidRDefault="00163EE1" w:rsidP="001C1DC3">
            <w:pPr>
              <w:autoSpaceDE w:val="0"/>
              <w:autoSpaceDN w:val="0"/>
              <w:adjustRightInd w:val="0"/>
              <w:ind w:left="142" w:right="237"/>
              <w:rPr>
                <w:rFonts w:eastAsia="Calibri"/>
                <w:i/>
                <w:sz w:val="18"/>
                <w:szCs w:val="18"/>
              </w:rPr>
            </w:pPr>
            <w:r w:rsidRPr="0076357B">
              <w:rPr>
                <w:rFonts w:eastAsia="Calibri"/>
                <w:sz w:val="18"/>
                <w:szCs w:val="18"/>
              </w:rPr>
              <w:t>Prob.Chi-Square (20)</w:t>
            </w:r>
          </w:p>
        </w:tc>
        <w:tc>
          <w:tcPr>
            <w:tcW w:w="712" w:type="pct"/>
            <w:tcBorders>
              <w:top w:val="nil"/>
              <w:bottom w:val="single" w:sz="4" w:space="0" w:color="auto"/>
            </w:tcBorders>
            <w:shd w:val="clear" w:color="auto" w:fill="auto"/>
          </w:tcPr>
          <w:p w:rsidR="00163EE1" w:rsidRPr="0076357B" w:rsidRDefault="00163EE1" w:rsidP="001C1DC3">
            <w:pPr>
              <w:autoSpaceDE w:val="0"/>
              <w:autoSpaceDN w:val="0"/>
              <w:adjustRightInd w:val="0"/>
              <w:ind w:left="142" w:right="237"/>
              <w:rPr>
                <w:rFonts w:eastAsia="Calibri"/>
                <w:sz w:val="18"/>
                <w:szCs w:val="18"/>
              </w:rPr>
            </w:pPr>
            <w:r w:rsidRPr="0076357B">
              <w:rPr>
                <w:rFonts w:eastAsia="Calibri"/>
                <w:sz w:val="18"/>
                <w:szCs w:val="18"/>
              </w:rPr>
              <w:t>0.5462</w:t>
            </w:r>
          </w:p>
        </w:tc>
      </w:tr>
    </w:tbl>
    <w:p w:rsidR="00163EE1" w:rsidRDefault="00163EE1" w:rsidP="001C1DC3">
      <w:pPr>
        <w:autoSpaceDE w:val="0"/>
        <w:autoSpaceDN w:val="0"/>
        <w:adjustRightInd w:val="0"/>
        <w:ind w:left="142" w:right="237"/>
        <w:rPr>
          <w:lang w:val="id-ID"/>
        </w:rPr>
      </w:pPr>
      <w:r w:rsidRPr="000A2EAF">
        <w:t xml:space="preserve">       </w:t>
      </w:r>
    </w:p>
    <w:p w:rsidR="00163EE1" w:rsidRPr="006E65BB" w:rsidRDefault="00163EE1" w:rsidP="006E65BB">
      <w:pPr>
        <w:autoSpaceDE w:val="0"/>
        <w:autoSpaceDN w:val="0"/>
        <w:adjustRightInd w:val="0"/>
        <w:spacing w:before="58" w:line="278" w:lineRule="auto"/>
        <w:ind w:left="142" w:right="238" w:firstLine="578"/>
        <w:jc w:val="both"/>
        <w:rPr>
          <w:sz w:val="24"/>
          <w:szCs w:val="24"/>
        </w:rPr>
      </w:pPr>
      <w:r w:rsidRPr="006E65BB">
        <w:rPr>
          <w:sz w:val="24"/>
          <w:szCs w:val="24"/>
        </w:rPr>
        <w:t xml:space="preserve">Table </w:t>
      </w:r>
      <w:r w:rsidRPr="006E65BB">
        <w:rPr>
          <w:sz w:val="24"/>
          <w:szCs w:val="24"/>
          <w:lang w:val="id-ID"/>
        </w:rPr>
        <w:t>4.6c</w:t>
      </w:r>
      <w:r w:rsidRPr="006E65BB">
        <w:rPr>
          <w:sz w:val="24"/>
          <w:szCs w:val="24"/>
        </w:rPr>
        <w:t xml:space="preserve"> shows that the Prob. The Chi-Square from Obs * R-Squared is 0.6146 (&gt; 0.05), meaning that there is no heteroscedasticity in the model.</w:t>
      </w:r>
    </w:p>
    <w:p w:rsidR="00163EE1" w:rsidRPr="000A2EAF" w:rsidRDefault="00163EE1" w:rsidP="00605F3D">
      <w:pPr>
        <w:autoSpaceDE w:val="0"/>
        <w:autoSpaceDN w:val="0"/>
        <w:adjustRightInd w:val="0"/>
        <w:spacing w:before="58" w:line="278" w:lineRule="auto"/>
        <w:ind w:left="142" w:right="238"/>
      </w:pPr>
    </w:p>
    <w:p w:rsidR="00163EE1" w:rsidRDefault="00163EE1" w:rsidP="001C1DC3">
      <w:pPr>
        <w:autoSpaceDE w:val="0"/>
        <w:autoSpaceDN w:val="0"/>
        <w:adjustRightInd w:val="0"/>
        <w:ind w:left="142" w:right="237"/>
        <w:jc w:val="center"/>
        <w:rPr>
          <w:b/>
        </w:rPr>
      </w:pPr>
    </w:p>
    <w:p w:rsidR="00163EE1" w:rsidRPr="00605F3D" w:rsidRDefault="00163EE1" w:rsidP="001C1DC3">
      <w:pPr>
        <w:autoSpaceDE w:val="0"/>
        <w:autoSpaceDN w:val="0"/>
        <w:adjustRightInd w:val="0"/>
        <w:ind w:left="142" w:right="237"/>
        <w:jc w:val="center"/>
        <w:rPr>
          <w:rFonts w:ascii="Century Gothic" w:hAnsi="Century Gothic"/>
        </w:rPr>
      </w:pPr>
      <w:r w:rsidRPr="00605F3D">
        <w:rPr>
          <w:rFonts w:ascii="Century Gothic" w:hAnsi="Century Gothic"/>
        </w:rPr>
        <w:t xml:space="preserve">Table </w:t>
      </w:r>
      <w:r w:rsidR="006E65BB">
        <w:rPr>
          <w:rFonts w:ascii="Century Gothic" w:hAnsi="Century Gothic"/>
          <w:lang w:val="id-ID"/>
        </w:rPr>
        <w:t>9.</w:t>
      </w:r>
      <w:r w:rsidRPr="00605F3D">
        <w:rPr>
          <w:rFonts w:ascii="Century Gothic" w:hAnsi="Century Gothic"/>
          <w:lang w:val="id-ID"/>
        </w:rPr>
        <w:t xml:space="preserve"> </w:t>
      </w:r>
      <w:r w:rsidRPr="00605F3D">
        <w:rPr>
          <w:rFonts w:ascii="Century Gothic" w:hAnsi="Century Gothic"/>
        </w:rPr>
        <w:t>Autocorrelation Test</w:t>
      </w:r>
    </w:p>
    <w:tbl>
      <w:tblPr>
        <w:tblW w:w="8823" w:type="dxa"/>
        <w:tblInd w:w="108" w:type="dxa"/>
        <w:tblBorders>
          <w:top w:val="single" w:sz="4" w:space="0" w:color="auto"/>
          <w:bottom w:val="single" w:sz="4" w:space="0" w:color="auto"/>
        </w:tblBorders>
        <w:tblLook w:val="04A0" w:firstRow="1" w:lastRow="0" w:firstColumn="1" w:lastColumn="0" w:noHBand="0" w:noVBand="1"/>
      </w:tblPr>
      <w:tblGrid>
        <w:gridCol w:w="1925"/>
        <w:gridCol w:w="2243"/>
        <w:gridCol w:w="2440"/>
        <w:gridCol w:w="2215"/>
      </w:tblGrid>
      <w:tr w:rsidR="00163EE1" w:rsidRPr="000A2EAF" w:rsidTr="00605F3D">
        <w:tc>
          <w:tcPr>
            <w:tcW w:w="1925" w:type="dxa"/>
            <w:tcBorders>
              <w:top w:val="single" w:sz="4" w:space="0" w:color="auto"/>
              <w:bottom w:val="single" w:sz="4" w:space="0" w:color="auto"/>
            </w:tcBorders>
            <w:shd w:val="clear" w:color="auto" w:fill="auto"/>
          </w:tcPr>
          <w:p w:rsidR="00163EE1" w:rsidRPr="00605F3D" w:rsidRDefault="00163EE1" w:rsidP="001C1DC3">
            <w:pPr>
              <w:autoSpaceDE w:val="0"/>
              <w:autoSpaceDN w:val="0"/>
              <w:adjustRightInd w:val="0"/>
              <w:ind w:left="142" w:right="237"/>
              <w:rPr>
                <w:rFonts w:eastAsia="Calibri"/>
                <w:sz w:val="18"/>
                <w:szCs w:val="18"/>
              </w:rPr>
            </w:pPr>
            <w:r w:rsidRPr="00605F3D">
              <w:rPr>
                <w:rFonts w:eastAsia="Calibri"/>
                <w:sz w:val="18"/>
                <w:szCs w:val="18"/>
              </w:rPr>
              <w:t>F-statistics</w:t>
            </w:r>
          </w:p>
        </w:tc>
        <w:tc>
          <w:tcPr>
            <w:tcW w:w="2243" w:type="dxa"/>
            <w:tcBorders>
              <w:top w:val="single" w:sz="4" w:space="0" w:color="auto"/>
              <w:bottom w:val="single" w:sz="4" w:space="0" w:color="auto"/>
            </w:tcBorders>
            <w:shd w:val="clear" w:color="auto" w:fill="auto"/>
          </w:tcPr>
          <w:p w:rsidR="00163EE1" w:rsidRPr="00605F3D" w:rsidRDefault="00163EE1" w:rsidP="001C1DC3">
            <w:pPr>
              <w:autoSpaceDE w:val="0"/>
              <w:autoSpaceDN w:val="0"/>
              <w:adjustRightInd w:val="0"/>
              <w:ind w:left="142" w:right="237"/>
              <w:rPr>
                <w:rFonts w:eastAsia="Calibri"/>
                <w:sz w:val="18"/>
                <w:szCs w:val="18"/>
              </w:rPr>
            </w:pPr>
            <w:r w:rsidRPr="00605F3D">
              <w:rPr>
                <w:rFonts w:eastAsia="Calibri"/>
                <w:sz w:val="18"/>
                <w:szCs w:val="18"/>
              </w:rPr>
              <w:t>0.3022</w:t>
            </w:r>
          </w:p>
        </w:tc>
        <w:tc>
          <w:tcPr>
            <w:tcW w:w="2440" w:type="dxa"/>
            <w:tcBorders>
              <w:top w:val="single" w:sz="4" w:space="0" w:color="auto"/>
              <w:bottom w:val="single" w:sz="4" w:space="0" w:color="auto"/>
            </w:tcBorders>
            <w:shd w:val="clear" w:color="auto" w:fill="auto"/>
          </w:tcPr>
          <w:p w:rsidR="00163EE1" w:rsidRPr="00605F3D" w:rsidRDefault="00163EE1" w:rsidP="001C1DC3">
            <w:pPr>
              <w:autoSpaceDE w:val="0"/>
              <w:autoSpaceDN w:val="0"/>
              <w:adjustRightInd w:val="0"/>
              <w:ind w:left="142" w:right="237"/>
              <w:rPr>
                <w:rFonts w:eastAsia="Calibri"/>
                <w:sz w:val="18"/>
                <w:szCs w:val="18"/>
              </w:rPr>
            </w:pPr>
            <w:r w:rsidRPr="00605F3D">
              <w:rPr>
                <w:rFonts w:eastAsia="Calibri"/>
                <w:sz w:val="18"/>
                <w:szCs w:val="18"/>
              </w:rPr>
              <w:t>Prob. F (2,113)</w:t>
            </w:r>
          </w:p>
        </w:tc>
        <w:tc>
          <w:tcPr>
            <w:tcW w:w="2215" w:type="dxa"/>
            <w:tcBorders>
              <w:top w:val="single" w:sz="4" w:space="0" w:color="auto"/>
              <w:bottom w:val="single" w:sz="4" w:space="0" w:color="auto"/>
            </w:tcBorders>
            <w:shd w:val="clear" w:color="auto" w:fill="auto"/>
          </w:tcPr>
          <w:p w:rsidR="00163EE1" w:rsidRPr="00605F3D" w:rsidRDefault="00163EE1" w:rsidP="001C1DC3">
            <w:pPr>
              <w:autoSpaceDE w:val="0"/>
              <w:autoSpaceDN w:val="0"/>
              <w:adjustRightInd w:val="0"/>
              <w:ind w:left="142" w:right="237"/>
              <w:rPr>
                <w:rFonts w:eastAsia="Calibri"/>
                <w:sz w:val="18"/>
                <w:szCs w:val="18"/>
              </w:rPr>
            </w:pPr>
            <w:r w:rsidRPr="00605F3D">
              <w:rPr>
                <w:rFonts w:eastAsia="Calibri"/>
                <w:sz w:val="18"/>
                <w:szCs w:val="18"/>
              </w:rPr>
              <w:t>0.4654</w:t>
            </w:r>
          </w:p>
        </w:tc>
      </w:tr>
      <w:tr w:rsidR="00163EE1" w:rsidRPr="000A2EAF" w:rsidTr="00605F3D">
        <w:tc>
          <w:tcPr>
            <w:tcW w:w="1925" w:type="dxa"/>
            <w:tcBorders>
              <w:top w:val="single" w:sz="4" w:space="0" w:color="auto"/>
              <w:bottom w:val="single" w:sz="4" w:space="0" w:color="auto"/>
            </w:tcBorders>
            <w:shd w:val="clear" w:color="auto" w:fill="auto"/>
          </w:tcPr>
          <w:p w:rsidR="00163EE1" w:rsidRPr="00605F3D" w:rsidRDefault="00163EE1" w:rsidP="001C1DC3">
            <w:pPr>
              <w:autoSpaceDE w:val="0"/>
              <w:autoSpaceDN w:val="0"/>
              <w:adjustRightInd w:val="0"/>
              <w:ind w:left="142" w:right="237"/>
              <w:rPr>
                <w:rFonts w:eastAsia="Calibri"/>
                <w:sz w:val="18"/>
                <w:szCs w:val="18"/>
              </w:rPr>
            </w:pPr>
            <w:r w:rsidRPr="00605F3D">
              <w:rPr>
                <w:rFonts w:eastAsia="Calibri"/>
                <w:sz w:val="18"/>
                <w:szCs w:val="18"/>
              </w:rPr>
              <w:t>Obs*R-Squared</w:t>
            </w:r>
          </w:p>
        </w:tc>
        <w:tc>
          <w:tcPr>
            <w:tcW w:w="2243" w:type="dxa"/>
            <w:tcBorders>
              <w:top w:val="single" w:sz="4" w:space="0" w:color="auto"/>
              <w:bottom w:val="single" w:sz="4" w:space="0" w:color="auto"/>
            </w:tcBorders>
            <w:shd w:val="clear" w:color="auto" w:fill="auto"/>
          </w:tcPr>
          <w:p w:rsidR="00163EE1" w:rsidRPr="00605F3D" w:rsidRDefault="00163EE1" w:rsidP="001C1DC3">
            <w:pPr>
              <w:autoSpaceDE w:val="0"/>
              <w:autoSpaceDN w:val="0"/>
              <w:adjustRightInd w:val="0"/>
              <w:ind w:left="142" w:right="237"/>
              <w:rPr>
                <w:rFonts w:eastAsia="Calibri"/>
                <w:sz w:val="18"/>
                <w:szCs w:val="18"/>
              </w:rPr>
            </w:pPr>
            <w:r w:rsidRPr="00605F3D">
              <w:rPr>
                <w:rFonts w:eastAsia="Calibri"/>
                <w:sz w:val="18"/>
                <w:szCs w:val="18"/>
              </w:rPr>
              <w:t>0.6332</w:t>
            </w:r>
          </w:p>
        </w:tc>
        <w:tc>
          <w:tcPr>
            <w:tcW w:w="2440" w:type="dxa"/>
            <w:tcBorders>
              <w:top w:val="single" w:sz="4" w:space="0" w:color="auto"/>
              <w:bottom w:val="single" w:sz="4" w:space="0" w:color="auto"/>
            </w:tcBorders>
            <w:shd w:val="clear" w:color="auto" w:fill="auto"/>
          </w:tcPr>
          <w:p w:rsidR="00163EE1" w:rsidRPr="00605F3D" w:rsidRDefault="00163EE1" w:rsidP="001C1DC3">
            <w:pPr>
              <w:autoSpaceDE w:val="0"/>
              <w:autoSpaceDN w:val="0"/>
              <w:adjustRightInd w:val="0"/>
              <w:ind w:left="142" w:right="237"/>
              <w:rPr>
                <w:rFonts w:eastAsia="Calibri"/>
                <w:sz w:val="18"/>
                <w:szCs w:val="18"/>
              </w:rPr>
            </w:pPr>
            <w:r w:rsidRPr="00605F3D">
              <w:rPr>
                <w:rFonts w:eastAsia="Calibri"/>
                <w:sz w:val="18"/>
                <w:szCs w:val="18"/>
              </w:rPr>
              <w:t>Prob. Chi-Square (2)</w:t>
            </w:r>
          </w:p>
        </w:tc>
        <w:tc>
          <w:tcPr>
            <w:tcW w:w="2215" w:type="dxa"/>
            <w:tcBorders>
              <w:top w:val="single" w:sz="4" w:space="0" w:color="auto"/>
              <w:bottom w:val="single" w:sz="4" w:space="0" w:color="auto"/>
            </w:tcBorders>
            <w:shd w:val="clear" w:color="auto" w:fill="auto"/>
          </w:tcPr>
          <w:p w:rsidR="00163EE1" w:rsidRPr="00605F3D" w:rsidRDefault="00163EE1" w:rsidP="001C1DC3">
            <w:pPr>
              <w:autoSpaceDE w:val="0"/>
              <w:autoSpaceDN w:val="0"/>
              <w:adjustRightInd w:val="0"/>
              <w:ind w:left="142" w:right="237"/>
              <w:rPr>
                <w:rFonts w:eastAsia="Calibri"/>
                <w:sz w:val="18"/>
                <w:szCs w:val="18"/>
              </w:rPr>
            </w:pPr>
            <w:r w:rsidRPr="00605F3D">
              <w:rPr>
                <w:rFonts w:eastAsia="Calibri"/>
                <w:sz w:val="18"/>
                <w:szCs w:val="18"/>
              </w:rPr>
              <w:t>0.4493</w:t>
            </w:r>
          </w:p>
        </w:tc>
      </w:tr>
    </w:tbl>
    <w:p w:rsidR="00163EE1" w:rsidRDefault="00163EE1" w:rsidP="001C1DC3">
      <w:pPr>
        <w:tabs>
          <w:tab w:val="center" w:pos="3968"/>
        </w:tabs>
        <w:autoSpaceDE w:val="0"/>
        <w:autoSpaceDN w:val="0"/>
        <w:adjustRightInd w:val="0"/>
        <w:ind w:left="142" w:right="237"/>
        <w:rPr>
          <w:i/>
        </w:rPr>
      </w:pPr>
    </w:p>
    <w:p w:rsidR="00163EE1" w:rsidRPr="006E65BB" w:rsidRDefault="00163EE1" w:rsidP="006E65BB">
      <w:pPr>
        <w:tabs>
          <w:tab w:val="center" w:pos="3968"/>
        </w:tabs>
        <w:autoSpaceDE w:val="0"/>
        <w:autoSpaceDN w:val="0"/>
        <w:adjustRightInd w:val="0"/>
        <w:spacing w:beforeLines="58" w:before="139" w:line="23" w:lineRule="atLeast"/>
        <w:ind w:left="142" w:right="238" w:firstLine="567"/>
        <w:jc w:val="both"/>
        <w:rPr>
          <w:b/>
          <w:sz w:val="24"/>
          <w:szCs w:val="24"/>
        </w:rPr>
      </w:pPr>
      <w:r w:rsidRPr="006E65BB">
        <w:rPr>
          <w:sz w:val="24"/>
          <w:szCs w:val="24"/>
        </w:rPr>
        <w:t xml:space="preserve">Table </w:t>
      </w:r>
      <w:r w:rsidR="006E65BB">
        <w:rPr>
          <w:sz w:val="24"/>
          <w:szCs w:val="24"/>
          <w:lang w:val="id-ID"/>
        </w:rPr>
        <w:t>9</w:t>
      </w:r>
      <w:r w:rsidRPr="006E65BB">
        <w:rPr>
          <w:sz w:val="24"/>
          <w:szCs w:val="24"/>
        </w:rPr>
        <w:t xml:space="preserve"> shows that the Prob. Chi-Square is 0.4493 which is greater than 0.05 so that there is no autocorrelation problem in the model.</w:t>
      </w:r>
      <w:r w:rsidR="006E65BB">
        <w:rPr>
          <w:sz w:val="24"/>
          <w:szCs w:val="24"/>
        </w:rPr>
        <w:t xml:space="preserve"> </w:t>
      </w:r>
      <w:r w:rsidRPr="006E65BB">
        <w:rPr>
          <w:sz w:val="24"/>
          <w:szCs w:val="24"/>
        </w:rPr>
        <w:t xml:space="preserve">Foreign exchange reserves are influenced by the exchange rate which has a negative value in the short and long term, but only significant in the short term, while the number of foreign tourists has a positive and significant value on Indonesia's foreign exchange reserves in the short and long term. In </w:t>
      </w:r>
      <w:r w:rsidRPr="006E65BB">
        <w:rPr>
          <w:sz w:val="24"/>
          <w:szCs w:val="24"/>
        </w:rPr>
        <w:lastRenderedPageBreak/>
        <w:t>addition, the ECT variable is also significant and valid, so the variables used in this study have an influence on foreign exchange reserves both in the short and long term.</w:t>
      </w:r>
    </w:p>
    <w:p w:rsidR="00163EE1" w:rsidRPr="006E65BB" w:rsidRDefault="00163EE1" w:rsidP="006E65BB">
      <w:pPr>
        <w:autoSpaceDE w:val="0"/>
        <w:autoSpaceDN w:val="0"/>
        <w:adjustRightInd w:val="0"/>
        <w:spacing w:beforeLines="58" w:before="139" w:line="23" w:lineRule="atLeast"/>
        <w:ind w:left="142" w:right="237" w:firstLine="567"/>
        <w:jc w:val="both"/>
        <w:rPr>
          <w:b/>
          <w:sz w:val="24"/>
          <w:szCs w:val="24"/>
        </w:rPr>
      </w:pPr>
      <w:r w:rsidRPr="006E65BB">
        <w:rPr>
          <w:sz w:val="24"/>
          <w:szCs w:val="24"/>
        </w:rPr>
        <w:t>Exchange rates have a negative and significant relationship in the short term with foreign exchange reserves. This means that a stronger exchange rate can reduce foreign exchange reserves in Indonesia. This is in accordance with Keynes's theory which states that when a country experiences depreciation (foreign currency strengthens, while the domestic currency weakens), it can relatively cause the price of goods-goods the domestic export becomes cheaper, while the price of goods- goodsimports become more expensive. This condition led to an increase in exports and a decrease in imports. If exports are greater than imports, it will cause a surplus in the balance of payments, which will have an effect on increasing a country's foreign exchange reserves. These results are supported by research from research</w:t>
      </w:r>
      <w:r w:rsidRPr="006E65BB">
        <w:rPr>
          <w:sz w:val="24"/>
          <w:szCs w:val="24"/>
        </w:rPr>
        <w:fldChar w:fldCharType="begin" w:fldLock="1"/>
      </w:r>
      <w:r w:rsidRPr="006E65BB">
        <w:rPr>
          <w:sz w:val="24"/>
          <w:szCs w:val="24"/>
        </w:rPr>
        <w:instrText>ADDIN CSL_CITATION {"citationItems":[{"id":"ITEM-1","itemData":{"author":[{"dropping-particle":"","family":"Sayoga","given":"Pundy","non-dropping-particle":"","parse-names":false,"suffix":""},{"dropping-particle":"","family":"Tan","given":"Syamsurijal","non-dropping-particle":"","parse-names":false,"suffix":""}],"id":"ITEM-1","issue":"1","issued":{"date-parts":[["2017"]]},"page":"25-30","title":"Analisis cadangan devisa Indonesia dan faktor-faktor yang mempengaruhinya","type":"article-journal","volume":"12"},"uris":["http://www.mendeley.com/documents/?uuid=d7444947-b237-495c-aa9a-f8fe4d7aedbe"]}],"mendeley":{"formattedCitation":"(Sayoga &amp; Tan, 2017)","manualFormatting":"Sayoga &amp; Tan (2017)","plainTextFormattedCitation":"(Sayoga &amp; Tan, 2017)","previouslyFormattedCitation":"(Sayoga &amp; Tan, 2017)"},"properties":{"noteIndex":0},"schema":"https://github.com/citation-style-language/schema/raw/master/csl-citation.json"}</w:instrText>
      </w:r>
      <w:r w:rsidRPr="006E65BB">
        <w:rPr>
          <w:sz w:val="24"/>
          <w:szCs w:val="24"/>
        </w:rPr>
        <w:fldChar w:fldCharType="separate"/>
      </w:r>
      <w:r w:rsidRPr="006E65BB">
        <w:rPr>
          <w:noProof/>
          <w:sz w:val="24"/>
          <w:szCs w:val="24"/>
        </w:rPr>
        <w:t>Sayoga &amp; Tan (2017)</w:t>
      </w:r>
      <w:r w:rsidRPr="006E65BB">
        <w:rPr>
          <w:sz w:val="24"/>
          <w:szCs w:val="24"/>
        </w:rPr>
        <w:fldChar w:fldCharType="end"/>
      </w:r>
      <w:r w:rsidRPr="006E65BB">
        <w:rPr>
          <w:sz w:val="24"/>
          <w:szCs w:val="24"/>
        </w:rPr>
        <w:t xml:space="preserve">who found that the exchange rate had a negative and significant effect on Indonesia's foreign exchange reserves. However, it is different from Milyanti &amp; Triani (2019) and </w:t>
      </w:r>
      <w:r w:rsidRPr="006E65BB">
        <w:rPr>
          <w:sz w:val="24"/>
          <w:szCs w:val="24"/>
        </w:rPr>
        <w:fldChar w:fldCharType="begin" w:fldLock="1"/>
      </w:r>
      <w:r w:rsidRPr="006E65BB">
        <w:rPr>
          <w:sz w:val="24"/>
          <w:szCs w:val="24"/>
        </w:rPr>
        <w:instrText>ADDIN CSL_CITATION {"citationItems":[{"id":"ITEM-1","itemData":{"abstract":"Penelitian ini bertujuan untuk mengetahui dan menganalisis pengaruh Ekspor, Impor, Nilai Tukar Rupiah, dan Tingkat Inflasi terhadap Cadangan Devisa Indonesia baik secara simultan maupun parsial pada periode 2008 sampai 2012. Sampel dalam penelitian ini berjumlah 57 data yang akan dijadikan sebagai objek penelitian. Variabel dependen dalam penelitian ini adalah cadangan devisa Indonesia, sedangkan variabel independennya adalah ekspor, impor, nilai tukar rupiah, dan tingkat inflasi. Untuk melihat pengaruh variabel independen terhadap variabel dependen, peneliti melakukan penggujian analisis regresi linier berganda yang terlebih dahulu dilakukan uji asumsi klasik. Berdasarkan hasil penelitian yang diperoleh dapat diketahui bahwa secara simultan Ekspor, Impor, Nilai Tukar Rupiah dan Tingkat Inflasi berpengaruh terhadap Cadangan Devisa Indonesia. Namun secara parsial, Ekspor berpengaruh positif dan signifikan terhadap Cadangan Devisa Indonesia, Nilai Tukar Rupiah berpengaruh negatif signifikan terhadap Cadangan Devisa Indonesia sedangkan Impor dan Nilai Tukar Rupiah tidak berpengaruh terhadap Cadangan Devisa Indonesia.","author":[{"dropping-particle":"","family":"Reny","given":"","non-dropping-particle":"","parse-names":false,"suffix":""},{"dropping-particle":"","family":"Agustina","given":"","non-dropping-particle":"","parse-names":false,"suffix":""}],"container-title":"Jurnal Wira Ekonomi Mikroskil","id":"ITEM-1","issue":"2","issued":{"date-parts":[["2014"]]},"page":"61-70","title":"Pengaruh Ekspor, Impor, Nilai Tukar Rupiah, Dan Tingkat Inflasi Terhadap Cadangan Devisa Indonesia","type":"article-journal","volume":"4"},"uris":["http://www.mendeley.com/documents/?uuid=f85873f6-b4a1-4376-99a2-0c47645d474a"]}],"mendeley":{"formattedCitation":"(Reny &amp; Agustina, 2014)","manualFormatting":"Reny &amp; Agustina (2014)","plainTextFormattedCitation":"(Reny &amp; Agustina, 2014)","previouslyFormattedCitation":"(Reny &amp; Agustina, 2014)"},"properties":{"noteIndex":0},"schema":"https://github.com/citation-style-language/schema/raw/master/csl-citation.json"}</w:instrText>
      </w:r>
      <w:r w:rsidRPr="006E65BB">
        <w:rPr>
          <w:sz w:val="24"/>
          <w:szCs w:val="24"/>
        </w:rPr>
        <w:fldChar w:fldCharType="separate"/>
      </w:r>
      <w:r w:rsidRPr="006E65BB">
        <w:rPr>
          <w:noProof/>
          <w:sz w:val="24"/>
          <w:szCs w:val="24"/>
        </w:rPr>
        <w:t>Reny &amp; Agustina (2014)</w:t>
      </w:r>
      <w:r w:rsidRPr="006E65BB">
        <w:rPr>
          <w:sz w:val="24"/>
          <w:szCs w:val="24"/>
        </w:rPr>
        <w:fldChar w:fldCharType="end"/>
      </w:r>
      <w:r w:rsidRPr="006E65BB">
        <w:rPr>
          <w:sz w:val="24"/>
          <w:szCs w:val="24"/>
        </w:rPr>
        <w:t xml:space="preserve"> who found that the exchange rate has a positive and significant effect on Indonesia's foreign exchange reserves.</w:t>
      </w:r>
    </w:p>
    <w:p w:rsidR="00163EE1" w:rsidRPr="006E65BB" w:rsidRDefault="00163EE1" w:rsidP="006E65BB">
      <w:pPr>
        <w:autoSpaceDE w:val="0"/>
        <w:autoSpaceDN w:val="0"/>
        <w:adjustRightInd w:val="0"/>
        <w:spacing w:beforeLines="58" w:before="139" w:line="23" w:lineRule="atLeast"/>
        <w:ind w:left="142" w:right="237" w:firstLine="567"/>
        <w:jc w:val="both"/>
        <w:rPr>
          <w:b/>
          <w:sz w:val="24"/>
          <w:szCs w:val="24"/>
        </w:rPr>
      </w:pPr>
      <w:r w:rsidRPr="006E65BB">
        <w:rPr>
          <w:sz w:val="24"/>
          <w:szCs w:val="24"/>
        </w:rPr>
        <w:t xml:space="preserve">The number of foreign tourists has a significant effect in the short and long term, with the coefficient being both positive. These results are in line with research </w:t>
      </w:r>
      <w:r w:rsidRPr="006E65BB">
        <w:rPr>
          <w:sz w:val="24"/>
          <w:szCs w:val="24"/>
        </w:rPr>
        <w:fldChar w:fldCharType="begin" w:fldLock="1"/>
      </w:r>
      <w:r w:rsidRPr="006E65BB">
        <w:rPr>
          <w:sz w:val="24"/>
          <w:szCs w:val="24"/>
        </w:rPr>
        <w:instrText>ADDIN CSL_CITATION {"citationItems":[{"id":"ITEM-1","itemData":{"author":[{"dropping-particle":"","family":"Afdi","given":"Muhammad","non-dropping-particle":"","parse-names":false,"suffix":""}],"id":"ITEM-1","issue":"65631","issued":{"date-parts":[["2015"]]},"title":"Munich Personal RePEc Archive effect of tourism on international trade in Indonesia","type":"article-journal"},"uris":["http://www.mendeley.com/documents/?uuid=f7735a18-3da9-46d8-a0aa-b2a4496d3c7a"]}],"mendeley":{"formattedCitation":"(Afdi, 2015a)","plainTextFormattedCitation":"(Afdi, 2015a)","previouslyFormattedCitation":"(Afdi, 2015a)"},"properties":{"noteIndex":0},"schema":"https://github.com/citation-style-language/schema/raw/master/csl-citation.json"}</w:instrText>
      </w:r>
      <w:r w:rsidRPr="006E65BB">
        <w:rPr>
          <w:sz w:val="24"/>
          <w:szCs w:val="24"/>
        </w:rPr>
        <w:fldChar w:fldCharType="separate"/>
      </w:r>
      <w:r w:rsidRPr="006E65BB">
        <w:rPr>
          <w:noProof/>
          <w:sz w:val="24"/>
          <w:szCs w:val="24"/>
        </w:rPr>
        <w:t>(Afdi, 2015)</w:t>
      </w:r>
      <w:r w:rsidRPr="006E65BB">
        <w:rPr>
          <w:sz w:val="24"/>
          <w:szCs w:val="24"/>
        </w:rPr>
        <w:fldChar w:fldCharType="end"/>
      </w:r>
      <w:r w:rsidRPr="006E65BB">
        <w:rPr>
          <w:sz w:val="24"/>
          <w:szCs w:val="24"/>
        </w:rPr>
        <w:t xml:space="preserve"> where the number of foreign tourists visiting Indonesia has a positive and significant impact on Indonesia's export and import growth in the long run, thereby increasing foreign exchange reserves</w:t>
      </w:r>
      <w:r w:rsidRPr="006E65BB">
        <w:rPr>
          <w:sz w:val="24"/>
          <w:szCs w:val="24"/>
          <w:lang w:val="id-ID"/>
        </w:rPr>
        <w:t>.</w:t>
      </w:r>
    </w:p>
    <w:p w:rsidR="00163EE1" w:rsidRPr="006E65BB" w:rsidRDefault="00163EE1" w:rsidP="006E65BB">
      <w:pPr>
        <w:autoSpaceDE w:val="0"/>
        <w:autoSpaceDN w:val="0"/>
        <w:adjustRightInd w:val="0"/>
        <w:spacing w:beforeLines="58" w:before="139" w:line="23" w:lineRule="atLeast"/>
        <w:ind w:left="142" w:right="237"/>
        <w:jc w:val="both"/>
        <w:rPr>
          <w:sz w:val="24"/>
          <w:szCs w:val="24"/>
          <w:lang w:val="id-ID"/>
        </w:rPr>
      </w:pPr>
    </w:p>
    <w:p w:rsidR="006E65BB" w:rsidRPr="006E65BB" w:rsidRDefault="006E65BB" w:rsidP="006E65BB">
      <w:pPr>
        <w:ind w:left="121"/>
        <w:rPr>
          <w:sz w:val="24"/>
          <w:szCs w:val="24"/>
        </w:rPr>
      </w:pPr>
      <w:r w:rsidRPr="006E65BB">
        <w:rPr>
          <w:b/>
          <w:spacing w:val="-5"/>
          <w:w w:val="82"/>
          <w:sz w:val="24"/>
          <w:szCs w:val="24"/>
        </w:rPr>
        <w:t>C</w:t>
      </w:r>
      <w:r w:rsidRPr="006E65BB">
        <w:rPr>
          <w:b/>
          <w:w w:val="107"/>
          <w:sz w:val="24"/>
          <w:szCs w:val="24"/>
        </w:rPr>
        <w:t>onclusion</w:t>
      </w:r>
    </w:p>
    <w:p w:rsidR="00163EE1" w:rsidRPr="006E65BB" w:rsidRDefault="00163EE1" w:rsidP="006E65BB">
      <w:pPr>
        <w:autoSpaceDE w:val="0"/>
        <w:autoSpaceDN w:val="0"/>
        <w:adjustRightInd w:val="0"/>
        <w:spacing w:beforeLines="58" w:before="139" w:line="23" w:lineRule="atLeast"/>
        <w:ind w:left="142" w:right="237" w:firstLine="578"/>
        <w:jc w:val="both"/>
        <w:rPr>
          <w:b/>
          <w:sz w:val="24"/>
          <w:szCs w:val="24"/>
        </w:rPr>
      </w:pPr>
      <w:r w:rsidRPr="006E65BB">
        <w:rPr>
          <w:sz w:val="24"/>
          <w:szCs w:val="24"/>
        </w:rPr>
        <w:t>Based on the discussion that has been discussed accordingly regarding the implementation of halal tourism on Indonesia's foreign exchange reserves by paying attention to exchange rate movements, the conclusions that can be drawn include</w:t>
      </w:r>
      <w:r w:rsidRPr="006E65BB">
        <w:rPr>
          <w:sz w:val="24"/>
          <w:szCs w:val="24"/>
          <w:lang w:val="id-ID"/>
        </w:rPr>
        <w:t xml:space="preserve"> that i</w:t>
      </w:r>
      <w:r w:rsidRPr="006E65BB">
        <w:rPr>
          <w:sz w:val="24"/>
          <w:szCs w:val="24"/>
        </w:rPr>
        <w:t>mplementation of halal tourism contributes to foreign exchange reserves in Indonesia.</w:t>
      </w:r>
      <w:r w:rsidRPr="006E65BB">
        <w:rPr>
          <w:sz w:val="24"/>
          <w:szCs w:val="24"/>
          <w:lang w:val="id-ID"/>
        </w:rPr>
        <w:t>, t</w:t>
      </w:r>
      <w:r w:rsidRPr="006E65BB">
        <w:rPr>
          <w:sz w:val="24"/>
          <w:szCs w:val="24"/>
        </w:rPr>
        <w:t>he exchange rate has a negative and significant effect in the short term but not significant in the long term on foreign exchange reserves, meaning that the strengthening of the rupiah currency will have a negative impact on foreign exchange reserves in Indonesia</w:t>
      </w:r>
      <w:r w:rsidRPr="006E65BB">
        <w:rPr>
          <w:sz w:val="24"/>
          <w:szCs w:val="24"/>
          <w:lang w:val="id-ID"/>
        </w:rPr>
        <w:t>, and t</w:t>
      </w:r>
      <w:r w:rsidRPr="006E65BB">
        <w:rPr>
          <w:sz w:val="24"/>
          <w:szCs w:val="24"/>
        </w:rPr>
        <w:t>he number of foreign tourists has a positive and significant impact on foreign exchange reserves both in the short and long term.</w:t>
      </w:r>
    </w:p>
    <w:p w:rsidR="00163EE1" w:rsidRPr="006E65BB" w:rsidRDefault="00163EE1" w:rsidP="006E65BB">
      <w:pPr>
        <w:autoSpaceDE w:val="0"/>
        <w:autoSpaceDN w:val="0"/>
        <w:adjustRightInd w:val="0"/>
        <w:spacing w:beforeLines="58" w:before="139" w:line="23" w:lineRule="atLeast"/>
        <w:ind w:left="142" w:right="237" w:firstLine="578"/>
        <w:jc w:val="both"/>
        <w:rPr>
          <w:sz w:val="24"/>
          <w:szCs w:val="24"/>
          <w:lang w:val="id-ID"/>
        </w:rPr>
      </w:pPr>
      <w:r w:rsidRPr="006E65BB">
        <w:rPr>
          <w:sz w:val="24"/>
          <w:szCs w:val="24"/>
        </w:rPr>
        <w:t>Based on the results of this study, the researchers can provide some suggestions including</w:t>
      </w:r>
      <w:r w:rsidRPr="006E65BB">
        <w:rPr>
          <w:sz w:val="24"/>
          <w:szCs w:val="24"/>
          <w:lang w:val="id-ID"/>
        </w:rPr>
        <w:t xml:space="preserve"> f</w:t>
      </w:r>
      <w:r w:rsidRPr="006E65BB">
        <w:rPr>
          <w:sz w:val="24"/>
          <w:szCs w:val="24"/>
        </w:rPr>
        <w:t>or the government, through the monetary authority, it is hoped that policies can increase foreign exchange reserves, one of which is by maintaining the stability of exchange rate movements.</w:t>
      </w:r>
      <w:r w:rsidRPr="006E65BB">
        <w:rPr>
          <w:sz w:val="24"/>
          <w:szCs w:val="24"/>
          <w:lang w:val="id-ID"/>
        </w:rPr>
        <w:t xml:space="preserve"> </w:t>
      </w:r>
      <w:r w:rsidRPr="006E65BB">
        <w:rPr>
          <w:sz w:val="24"/>
          <w:szCs w:val="24"/>
        </w:rPr>
        <w:t>Halal tourism, which is a new concept in the tourism sector, is expected to continue with attractive concepts and promotions in order to attract foreign tourists to visit so as to increase foreign exchange reserves.</w:t>
      </w:r>
      <w:r w:rsidRPr="006E65BB">
        <w:rPr>
          <w:sz w:val="24"/>
          <w:szCs w:val="24"/>
          <w:lang w:val="id-ID"/>
        </w:rPr>
        <w:t xml:space="preserve"> </w:t>
      </w:r>
      <w:r w:rsidRPr="006E65BB">
        <w:rPr>
          <w:sz w:val="24"/>
          <w:szCs w:val="24"/>
        </w:rPr>
        <w:t>For further researchers, it is hoped that they can see more broadly about this halal tourism by adding other variables.</w:t>
      </w:r>
    </w:p>
    <w:p w:rsidR="00163EE1" w:rsidRPr="006E65BB" w:rsidRDefault="00163EE1" w:rsidP="006E65BB">
      <w:pPr>
        <w:autoSpaceDE w:val="0"/>
        <w:autoSpaceDN w:val="0"/>
        <w:adjustRightInd w:val="0"/>
        <w:spacing w:beforeLines="58" w:before="139" w:line="23" w:lineRule="atLeast"/>
        <w:ind w:left="142" w:right="237"/>
        <w:jc w:val="both"/>
        <w:rPr>
          <w:sz w:val="24"/>
          <w:szCs w:val="24"/>
          <w:lang w:val="id-ID"/>
        </w:rPr>
      </w:pPr>
    </w:p>
    <w:p w:rsidR="006E65BB" w:rsidRPr="006E65BB" w:rsidRDefault="006E65BB" w:rsidP="006E65BB">
      <w:pPr>
        <w:ind w:left="121" w:right="7420"/>
        <w:jc w:val="both"/>
        <w:rPr>
          <w:sz w:val="24"/>
          <w:szCs w:val="24"/>
        </w:rPr>
      </w:pPr>
      <w:r w:rsidRPr="006E65BB">
        <w:rPr>
          <w:b/>
          <w:w w:val="97"/>
          <w:sz w:val="24"/>
          <w:szCs w:val="24"/>
        </w:rPr>
        <w:t>Re</w:t>
      </w:r>
      <w:r w:rsidRPr="006E65BB">
        <w:rPr>
          <w:b/>
          <w:spacing w:val="-2"/>
          <w:w w:val="97"/>
          <w:sz w:val="24"/>
          <w:szCs w:val="24"/>
        </w:rPr>
        <w:t>f</w:t>
      </w:r>
      <w:r w:rsidRPr="006E65BB">
        <w:rPr>
          <w:b/>
          <w:w w:val="102"/>
          <w:sz w:val="24"/>
          <w:szCs w:val="24"/>
        </w:rPr>
        <w:t>e</w:t>
      </w:r>
      <w:r w:rsidRPr="006E65BB">
        <w:rPr>
          <w:b/>
          <w:spacing w:val="-2"/>
          <w:w w:val="102"/>
          <w:sz w:val="24"/>
          <w:szCs w:val="24"/>
        </w:rPr>
        <w:t>r</w:t>
      </w:r>
      <w:r w:rsidRPr="006E65BB">
        <w:rPr>
          <w:b/>
          <w:w w:val="108"/>
          <w:sz w:val="24"/>
          <w:szCs w:val="24"/>
        </w:rPr>
        <w:t>en</w:t>
      </w:r>
      <w:r w:rsidRPr="006E65BB">
        <w:rPr>
          <w:b/>
          <w:spacing w:val="-3"/>
          <w:w w:val="108"/>
          <w:sz w:val="24"/>
          <w:szCs w:val="24"/>
        </w:rPr>
        <w:t>c</w:t>
      </w:r>
      <w:r w:rsidRPr="006E65BB">
        <w:rPr>
          <w:b/>
          <w:w w:val="115"/>
          <w:sz w:val="24"/>
          <w:szCs w:val="24"/>
        </w:rPr>
        <w:t>es</w:t>
      </w:r>
    </w:p>
    <w:p w:rsidR="00163EE1" w:rsidRPr="00393C42" w:rsidRDefault="00163EE1" w:rsidP="001C1DC3">
      <w:pPr>
        <w:ind w:left="142" w:right="237"/>
        <w:rPr>
          <w:lang w:val="en-GB"/>
        </w:rPr>
      </w:pPr>
    </w:p>
    <w:p w:rsidR="00163EE1" w:rsidRPr="006E65BB" w:rsidRDefault="00163EE1" w:rsidP="006E65BB">
      <w:pPr>
        <w:autoSpaceDE w:val="0"/>
        <w:autoSpaceDN w:val="0"/>
        <w:adjustRightInd w:val="0"/>
        <w:ind w:left="709" w:right="237" w:hanging="567"/>
        <w:jc w:val="both"/>
        <w:rPr>
          <w:i/>
          <w:noProof/>
          <w:sz w:val="24"/>
          <w:szCs w:val="24"/>
        </w:rPr>
      </w:pPr>
      <w:r w:rsidRPr="006E65BB">
        <w:rPr>
          <w:noProof/>
          <w:sz w:val="24"/>
          <w:szCs w:val="24"/>
        </w:rPr>
        <w:t xml:space="preserve">Adinugraha, H. H. </w:t>
      </w:r>
      <w:r w:rsidR="006E65BB">
        <w:rPr>
          <w:noProof/>
          <w:sz w:val="24"/>
          <w:szCs w:val="24"/>
        </w:rPr>
        <w:t>(</w:t>
      </w:r>
      <w:r w:rsidRPr="006E65BB">
        <w:rPr>
          <w:noProof/>
          <w:sz w:val="24"/>
          <w:szCs w:val="24"/>
        </w:rPr>
        <w:t>2018</w:t>
      </w:r>
      <w:r w:rsidR="006E65BB">
        <w:rPr>
          <w:noProof/>
          <w:sz w:val="24"/>
          <w:szCs w:val="24"/>
        </w:rPr>
        <w:t>)</w:t>
      </w:r>
      <w:r w:rsidRPr="006E65BB">
        <w:rPr>
          <w:noProof/>
          <w:sz w:val="24"/>
          <w:szCs w:val="24"/>
        </w:rPr>
        <w:t xml:space="preserve">. </w:t>
      </w:r>
      <w:r w:rsidR="006E65BB">
        <w:rPr>
          <w:iCs/>
          <w:noProof/>
          <w:sz w:val="24"/>
          <w:szCs w:val="24"/>
        </w:rPr>
        <w:t>Desa Wisata Halal : Konsep dan Implementasinya d</w:t>
      </w:r>
      <w:r w:rsidRPr="006E65BB">
        <w:rPr>
          <w:iCs/>
          <w:noProof/>
          <w:sz w:val="24"/>
          <w:szCs w:val="24"/>
        </w:rPr>
        <w:t>i Indonesia</w:t>
      </w:r>
      <w:r w:rsidR="006E65BB">
        <w:rPr>
          <w:iCs/>
          <w:noProof/>
          <w:sz w:val="24"/>
          <w:szCs w:val="24"/>
        </w:rPr>
        <w:t xml:space="preserve"> (</w:t>
      </w:r>
      <w:r w:rsidRPr="006E65BB">
        <w:rPr>
          <w:iCs/>
          <w:noProof/>
          <w:sz w:val="24"/>
          <w:szCs w:val="24"/>
        </w:rPr>
        <w:t>Halal Tourism Village: Concept and Implementation in Indonesia</w:t>
      </w:r>
      <w:r w:rsidR="006E65BB">
        <w:rPr>
          <w:iCs/>
          <w:noProof/>
          <w:sz w:val="24"/>
          <w:szCs w:val="24"/>
        </w:rPr>
        <w:t>)</w:t>
      </w:r>
      <w:r w:rsidRPr="006E65BB">
        <w:rPr>
          <w:noProof/>
          <w:sz w:val="24"/>
          <w:szCs w:val="24"/>
        </w:rPr>
        <w:t xml:space="preserve">. </w:t>
      </w:r>
      <w:r w:rsidRPr="006E65BB">
        <w:rPr>
          <w:i/>
          <w:noProof/>
          <w:sz w:val="24"/>
          <w:szCs w:val="24"/>
        </w:rPr>
        <w:t>Human Falah,5(1),29-48.</w:t>
      </w:r>
    </w:p>
    <w:p w:rsidR="00163EE1" w:rsidRPr="006E65BB" w:rsidRDefault="00163EE1" w:rsidP="006E65BB">
      <w:pPr>
        <w:autoSpaceDE w:val="0"/>
        <w:autoSpaceDN w:val="0"/>
        <w:adjustRightInd w:val="0"/>
        <w:ind w:left="709" w:right="237" w:hanging="567"/>
        <w:jc w:val="both"/>
        <w:rPr>
          <w:noProof/>
          <w:color w:val="000000"/>
          <w:sz w:val="24"/>
          <w:szCs w:val="24"/>
        </w:rPr>
      </w:pPr>
      <w:r w:rsidRPr="006E65BB">
        <w:rPr>
          <w:color w:val="FF0000"/>
          <w:sz w:val="24"/>
          <w:szCs w:val="24"/>
        </w:rPr>
        <w:fldChar w:fldCharType="begin" w:fldLock="1"/>
      </w:r>
      <w:r w:rsidRPr="006E65BB">
        <w:rPr>
          <w:color w:val="FF0000"/>
          <w:sz w:val="24"/>
          <w:szCs w:val="24"/>
        </w:rPr>
        <w:instrText xml:space="preserve">ADDIN Mendeley Bibliography CSL_BIBLIOGRAPHY </w:instrText>
      </w:r>
      <w:r w:rsidRPr="006E65BB">
        <w:rPr>
          <w:color w:val="FF0000"/>
          <w:sz w:val="24"/>
          <w:szCs w:val="24"/>
        </w:rPr>
        <w:fldChar w:fldCharType="separate"/>
      </w:r>
      <w:r w:rsidRPr="006E65BB">
        <w:rPr>
          <w:noProof/>
          <w:color w:val="000000"/>
          <w:sz w:val="24"/>
          <w:szCs w:val="24"/>
        </w:rPr>
        <w:t xml:space="preserve">Afdi, M. </w:t>
      </w:r>
      <w:r w:rsidR="006E65BB">
        <w:rPr>
          <w:noProof/>
          <w:color w:val="000000"/>
          <w:sz w:val="24"/>
          <w:szCs w:val="24"/>
        </w:rPr>
        <w:t>(</w:t>
      </w:r>
      <w:r w:rsidRPr="006E65BB">
        <w:rPr>
          <w:noProof/>
          <w:color w:val="000000"/>
          <w:sz w:val="24"/>
          <w:szCs w:val="24"/>
        </w:rPr>
        <w:t>2015</w:t>
      </w:r>
      <w:r w:rsidR="006E65BB">
        <w:rPr>
          <w:noProof/>
          <w:color w:val="000000"/>
          <w:sz w:val="24"/>
          <w:szCs w:val="24"/>
        </w:rPr>
        <w:t>)</w:t>
      </w:r>
      <w:r w:rsidRPr="006E65BB">
        <w:rPr>
          <w:noProof/>
          <w:color w:val="000000"/>
          <w:sz w:val="24"/>
          <w:szCs w:val="24"/>
        </w:rPr>
        <w:t xml:space="preserve">. </w:t>
      </w:r>
      <w:r w:rsidRPr="006E65BB">
        <w:rPr>
          <w:iCs/>
          <w:noProof/>
          <w:color w:val="000000"/>
          <w:sz w:val="24"/>
          <w:szCs w:val="24"/>
        </w:rPr>
        <w:t>Effect Of Tourism On International Trade In Indonesia</w:t>
      </w:r>
      <w:r w:rsidRPr="006E65BB">
        <w:rPr>
          <w:noProof/>
          <w:color w:val="000000"/>
          <w:sz w:val="24"/>
          <w:szCs w:val="24"/>
        </w:rPr>
        <w:t>.</w:t>
      </w:r>
      <w:r w:rsidRPr="006E65BB">
        <w:rPr>
          <w:i/>
          <w:iCs/>
          <w:noProof/>
          <w:color w:val="000000"/>
          <w:sz w:val="24"/>
          <w:szCs w:val="24"/>
        </w:rPr>
        <w:t xml:space="preserve"> Munich Personal RePEc Archive</w:t>
      </w:r>
      <w:r w:rsidRPr="006E65BB">
        <w:rPr>
          <w:noProof/>
          <w:color w:val="000000"/>
          <w:sz w:val="24"/>
          <w:szCs w:val="24"/>
        </w:rPr>
        <w:t xml:space="preserve"> (65631).</w:t>
      </w:r>
    </w:p>
    <w:p w:rsidR="00163EE1" w:rsidRPr="006E65BB" w:rsidRDefault="00163EE1" w:rsidP="006E65BB">
      <w:pPr>
        <w:widowControl w:val="0"/>
        <w:autoSpaceDE w:val="0"/>
        <w:autoSpaceDN w:val="0"/>
        <w:adjustRightInd w:val="0"/>
        <w:ind w:left="709" w:right="237" w:hanging="567"/>
        <w:jc w:val="both"/>
        <w:rPr>
          <w:noProof/>
          <w:color w:val="000000"/>
          <w:sz w:val="24"/>
          <w:szCs w:val="24"/>
        </w:rPr>
      </w:pPr>
      <w:r w:rsidRPr="006E65BB">
        <w:rPr>
          <w:noProof/>
          <w:color w:val="000000"/>
          <w:sz w:val="24"/>
          <w:szCs w:val="24"/>
        </w:rPr>
        <w:lastRenderedPageBreak/>
        <w:t xml:space="preserve">Afdi, M. (2015). </w:t>
      </w:r>
      <w:r w:rsidRPr="006E65BB">
        <w:rPr>
          <w:iCs/>
          <w:noProof/>
          <w:color w:val="000000"/>
          <w:sz w:val="24"/>
          <w:szCs w:val="24"/>
        </w:rPr>
        <w:t>Tourism Effect</w:t>
      </w:r>
      <w:r w:rsidR="006E65BB">
        <w:rPr>
          <w:iCs/>
          <w:noProof/>
          <w:color w:val="000000"/>
          <w:sz w:val="24"/>
          <w:szCs w:val="24"/>
        </w:rPr>
        <w:t xml:space="preserve"> On Economic Growth In Indonesia</w:t>
      </w:r>
      <w:r w:rsidRPr="006E65BB">
        <w:rPr>
          <w:iCs/>
          <w:noProof/>
          <w:color w:val="000000"/>
          <w:sz w:val="24"/>
          <w:szCs w:val="24"/>
        </w:rPr>
        <w:t>.</w:t>
      </w:r>
      <w:r w:rsidRPr="006E65BB">
        <w:rPr>
          <w:i/>
          <w:iCs/>
          <w:noProof/>
          <w:color w:val="000000"/>
          <w:sz w:val="24"/>
          <w:szCs w:val="24"/>
        </w:rPr>
        <w:t xml:space="preserve"> Munich Personal RePEc Archive</w:t>
      </w:r>
      <w:r w:rsidRPr="006E65BB">
        <w:rPr>
          <w:noProof/>
          <w:color w:val="000000"/>
          <w:sz w:val="24"/>
          <w:szCs w:val="24"/>
        </w:rPr>
        <w:t>. (65628).</w:t>
      </w:r>
    </w:p>
    <w:p w:rsidR="00163EE1" w:rsidRPr="006E65BB" w:rsidRDefault="00163EE1" w:rsidP="006E65BB">
      <w:pPr>
        <w:widowControl w:val="0"/>
        <w:autoSpaceDE w:val="0"/>
        <w:autoSpaceDN w:val="0"/>
        <w:adjustRightInd w:val="0"/>
        <w:ind w:left="709" w:right="237" w:hanging="480"/>
        <w:jc w:val="both"/>
        <w:rPr>
          <w:noProof/>
          <w:color w:val="000000"/>
          <w:sz w:val="24"/>
          <w:szCs w:val="24"/>
        </w:rPr>
      </w:pPr>
      <w:r w:rsidRPr="006E65BB">
        <w:rPr>
          <w:noProof/>
          <w:sz w:val="24"/>
          <w:szCs w:val="24"/>
        </w:rPr>
        <w:t xml:space="preserve">Aminuddin, M. Z. (2016). </w:t>
      </w:r>
      <w:r w:rsidRPr="006E65BB">
        <w:rPr>
          <w:iCs/>
          <w:noProof/>
          <w:sz w:val="24"/>
          <w:szCs w:val="24"/>
        </w:rPr>
        <w:t>Sertifikasi Produk Halal : Studi Perbandingan Indonesia dan Thailand</w:t>
      </w:r>
      <w:r w:rsidR="006E65BB">
        <w:rPr>
          <w:iCs/>
          <w:noProof/>
          <w:sz w:val="24"/>
          <w:szCs w:val="24"/>
        </w:rPr>
        <w:t xml:space="preserve"> (</w:t>
      </w:r>
      <w:r w:rsidRPr="006E65BB">
        <w:rPr>
          <w:iCs/>
          <w:noProof/>
          <w:sz w:val="24"/>
          <w:szCs w:val="24"/>
        </w:rPr>
        <w:t>Halal Product Certification: Comparative Study of Indonesia and Thailand</w:t>
      </w:r>
      <w:r w:rsidR="006E65BB">
        <w:rPr>
          <w:iCs/>
          <w:noProof/>
          <w:sz w:val="24"/>
          <w:szCs w:val="24"/>
        </w:rPr>
        <w:t>)</w:t>
      </w:r>
      <w:r w:rsidRPr="006E65BB">
        <w:rPr>
          <w:noProof/>
          <w:sz w:val="24"/>
          <w:szCs w:val="24"/>
        </w:rPr>
        <w:t xml:space="preserve">. </w:t>
      </w:r>
      <w:r w:rsidRPr="006E65BB">
        <w:rPr>
          <w:i/>
          <w:noProof/>
          <w:sz w:val="24"/>
          <w:szCs w:val="24"/>
        </w:rPr>
        <w:t>Shahih</w:t>
      </w:r>
      <w:r w:rsidRPr="006E65BB">
        <w:rPr>
          <w:noProof/>
          <w:sz w:val="24"/>
          <w:szCs w:val="24"/>
        </w:rPr>
        <w:t>, 1(1), 28-38.</w:t>
      </w:r>
    </w:p>
    <w:p w:rsidR="00163EE1" w:rsidRPr="006E65BB" w:rsidRDefault="00163EE1" w:rsidP="006E65BB">
      <w:pPr>
        <w:widowControl w:val="0"/>
        <w:autoSpaceDE w:val="0"/>
        <w:autoSpaceDN w:val="0"/>
        <w:adjustRightInd w:val="0"/>
        <w:ind w:left="709" w:right="237" w:hanging="426"/>
        <w:jc w:val="both"/>
        <w:rPr>
          <w:noProof/>
          <w:sz w:val="24"/>
          <w:szCs w:val="24"/>
        </w:rPr>
      </w:pPr>
      <w:r w:rsidRPr="006E65BB">
        <w:rPr>
          <w:noProof/>
          <w:sz w:val="24"/>
          <w:szCs w:val="24"/>
        </w:rPr>
        <w:t xml:space="preserve">Bank Indonesia. </w:t>
      </w:r>
      <w:r w:rsidR="006E65BB">
        <w:rPr>
          <w:noProof/>
          <w:sz w:val="24"/>
          <w:szCs w:val="24"/>
        </w:rPr>
        <w:t>(</w:t>
      </w:r>
      <w:r w:rsidRPr="006E65BB">
        <w:rPr>
          <w:noProof/>
          <w:sz w:val="24"/>
          <w:szCs w:val="24"/>
        </w:rPr>
        <w:t>2020</w:t>
      </w:r>
      <w:r w:rsidR="006E65BB">
        <w:rPr>
          <w:noProof/>
          <w:sz w:val="24"/>
          <w:szCs w:val="24"/>
        </w:rPr>
        <w:t>)</w:t>
      </w:r>
      <w:r w:rsidRPr="006E65BB">
        <w:rPr>
          <w:noProof/>
          <w:sz w:val="24"/>
          <w:szCs w:val="24"/>
        </w:rPr>
        <w:t>. Kalkulator Nilai Tukar Bulanan 2010-2019</w:t>
      </w:r>
      <w:r w:rsidR="006E65BB">
        <w:rPr>
          <w:noProof/>
          <w:sz w:val="24"/>
          <w:szCs w:val="24"/>
        </w:rPr>
        <w:t xml:space="preserve"> (</w:t>
      </w:r>
      <w:r w:rsidRPr="006E65BB">
        <w:rPr>
          <w:noProof/>
          <w:sz w:val="24"/>
          <w:szCs w:val="24"/>
        </w:rPr>
        <w:t>2010-2019 Monthly Exchange Rate Calculator</w:t>
      </w:r>
      <w:r w:rsidR="006E65BB">
        <w:rPr>
          <w:noProof/>
          <w:sz w:val="24"/>
          <w:szCs w:val="24"/>
        </w:rPr>
        <w:t>)</w:t>
      </w:r>
      <w:r w:rsidRPr="006E65BB">
        <w:rPr>
          <w:noProof/>
          <w:sz w:val="24"/>
          <w:szCs w:val="24"/>
        </w:rPr>
        <w:t>. http://www.bi.go.id.</w:t>
      </w:r>
    </w:p>
    <w:p w:rsidR="00163EE1" w:rsidRPr="006E65BB" w:rsidRDefault="00163EE1" w:rsidP="006E65BB">
      <w:pPr>
        <w:widowControl w:val="0"/>
        <w:autoSpaceDE w:val="0"/>
        <w:autoSpaceDN w:val="0"/>
        <w:adjustRightInd w:val="0"/>
        <w:ind w:left="709" w:right="237" w:hanging="480"/>
        <w:jc w:val="both"/>
        <w:rPr>
          <w:noProof/>
          <w:color w:val="FF0000"/>
          <w:sz w:val="24"/>
          <w:szCs w:val="24"/>
        </w:rPr>
      </w:pPr>
      <w:r w:rsidRPr="006E65BB">
        <w:rPr>
          <w:noProof/>
          <w:color w:val="000000"/>
          <w:sz w:val="24"/>
          <w:szCs w:val="24"/>
        </w:rPr>
        <w:t xml:space="preserve">Battour, M., &amp; Ismail, M. N. </w:t>
      </w:r>
      <w:r w:rsidR="006E65BB">
        <w:rPr>
          <w:noProof/>
          <w:color w:val="000000"/>
          <w:sz w:val="24"/>
          <w:szCs w:val="24"/>
        </w:rPr>
        <w:t>(</w:t>
      </w:r>
      <w:r w:rsidRPr="006E65BB">
        <w:rPr>
          <w:noProof/>
          <w:color w:val="000000"/>
          <w:sz w:val="24"/>
          <w:szCs w:val="24"/>
        </w:rPr>
        <w:t>2016</w:t>
      </w:r>
      <w:r w:rsidR="006E65BB">
        <w:rPr>
          <w:noProof/>
          <w:color w:val="000000"/>
          <w:sz w:val="24"/>
          <w:szCs w:val="24"/>
        </w:rPr>
        <w:t>)</w:t>
      </w:r>
      <w:r w:rsidRPr="006E65BB">
        <w:rPr>
          <w:noProof/>
          <w:color w:val="000000"/>
          <w:sz w:val="24"/>
          <w:szCs w:val="24"/>
        </w:rPr>
        <w:t>. Halal tourism : Concepts, practises, challenges, and future.</w:t>
      </w:r>
      <w:r w:rsidRPr="006E65BB">
        <w:rPr>
          <w:color w:val="000000"/>
          <w:sz w:val="24"/>
          <w:szCs w:val="24"/>
        </w:rPr>
        <w:t xml:space="preserve"> </w:t>
      </w:r>
      <w:r w:rsidRPr="006E65BB">
        <w:rPr>
          <w:i/>
          <w:noProof/>
          <w:color w:val="000000"/>
          <w:sz w:val="24"/>
          <w:szCs w:val="24"/>
        </w:rPr>
        <w:t>Tourism Management Perspectives (</w:t>
      </w:r>
      <w:r w:rsidRPr="006E65BB">
        <w:rPr>
          <w:i/>
          <w:iCs/>
          <w:noProof/>
          <w:color w:val="000000"/>
          <w:sz w:val="24"/>
          <w:szCs w:val="24"/>
        </w:rPr>
        <w:t>TMP)</w:t>
      </w:r>
      <w:r w:rsidRPr="006E65BB">
        <w:rPr>
          <w:noProof/>
          <w:color w:val="000000"/>
          <w:sz w:val="24"/>
          <w:szCs w:val="24"/>
        </w:rPr>
        <w:t>, 150–154.</w:t>
      </w:r>
      <w:r w:rsidRPr="006E65BB">
        <w:rPr>
          <w:noProof/>
          <w:color w:val="FF0000"/>
          <w:sz w:val="24"/>
          <w:szCs w:val="24"/>
        </w:rPr>
        <w:t xml:space="preserve"> </w:t>
      </w:r>
    </w:p>
    <w:p w:rsidR="00163EE1" w:rsidRPr="006E65BB" w:rsidRDefault="00163EE1" w:rsidP="006E65BB">
      <w:pPr>
        <w:widowControl w:val="0"/>
        <w:autoSpaceDE w:val="0"/>
        <w:autoSpaceDN w:val="0"/>
        <w:adjustRightInd w:val="0"/>
        <w:ind w:left="709" w:right="237" w:hanging="480"/>
        <w:jc w:val="both"/>
        <w:rPr>
          <w:noProof/>
          <w:color w:val="000000"/>
          <w:sz w:val="24"/>
          <w:szCs w:val="24"/>
        </w:rPr>
      </w:pPr>
      <w:r w:rsidRPr="006E65BB">
        <w:rPr>
          <w:noProof/>
          <w:color w:val="000000"/>
          <w:sz w:val="24"/>
          <w:szCs w:val="24"/>
        </w:rPr>
        <w:t xml:space="preserve">Benny, J. </w:t>
      </w:r>
      <w:r w:rsidR="006E65BB">
        <w:rPr>
          <w:noProof/>
          <w:color w:val="000000"/>
          <w:sz w:val="24"/>
          <w:szCs w:val="24"/>
        </w:rPr>
        <w:t>(</w:t>
      </w:r>
      <w:r w:rsidRPr="006E65BB">
        <w:rPr>
          <w:noProof/>
          <w:color w:val="000000"/>
          <w:sz w:val="24"/>
          <w:szCs w:val="24"/>
        </w:rPr>
        <w:t>2013</w:t>
      </w:r>
      <w:r w:rsidR="006E65BB">
        <w:rPr>
          <w:noProof/>
          <w:color w:val="000000"/>
          <w:sz w:val="24"/>
          <w:szCs w:val="24"/>
        </w:rPr>
        <w:t>)</w:t>
      </w:r>
      <w:r w:rsidRPr="006E65BB">
        <w:rPr>
          <w:noProof/>
          <w:color w:val="000000"/>
          <w:sz w:val="24"/>
          <w:szCs w:val="24"/>
        </w:rPr>
        <w:t>. Ekspor dan Impor Pengaruhnya Terhadap Posisi Cadangan Devisa Di Indonesia</w:t>
      </w:r>
      <w:r w:rsidR="006E65BB">
        <w:rPr>
          <w:noProof/>
          <w:color w:val="000000"/>
          <w:sz w:val="24"/>
          <w:szCs w:val="24"/>
        </w:rPr>
        <w:t xml:space="preserve"> (</w:t>
      </w:r>
      <w:r w:rsidRPr="006E65BB">
        <w:rPr>
          <w:noProof/>
          <w:color w:val="000000"/>
          <w:sz w:val="24"/>
          <w:szCs w:val="24"/>
        </w:rPr>
        <w:t>Exports and imports affect the position of foreign exchange reserves in Indonesia</w:t>
      </w:r>
      <w:r w:rsidR="006E65BB">
        <w:rPr>
          <w:noProof/>
          <w:color w:val="000000"/>
          <w:sz w:val="24"/>
          <w:szCs w:val="24"/>
        </w:rPr>
        <w:t>)</w:t>
      </w:r>
      <w:r w:rsidRPr="006E65BB">
        <w:rPr>
          <w:noProof/>
          <w:color w:val="000000"/>
          <w:sz w:val="24"/>
          <w:szCs w:val="24"/>
        </w:rPr>
        <w:t xml:space="preserve">. </w:t>
      </w:r>
      <w:r w:rsidRPr="006E65BB">
        <w:rPr>
          <w:i/>
          <w:iCs/>
          <w:noProof/>
          <w:color w:val="000000"/>
          <w:sz w:val="24"/>
          <w:szCs w:val="24"/>
        </w:rPr>
        <w:t>Jurnal Riset Ekonomi, Manajemen, Bisnis Dan Akuntansi</w:t>
      </w:r>
      <w:r w:rsidRPr="006E65BB">
        <w:rPr>
          <w:noProof/>
          <w:color w:val="000000"/>
          <w:sz w:val="24"/>
          <w:szCs w:val="24"/>
        </w:rPr>
        <w:t xml:space="preserve">, </w:t>
      </w:r>
      <w:r w:rsidRPr="006E65BB">
        <w:rPr>
          <w:i/>
          <w:iCs/>
          <w:noProof/>
          <w:color w:val="000000"/>
          <w:sz w:val="24"/>
          <w:szCs w:val="24"/>
        </w:rPr>
        <w:t>1</w:t>
      </w:r>
      <w:r w:rsidRPr="006E65BB">
        <w:rPr>
          <w:noProof/>
          <w:color w:val="000000"/>
          <w:sz w:val="24"/>
          <w:szCs w:val="24"/>
        </w:rPr>
        <w:t>(4), 1406–1415.</w:t>
      </w:r>
    </w:p>
    <w:p w:rsidR="00163EE1" w:rsidRPr="006E65BB" w:rsidRDefault="00163EE1" w:rsidP="006E65BB">
      <w:pPr>
        <w:widowControl w:val="0"/>
        <w:autoSpaceDE w:val="0"/>
        <w:autoSpaceDN w:val="0"/>
        <w:adjustRightInd w:val="0"/>
        <w:ind w:left="709" w:right="237" w:hanging="480"/>
        <w:jc w:val="both"/>
        <w:rPr>
          <w:noProof/>
          <w:color w:val="000000"/>
          <w:sz w:val="24"/>
          <w:szCs w:val="24"/>
        </w:rPr>
      </w:pPr>
      <w:r w:rsidRPr="006E65BB">
        <w:rPr>
          <w:noProof/>
          <w:color w:val="000000"/>
          <w:sz w:val="24"/>
          <w:szCs w:val="24"/>
        </w:rPr>
        <w:t xml:space="preserve">Budi, I. K., Swantara, P., &amp; Darsana, I. B. </w:t>
      </w:r>
      <w:r w:rsidR="006E65BB">
        <w:rPr>
          <w:noProof/>
          <w:color w:val="000000"/>
          <w:sz w:val="24"/>
          <w:szCs w:val="24"/>
        </w:rPr>
        <w:t>(</w:t>
      </w:r>
      <w:r w:rsidRPr="006E65BB">
        <w:rPr>
          <w:noProof/>
          <w:color w:val="000000"/>
          <w:sz w:val="24"/>
          <w:szCs w:val="24"/>
        </w:rPr>
        <w:t>2017</w:t>
      </w:r>
      <w:r w:rsidR="00C62C1C">
        <w:rPr>
          <w:noProof/>
          <w:color w:val="000000"/>
          <w:sz w:val="24"/>
          <w:szCs w:val="24"/>
        </w:rPr>
        <w:t>)</w:t>
      </w:r>
      <w:r w:rsidRPr="006E65BB">
        <w:rPr>
          <w:noProof/>
          <w:color w:val="000000"/>
          <w:sz w:val="24"/>
          <w:szCs w:val="24"/>
        </w:rPr>
        <w:t>. Pengaruh Kunjungan Wisatawan, Pendapatan PHR, dan Penerimaan Retribusi Obyek Wisata T</w:t>
      </w:r>
      <w:r w:rsidR="00C62C1C">
        <w:rPr>
          <w:noProof/>
          <w:color w:val="000000"/>
          <w:sz w:val="24"/>
          <w:szCs w:val="24"/>
        </w:rPr>
        <w:t>erhadap PAD Kabupaten Gianyar (</w:t>
      </w:r>
      <w:r w:rsidRPr="006E65BB">
        <w:rPr>
          <w:noProof/>
          <w:color w:val="000000"/>
          <w:sz w:val="24"/>
          <w:szCs w:val="24"/>
        </w:rPr>
        <w:t>The Influence of Tourist Visits, PHR Income, and Tourism Object Retribution R</w:t>
      </w:r>
      <w:r w:rsidR="00C62C1C">
        <w:rPr>
          <w:noProof/>
          <w:color w:val="000000"/>
          <w:sz w:val="24"/>
          <w:szCs w:val="24"/>
        </w:rPr>
        <w:t>eceipts on PAD Gianyar Regency)</w:t>
      </w:r>
      <w:r w:rsidRPr="006E65BB">
        <w:rPr>
          <w:noProof/>
          <w:color w:val="000000"/>
          <w:sz w:val="24"/>
          <w:szCs w:val="24"/>
        </w:rPr>
        <w:t xml:space="preserve">. </w:t>
      </w:r>
      <w:r w:rsidRPr="006E65BB">
        <w:rPr>
          <w:i/>
          <w:noProof/>
          <w:color w:val="000000"/>
          <w:sz w:val="24"/>
          <w:szCs w:val="24"/>
        </w:rPr>
        <w:t>E- Jurnal Ekonomi Pembangunan Universitas Udayana</w:t>
      </w:r>
      <w:r w:rsidRPr="006E65BB">
        <w:rPr>
          <w:i/>
          <w:iCs/>
          <w:noProof/>
          <w:color w:val="000000"/>
          <w:sz w:val="24"/>
          <w:szCs w:val="24"/>
        </w:rPr>
        <w:t xml:space="preserve">, </w:t>
      </w:r>
      <w:r w:rsidRPr="006E65BB">
        <w:rPr>
          <w:iCs/>
          <w:noProof/>
          <w:color w:val="000000"/>
          <w:sz w:val="24"/>
          <w:szCs w:val="24"/>
        </w:rPr>
        <w:t>6(12), 2551-2582.</w:t>
      </w:r>
    </w:p>
    <w:p w:rsidR="00163EE1" w:rsidRPr="006E65BB" w:rsidRDefault="00163EE1" w:rsidP="006E65BB">
      <w:pPr>
        <w:widowControl w:val="0"/>
        <w:autoSpaceDE w:val="0"/>
        <w:autoSpaceDN w:val="0"/>
        <w:adjustRightInd w:val="0"/>
        <w:ind w:left="709" w:right="237" w:hanging="480"/>
        <w:jc w:val="both"/>
        <w:rPr>
          <w:noProof/>
          <w:color w:val="000000"/>
          <w:sz w:val="24"/>
          <w:szCs w:val="24"/>
        </w:rPr>
      </w:pPr>
      <w:r w:rsidRPr="006E65BB">
        <w:rPr>
          <w:noProof/>
          <w:color w:val="000000"/>
          <w:sz w:val="24"/>
          <w:szCs w:val="24"/>
        </w:rPr>
        <w:t xml:space="preserve">Erwina, T., &amp; Mustika, C. </w:t>
      </w:r>
      <w:r w:rsidR="00C62C1C">
        <w:rPr>
          <w:noProof/>
          <w:color w:val="000000"/>
          <w:sz w:val="24"/>
          <w:szCs w:val="24"/>
        </w:rPr>
        <w:t>(</w:t>
      </w:r>
      <w:r w:rsidRPr="006E65BB">
        <w:rPr>
          <w:noProof/>
          <w:color w:val="000000"/>
          <w:sz w:val="24"/>
          <w:szCs w:val="24"/>
        </w:rPr>
        <w:t>2018</w:t>
      </w:r>
      <w:r w:rsidR="00C62C1C">
        <w:rPr>
          <w:noProof/>
          <w:color w:val="000000"/>
          <w:sz w:val="24"/>
          <w:szCs w:val="24"/>
        </w:rPr>
        <w:t>)</w:t>
      </w:r>
      <w:r w:rsidRPr="006E65BB">
        <w:rPr>
          <w:noProof/>
          <w:color w:val="000000"/>
          <w:sz w:val="24"/>
          <w:szCs w:val="24"/>
        </w:rPr>
        <w:t xml:space="preserve">. </w:t>
      </w:r>
      <w:r w:rsidRPr="006E65BB">
        <w:rPr>
          <w:iCs/>
          <w:noProof/>
          <w:color w:val="000000"/>
          <w:sz w:val="24"/>
          <w:szCs w:val="24"/>
        </w:rPr>
        <w:t>Pengaruh Neraca Transaksi Berjalan, Transaksi Modal Dan Utang Luar Negeri Terh</w:t>
      </w:r>
      <w:r w:rsidR="00C62C1C">
        <w:rPr>
          <w:iCs/>
          <w:noProof/>
          <w:color w:val="000000"/>
          <w:sz w:val="24"/>
          <w:szCs w:val="24"/>
        </w:rPr>
        <w:t>adap Cadangan Devisa Indonesia (</w:t>
      </w:r>
      <w:r w:rsidRPr="006E65BB">
        <w:rPr>
          <w:iCs/>
          <w:noProof/>
          <w:color w:val="000000"/>
          <w:sz w:val="24"/>
          <w:szCs w:val="24"/>
        </w:rPr>
        <w:t>The Influence of Current Account, Capital Transaction and Foreign Debt on Indonesi</w:t>
      </w:r>
      <w:r w:rsidR="00C62C1C">
        <w:rPr>
          <w:iCs/>
          <w:noProof/>
          <w:color w:val="000000"/>
          <w:sz w:val="24"/>
          <w:szCs w:val="24"/>
        </w:rPr>
        <w:t>a's Foreign Exchange Reserves)</w:t>
      </w:r>
      <w:r w:rsidRPr="006E65BB">
        <w:rPr>
          <w:noProof/>
          <w:color w:val="000000"/>
          <w:sz w:val="24"/>
          <w:szCs w:val="24"/>
        </w:rPr>
        <w:t xml:space="preserve">. </w:t>
      </w:r>
      <w:r w:rsidRPr="006E65BB">
        <w:rPr>
          <w:i/>
          <w:noProof/>
          <w:color w:val="000000"/>
          <w:sz w:val="24"/>
          <w:szCs w:val="24"/>
        </w:rPr>
        <w:t>e-Jurnal Perspektif Ekonomi dan Pembangunan Daerah</w:t>
      </w:r>
      <w:r w:rsidRPr="006E65BB">
        <w:rPr>
          <w:i/>
          <w:iCs/>
          <w:noProof/>
          <w:color w:val="000000"/>
          <w:sz w:val="24"/>
          <w:szCs w:val="24"/>
        </w:rPr>
        <w:t xml:space="preserve"> 7</w:t>
      </w:r>
      <w:r w:rsidRPr="006E65BB">
        <w:rPr>
          <w:noProof/>
          <w:color w:val="000000"/>
          <w:sz w:val="24"/>
          <w:szCs w:val="24"/>
        </w:rPr>
        <w:t>(2), 57–70.</w:t>
      </w:r>
    </w:p>
    <w:p w:rsidR="00163EE1" w:rsidRPr="006E65BB" w:rsidRDefault="00163EE1" w:rsidP="006E65BB">
      <w:pPr>
        <w:widowControl w:val="0"/>
        <w:autoSpaceDE w:val="0"/>
        <w:autoSpaceDN w:val="0"/>
        <w:adjustRightInd w:val="0"/>
        <w:ind w:left="709" w:right="237" w:hanging="480"/>
        <w:jc w:val="both"/>
        <w:rPr>
          <w:noProof/>
          <w:sz w:val="24"/>
          <w:szCs w:val="24"/>
        </w:rPr>
      </w:pPr>
      <w:r w:rsidRPr="006E65BB">
        <w:rPr>
          <w:noProof/>
          <w:sz w:val="24"/>
          <w:szCs w:val="24"/>
        </w:rPr>
        <w:t xml:space="preserve">Henderson, J. C. </w:t>
      </w:r>
      <w:r w:rsidR="00C62C1C">
        <w:rPr>
          <w:noProof/>
          <w:sz w:val="24"/>
          <w:szCs w:val="24"/>
        </w:rPr>
        <w:t>(</w:t>
      </w:r>
      <w:r w:rsidRPr="006E65BB">
        <w:rPr>
          <w:noProof/>
          <w:sz w:val="24"/>
          <w:szCs w:val="24"/>
        </w:rPr>
        <w:t>2015</w:t>
      </w:r>
      <w:r w:rsidR="00C62C1C">
        <w:rPr>
          <w:noProof/>
          <w:sz w:val="24"/>
          <w:szCs w:val="24"/>
        </w:rPr>
        <w:t xml:space="preserve">). </w:t>
      </w:r>
      <w:r w:rsidRPr="006E65BB">
        <w:rPr>
          <w:noProof/>
          <w:sz w:val="24"/>
          <w:szCs w:val="24"/>
        </w:rPr>
        <w:t>Halal food, certification and halal tourism : Insig</w:t>
      </w:r>
      <w:r w:rsidR="00C62C1C">
        <w:rPr>
          <w:noProof/>
          <w:sz w:val="24"/>
          <w:szCs w:val="24"/>
        </w:rPr>
        <w:t>hts from Malaysia and Singapore</w:t>
      </w:r>
      <w:r w:rsidRPr="006E65BB">
        <w:rPr>
          <w:noProof/>
          <w:sz w:val="24"/>
          <w:szCs w:val="24"/>
        </w:rPr>
        <w:t xml:space="preserve">. </w:t>
      </w:r>
      <w:r w:rsidRPr="006E65BB">
        <w:rPr>
          <w:i/>
          <w:noProof/>
          <w:color w:val="000000"/>
          <w:sz w:val="24"/>
          <w:szCs w:val="24"/>
        </w:rPr>
        <w:t>Tourism Management Perspectives</w:t>
      </w:r>
      <w:r w:rsidRPr="006E65BB">
        <w:rPr>
          <w:i/>
          <w:iCs/>
          <w:noProof/>
          <w:sz w:val="24"/>
          <w:szCs w:val="24"/>
        </w:rPr>
        <w:t xml:space="preserve"> (TMP)</w:t>
      </w:r>
      <w:r w:rsidRPr="006E65BB">
        <w:rPr>
          <w:noProof/>
          <w:sz w:val="24"/>
          <w:szCs w:val="24"/>
        </w:rPr>
        <w:t xml:space="preserve">, 2-5. </w:t>
      </w:r>
    </w:p>
    <w:p w:rsidR="00163EE1" w:rsidRPr="006E65BB" w:rsidRDefault="00163EE1" w:rsidP="006E65BB">
      <w:pPr>
        <w:widowControl w:val="0"/>
        <w:autoSpaceDE w:val="0"/>
        <w:autoSpaceDN w:val="0"/>
        <w:adjustRightInd w:val="0"/>
        <w:ind w:left="709" w:right="237" w:hanging="480"/>
        <w:jc w:val="both"/>
        <w:rPr>
          <w:noProof/>
          <w:color w:val="000000"/>
          <w:sz w:val="24"/>
          <w:szCs w:val="24"/>
        </w:rPr>
      </w:pPr>
      <w:r w:rsidRPr="006E65BB">
        <w:rPr>
          <w:noProof/>
          <w:color w:val="000000"/>
          <w:sz w:val="24"/>
          <w:szCs w:val="24"/>
        </w:rPr>
        <w:t xml:space="preserve">Ichsan, S. </w:t>
      </w:r>
      <w:r w:rsidR="00C62C1C">
        <w:rPr>
          <w:noProof/>
          <w:color w:val="000000"/>
          <w:sz w:val="24"/>
          <w:szCs w:val="24"/>
        </w:rPr>
        <w:t>(</w:t>
      </w:r>
      <w:r w:rsidRPr="006E65BB">
        <w:rPr>
          <w:noProof/>
          <w:color w:val="000000"/>
          <w:sz w:val="24"/>
          <w:szCs w:val="24"/>
        </w:rPr>
        <w:t>2014</w:t>
      </w:r>
      <w:r w:rsidR="00C62C1C">
        <w:rPr>
          <w:noProof/>
          <w:color w:val="000000"/>
          <w:sz w:val="24"/>
          <w:szCs w:val="24"/>
        </w:rPr>
        <w:t xml:space="preserve">). </w:t>
      </w:r>
      <w:r w:rsidRPr="006E65BB">
        <w:rPr>
          <w:noProof/>
          <w:color w:val="000000"/>
          <w:sz w:val="24"/>
          <w:szCs w:val="24"/>
        </w:rPr>
        <w:t xml:space="preserve">Pengaruh Pergerakan Nilai Tukar Yuan Terhadap Ekspor Dan Impor Indonesia (Studi Pada Bank Indonesia Periode </w:t>
      </w:r>
      <w:r w:rsidR="00C62C1C">
        <w:rPr>
          <w:noProof/>
          <w:color w:val="000000"/>
          <w:sz w:val="24"/>
          <w:szCs w:val="24"/>
        </w:rPr>
        <w:t>2012-2014) (</w:t>
      </w:r>
      <w:r w:rsidRPr="006E65BB">
        <w:rPr>
          <w:noProof/>
          <w:color w:val="000000"/>
          <w:sz w:val="24"/>
          <w:szCs w:val="24"/>
        </w:rPr>
        <w:t>The Influence of the Movement of the Yuan Exchange Rate on Indonesia's Exports and Imports (Study at B</w:t>
      </w:r>
      <w:r w:rsidR="00C62C1C">
        <w:rPr>
          <w:noProof/>
          <w:color w:val="000000"/>
          <w:sz w:val="24"/>
          <w:szCs w:val="24"/>
        </w:rPr>
        <w:t>ank Indonesia 2012-2014 Period))</w:t>
      </w:r>
      <w:r w:rsidRPr="006E65BB">
        <w:rPr>
          <w:noProof/>
          <w:color w:val="000000"/>
          <w:sz w:val="24"/>
          <w:szCs w:val="24"/>
        </w:rPr>
        <w:t xml:space="preserve">. </w:t>
      </w:r>
      <w:r w:rsidRPr="006E65BB">
        <w:rPr>
          <w:i/>
          <w:noProof/>
          <w:color w:val="000000"/>
          <w:sz w:val="24"/>
          <w:szCs w:val="24"/>
        </w:rPr>
        <w:t>Jurnal Administrasi Bisnis (JAB)</w:t>
      </w:r>
      <w:r w:rsidRPr="006E65BB">
        <w:rPr>
          <w:noProof/>
          <w:color w:val="000000"/>
          <w:sz w:val="24"/>
          <w:szCs w:val="24"/>
        </w:rPr>
        <w:t xml:space="preserve">. </w:t>
      </w:r>
      <w:r w:rsidRPr="006E65BB">
        <w:rPr>
          <w:i/>
          <w:iCs/>
          <w:noProof/>
          <w:color w:val="000000"/>
          <w:sz w:val="24"/>
          <w:szCs w:val="24"/>
        </w:rPr>
        <w:t>35</w:t>
      </w:r>
      <w:r w:rsidRPr="006E65BB">
        <w:rPr>
          <w:noProof/>
          <w:color w:val="000000"/>
          <w:sz w:val="24"/>
          <w:szCs w:val="24"/>
        </w:rPr>
        <w:t>(2), 94–103.</w:t>
      </w:r>
    </w:p>
    <w:p w:rsidR="00163EE1" w:rsidRPr="00C62C1C" w:rsidRDefault="00163EE1" w:rsidP="006E65BB">
      <w:pPr>
        <w:widowControl w:val="0"/>
        <w:autoSpaceDE w:val="0"/>
        <w:autoSpaceDN w:val="0"/>
        <w:adjustRightInd w:val="0"/>
        <w:ind w:left="709" w:right="237" w:hanging="426"/>
        <w:jc w:val="both"/>
        <w:rPr>
          <w:noProof/>
          <w:sz w:val="24"/>
          <w:szCs w:val="24"/>
        </w:rPr>
      </w:pPr>
      <w:r w:rsidRPr="006E65BB">
        <w:rPr>
          <w:noProof/>
          <w:sz w:val="24"/>
          <w:szCs w:val="24"/>
        </w:rPr>
        <w:t xml:space="preserve">International Financial Statistic. </w:t>
      </w:r>
      <w:r w:rsidR="00C62C1C">
        <w:rPr>
          <w:noProof/>
          <w:sz w:val="24"/>
          <w:szCs w:val="24"/>
        </w:rPr>
        <w:t>(</w:t>
      </w:r>
      <w:r w:rsidRPr="006E65BB">
        <w:rPr>
          <w:noProof/>
          <w:sz w:val="24"/>
          <w:szCs w:val="24"/>
        </w:rPr>
        <w:t>2020</w:t>
      </w:r>
      <w:r w:rsidR="00C62C1C">
        <w:rPr>
          <w:noProof/>
          <w:sz w:val="24"/>
          <w:szCs w:val="24"/>
        </w:rPr>
        <w:t xml:space="preserve">). </w:t>
      </w:r>
      <w:r w:rsidRPr="006E65BB">
        <w:rPr>
          <w:noProof/>
          <w:sz w:val="24"/>
          <w:szCs w:val="24"/>
        </w:rPr>
        <w:t>Data Cadangan Devisa Indonesia Periode 2010</w:t>
      </w:r>
      <w:r w:rsidRPr="006E65BB">
        <w:rPr>
          <w:noProof/>
          <w:color w:val="000000"/>
          <w:sz w:val="24"/>
          <w:szCs w:val="24"/>
        </w:rPr>
        <w:t xml:space="preserve">- </w:t>
      </w:r>
      <w:r w:rsidR="00C62C1C">
        <w:rPr>
          <w:noProof/>
          <w:sz w:val="24"/>
          <w:szCs w:val="24"/>
        </w:rPr>
        <w:t>2019</w:t>
      </w:r>
      <w:r w:rsidRPr="006E65BB">
        <w:rPr>
          <w:noProof/>
          <w:sz w:val="24"/>
          <w:szCs w:val="24"/>
        </w:rPr>
        <w:t>.</w:t>
      </w:r>
      <w:r w:rsidR="00C62C1C">
        <w:rPr>
          <w:noProof/>
          <w:sz w:val="24"/>
          <w:szCs w:val="24"/>
        </w:rPr>
        <w:t xml:space="preserve"> </w:t>
      </w:r>
      <w:hyperlink r:id="rId6" w:history="1">
        <w:r w:rsidRPr="00C62C1C">
          <w:rPr>
            <w:rStyle w:val="Hyperlink"/>
            <w:noProof/>
            <w:color w:val="auto"/>
            <w:sz w:val="24"/>
            <w:szCs w:val="24"/>
            <w:u w:val="none"/>
          </w:rPr>
          <w:t>https://data.imf.org</w:t>
        </w:r>
      </w:hyperlink>
      <w:r w:rsidRPr="00C62C1C">
        <w:rPr>
          <w:rStyle w:val="Hyperlink"/>
          <w:noProof/>
          <w:color w:val="auto"/>
          <w:sz w:val="24"/>
          <w:szCs w:val="24"/>
          <w:u w:val="none"/>
        </w:rPr>
        <w:t>.</w:t>
      </w:r>
    </w:p>
    <w:p w:rsidR="00163EE1" w:rsidRPr="006E65BB" w:rsidRDefault="00163EE1" w:rsidP="006E65BB">
      <w:pPr>
        <w:widowControl w:val="0"/>
        <w:autoSpaceDE w:val="0"/>
        <w:autoSpaceDN w:val="0"/>
        <w:adjustRightInd w:val="0"/>
        <w:ind w:left="709" w:right="237" w:hanging="480"/>
        <w:jc w:val="both"/>
        <w:rPr>
          <w:noProof/>
          <w:color w:val="000000"/>
          <w:sz w:val="24"/>
          <w:szCs w:val="24"/>
        </w:rPr>
      </w:pPr>
      <w:r w:rsidRPr="006E65BB">
        <w:rPr>
          <w:noProof/>
          <w:color w:val="000000"/>
          <w:sz w:val="24"/>
          <w:szCs w:val="24"/>
        </w:rPr>
        <w:t xml:space="preserve">Jaelani, A. </w:t>
      </w:r>
      <w:r w:rsidR="00C62C1C">
        <w:rPr>
          <w:noProof/>
          <w:color w:val="000000"/>
          <w:sz w:val="24"/>
          <w:szCs w:val="24"/>
        </w:rPr>
        <w:t>(</w:t>
      </w:r>
      <w:r w:rsidRPr="006E65BB">
        <w:rPr>
          <w:noProof/>
          <w:color w:val="000000"/>
          <w:sz w:val="24"/>
          <w:szCs w:val="24"/>
        </w:rPr>
        <w:t>2017</w:t>
      </w:r>
      <w:r w:rsidR="00C62C1C">
        <w:rPr>
          <w:noProof/>
          <w:color w:val="000000"/>
          <w:sz w:val="24"/>
          <w:szCs w:val="24"/>
        </w:rPr>
        <w:t xml:space="preserve">). </w:t>
      </w:r>
      <w:r w:rsidRPr="006E65BB">
        <w:rPr>
          <w:iCs/>
          <w:noProof/>
          <w:color w:val="000000"/>
          <w:sz w:val="24"/>
          <w:szCs w:val="24"/>
        </w:rPr>
        <w:t>Halal tourism industry in Indo</w:t>
      </w:r>
      <w:r w:rsidR="00C62C1C">
        <w:rPr>
          <w:iCs/>
          <w:noProof/>
          <w:color w:val="000000"/>
          <w:sz w:val="24"/>
          <w:szCs w:val="24"/>
        </w:rPr>
        <w:t>nesia : Potential and prospects</w:t>
      </w:r>
      <w:r w:rsidRPr="006E65BB">
        <w:rPr>
          <w:noProof/>
          <w:color w:val="000000"/>
          <w:sz w:val="24"/>
          <w:szCs w:val="24"/>
        </w:rPr>
        <w:t xml:space="preserve">. </w:t>
      </w:r>
      <w:r w:rsidRPr="006E65BB">
        <w:rPr>
          <w:i/>
          <w:iCs/>
          <w:noProof/>
          <w:color w:val="000000"/>
          <w:sz w:val="24"/>
          <w:szCs w:val="24"/>
        </w:rPr>
        <w:t>Munich Personal RePEc Archive</w:t>
      </w:r>
      <w:r w:rsidRPr="006E65BB">
        <w:rPr>
          <w:noProof/>
          <w:color w:val="000000"/>
          <w:sz w:val="24"/>
          <w:szCs w:val="24"/>
        </w:rPr>
        <w:t xml:space="preserve"> .(76237).</w:t>
      </w:r>
    </w:p>
    <w:p w:rsidR="00163EE1" w:rsidRPr="006E65BB" w:rsidRDefault="00163EE1" w:rsidP="006E65BB">
      <w:pPr>
        <w:widowControl w:val="0"/>
        <w:autoSpaceDE w:val="0"/>
        <w:autoSpaceDN w:val="0"/>
        <w:adjustRightInd w:val="0"/>
        <w:ind w:left="709" w:right="237" w:hanging="480"/>
        <w:jc w:val="both"/>
        <w:rPr>
          <w:noProof/>
          <w:color w:val="000000"/>
          <w:sz w:val="24"/>
          <w:szCs w:val="24"/>
        </w:rPr>
      </w:pPr>
      <w:r w:rsidRPr="006E65BB">
        <w:rPr>
          <w:noProof/>
          <w:color w:val="000000"/>
          <w:sz w:val="24"/>
          <w:szCs w:val="24"/>
        </w:rPr>
        <w:t xml:space="preserve">Kaligis, p., Rotinsulus., &amp; Niode, A. </w:t>
      </w:r>
      <w:r w:rsidR="00C62C1C">
        <w:rPr>
          <w:noProof/>
          <w:color w:val="000000"/>
          <w:sz w:val="24"/>
          <w:szCs w:val="24"/>
        </w:rPr>
        <w:t>(</w:t>
      </w:r>
      <w:r w:rsidRPr="006E65BB">
        <w:rPr>
          <w:noProof/>
          <w:color w:val="000000"/>
          <w:sz w:val="24"/>
          <w:szCs w:val="24"/>
        </w:rPr>
        <w:t>2017</w:t>
      </w:r>
      <w:r w:rsidR="00C62C1C">
        <w:rPr>
          <w:noProof/>
          <w:color w:val="000000"/>
          <w:sz w:val="24"/>
          <w:szCs w:val="24"/>
        </w:rPr>
        <w:t>)</w:t>
      </w:r>
      <w:r w:rsidRPr="006E65BB">
        <w:rPr>
          <w:noProof/>
          <w:color w:val="000000"/>
          <w:sz w:val="24"/>
          <w:szCs w:val="24"/>
        </w:rPr>
        <w:t>. Analisis Kausalitas Nilai Tu</w:t>
      </w:r>
      <w:r w:rsidR="00C62C1C">
        <w:rPr>
          <w:noProof/>
          <w:color w:val="000000"/>
          <w:sz w:val="24"/>
          <w:szCs w:val="24"/>
        </w:rPr>
        <w:t>kar Rupiah dan Cadangan Devisa d</w:t>
      </w:r>
      <w:r w:rsidRPr="006E65BB">
        <w:rPr>
          <w:noProof/>
          <w:color w:val="000000"/>
          <w:sz w:val="24"/>
          <w:szCs w:val="24"/>
        </w:rPr>
        <w:t>i In</w:t>
      </w:r>
      <w:r w:rsidR="00C62C1C">
        <w:rPr>
          <w:noProof/>
          <w:color w:val="000000"/>
          <w:sz w:val="24"/>
          <w:szCs w:val="24"/>
        </w:rPr>
        <w:t>donesia Periode 2009.1-2016.12 (</w:t>
      </w:r>
      <w:r w:rsidRPr="006E65BB">
        <w:rPr>
          <w:noProof/>
          <w:color w:val="000000"/>
          <w:sz w:val="24"/>
          <w:szCs w:val="24"/>
        </w:rPr>
        <w:t>Causality Analysis of Rupiah Exchange Rate and Foreign Reserv</w:t>
      </w:r>
      <w:r w:rsidR="00C62C1C">
        <w:rPr>
          <w:noProof/>
          <w:color w:val="000000"/>
          <w:sz w:val="24"/>
          <w:szCs w:val="24"/>
        </w:rPr>
        <w:t>es in Indonesia 2009.1-2016.12)</w:t>
      </w:r>
      <w:r w:rsidRPr="006E65BB">
        <w:rPr>
          <w:noProof/>
          <w:color w:val="000000"/>
          <w:sz w:val="24"/>
          <w:szCs w:val="24"/>
        </w:rPr>
        <w:t xml:space="preserve">. </w:t>
      </w:r>
      <w:r w:rsidRPr="006E65BB">
        <w:rPr>
          <w:i/>
          <w:iCs/>
          <w:noProof/>
          <w:color w:val="000000"/>
          <w:sz w:val="24"/>
          <w:szCs w:val="24"/>
        </w:rPr>
        <w:t>Jurnal Berkala Ilmiah Efisiensi</w:t>
      </w:r>
      <w:r w:rsidRPr="006E65BB">
        <w:rPr>
          <w:noProof/>
          <w:color w:val="000000"/>
          <w:sz w:val="24"/>
          <w:szCs w:val="24"/>
        </w:rPr>
        <w:t xml:space="preserve">, </w:t>
      </w:r>
      <w:r w:rsidRPr="006E65BB">
        <w:rPr>
          <w:i/>
          <w:iCs/>
          <w:noProof/>
          <w:color w:val="000000"/>
          <w:sz w:val="24"/>
          <w:szCs w:val="24"/>
        </w:rPr>
        <w:t>17</w:t>
      </w:r>
      <w:r w:rsidRPr="006E65BB">
        <w:rPr>
          <w:noProof/>
          <w:color w:val="000000"/>
          <w:sz w:val="24"/>
          <w:szCs w:val="24"/>
        </w:rPr>
        <w:t>(02), 84–93.</w:t>
      </w:r>
    </w:p>
    <w:p w:rsidR="00163EE1" w:rsidRPr="006E65BB" w:rsidRDefault="00163EE1" w:rsidP="006E65BB">
      <w:pPr>
        <w:widowControl w:val="0"/>
        <w:autoSpaceDE w:val="0"/>
        <w:autoSpaceDN w:val="0"/>
        <w:adjustRightInd w:val="0"/>
        <w:ind w:left="709" w:right="237" w:hanging="567"/>
        <w:jc w:val="both"/>
        <w:rPr>
          <w:noProof/>
          <w:sz w:val="24"/>
          <w:szCs w:val="24"/>
        </w:rPr>
      </w:pPr>
      <w:r w:rsidRPr="006E65BB">
        <w:rPr>
          <w:noProof/>
          <w:sz w:val="24"/>
          <w:szCs w:val="24"/>
        </w:rPr>
        <w:t xml:space="preserve">Kementrian Pariwisata. </w:t>
      </w:r>
      <w:r w:rsidR="00C62C1C">
        <w:rPr>
          <w:noProof/>
          <w:sz w:val="24"/>
          <w:szCs w:val="24"/>
        </w:rPr>
        <w:t>(</w:t>
      </w:r>
      <w:r w:rsidRPr="006E65BB">
        <w:rPr>
          <w:noProof/>
          <w:sz w:val="24"/>
          <w:szCs w:val="24"/>
        </w:rPr>
        <w:t>2019</w:t>
      </w:r>
      <w:r w:rsidR="00C62C1C">
        <w:rPr>
          <w:noProof/>
          <w:sz w:val="24"/>
          <w:szCs w:val="24"/>
        </w:rPr>
        <w:t>)</w:t>
      </w:r>
      <w:r w:rsidRPr="006E65BB">
        <w:rPr>
          <w:noProof/>
          <w:sz w:val="24"/>
          <w:szCs w:val="24"/>
        </w:rPr>
        <w:t xml:space="preserve">. </w:t>
      </w:r>
      <w:r w:rsidR="00C62C1C">
        <w:rPr>
          <w:noProof/>
          <w:sz w:val="24"/>
          <w:szCs w:val="24"/>
        </w:rPr>
        <w:t>Data Devisa Sektor Pariwisata (</w:t>
      </w:r>
      <w:r w:rsidRPr="006E65BB">
        <w:rPr>
          <w:noProof/>
          <w:sz w:val="24"/>
          <w:szCs w:val="24"/>
        </w:rPr>
        <w:t>Touris</w:t>
      </w:r>
      <w:r w:rsidR="00C62C1C">
        <w:rPr>
          <w:noProof/>
          <w:sz w:val="24"/>
          <w:szCs w:val="24"/>
        </w:rPr>
        <w:t>m Sector Foreign Exchange Data)</w:t>
      </w:r>
      <w:r w:rsidRPr="006E65BB">
        <w:rPr>
          <w:noProof/>
          <w:sz w:val="24"/>
          <w:szCs w:val="24"/>
        </w:rPr>
        <w:t xml:space="preserve">. </w:t>
      </w:r>
      <w:hyperlink r:id="rId7" w:history="1">
        <w:r w:rsidRPr="00C62C1C">
          <w:rPr>
            <w:rStyle w:val="Hyperlink"/>
            <w:noProof/>
            <w:color w:val="auto"/>
            <w:sz w:val="24"/>
            <w:szCs w:val="24"/>
            <w:u w:val="none"/>
          </w:rPr>
          <w:t>www.kemenpar.go.id</w:t>
        </w:r>
      </w:hyperlink>
      <w:r w:rsidRPr="00C62C1C">
        <w:rPr>
          <w:noProof/>
          <w:sz w:val="24"/>
          <w:szCs w:val="24"/>
        </w:rPr>
        <w:t xml:space="preserve"> </w:t>
      </w:r>
    </w:p>
    <w:p w:rsidR="00163EE1" w:rsidRPr="006E65BB" w:rsidRDefault="00163EE1" w:rsidP="006E65BB">
      <w:pPr>
        <w:widowControl w:val="0"/>
        <w:autoSpaceDE w:val="0"/>
        <w:autoSpaceDN w:val="0"/>
        <w:adjustRightInd w:val="0"/>
        <w:ind w:left="709" w:right="237" w:hanging="567"/>
        <w:jc w:val="both"/>
        <w:rPr>
          <w:noProof/>
          <w:sz w:val="24"/>
          <w:szCs w:val="24"/>
        </w:rPr>
      </w:pPr>
      <w:r w:rsidRPr="006E65BB">
        <w:rPr>
          <w:sz w:val="24"/>
          <w:szCs w:val="24"/>
        </w:rPr>
        <w:t>Master</w:t>
      </w:r>
      <w:r w:rsidRPr="006E65BB">
        <w:rPr>
          <w:noProof/>
          <w:sz w:val="24"/>
          <w:szCs w:val="24"/>
        </w:rPr>
        <w:t xml:space="preserve">–Crescent Rating Global Muslim Travel Index. </w:t>
      </w:r>
      <w:r w:rsidR="00C62C1C">
        <w:rPr>
          <w:noProof/>
          <w:sz w:val="24"/>
          <w:szCs w:val="24"/>
        </w:rPr>
        <w:t>(</w:t>
      </w:r>
      <w:r w:rsidRPr="006E65BB">
        <w:rPr>
          <w:noProof/>
          <w:sz w:val="24"/>
          <w:szCs w:val="24"/>
        </w:rPr>
        <w:t>2020</w:t>
      </w:r>
      <w:r w:rsidR="00C62C1C">
        <w:rPr>
          <w:noProof/>
          <w:sz w:val="24"/>
          <w:szCs w:val="24"/>
        </w:rPr>
        <w:t>). Jumlah Wisatawan Muslim Dunia</w:t>
      </w:r>
      <w:r w:rsidRPr="006E65BB">
        <w:rPr>
          <w:noProof/>
          <w:sz w:val="24"/>
          <w:szCs w:val="24"/>
        </w:rPr>
        <w:t>. https://gmti.crescentrating.com.</w:t>
      </w:r>
    </w:p>
    <w:p w:rsidR="00163EE1" w:rsidRPr="006E65BB" w:rsidRDefault="00163EE1" w:rsidP="006E65BB">
      <w:pPr>
        <w:widowControl w:val="0"/>
        <w:autoSpaceDE w:val="0"/>
        <w:autoSpaceDN w:val="0"/>
        <w:adjustRightInd w:val="0"/>
        <w:ind w:left="709" w:right="237" w:hanging="480"/>
        <w:jc w:val="both"/>
        <w:rPr>
          <w:noProof/>
          <w:color w:val="000000"/>
          <w:sz w:val="24"/>
          <w:szCs w:val="24"/>
        </w:rPr>
      </w:pPr>
      <w:r w:rsidRPr="006E65BB">
        <w:rPr>
          <w:noProof/>
          <w:color w:val="000000"/>
          <w:sz w:val="24"/>
          <w:szCs w:val="24"/>
        </w:rPr>
        <w:t xml:space="preserve">Mohsin, A., Ramli, N., &amp; Abdulaziz, B. </w:t>
      </w:r>
      <w:r w:rsidR="00C62C1C">
        <w:rPr>
          <w:noProof/>
          <w:color w:val="000000"/>
          <w:sz w:val="24"/>
          <w:szCs w:val="24"/>
        </w:rPr>
        <w:t>(</w:t>
      </w:r>
      <w:r w:rsidRPr="006E65BB">
        <w:rPr>
          <w:noProof/>
          <w:color w:val="000000"/>
          <w:sz w:val="24"/>
          <w:szCs w:val="24"/>
        </w:rPr>
        <w:t>2016</w:t>
      </w:r>
      <w:r w:rsidR="00C62C1C">
        <w:rPr>
          <w:noProof/>
          <w:color w:val="000000"/>
          <w:sz w:val="24"/>
          <w:szCs w:val="24"/>
        </w:rPr>
        <w:t xml:space="preserve">). </w:t>
      </w:r>
      <w:r w:rsidRPr="006E65BB">
        <w:rPr>
          <w:i/>
          <w:iCs/>
          <w:noProof/>
          <w:color w:val="000000"/>
          <w:sz w:val="24"/>
          <w:szCs w:val="24"/>
        </w:rPr>
        <w:t>Halal tourism : Emerging opportunities</w:t>
      </w:r>
      <w:r w:rsidRPr="006E65BB">
        <w:rPr>
          <w:noProof/>
          <w:color w:val="000000"/>
          <w:sz w:val="24"/>
          <w:szCs w:val="24"/>
        </w:rPr>
        <w:t>.</w:t>
      </w:r>
      <w:r w:rsidRPr="006E65BB">
        <w:rPr>
          <w:i/>
          <w:noProof/>
          <w:color w:val="000000"/>
          <w:sz w:val="24"/>
          <w:szCs w:val="24"/>
        </w:rPr>
        <w:t xml:space="preserve"> Tourism Management Perspectives (</w:t>
      </w:r>
      <w:r w:rsidRPr="006E65BB">
        <w:rPr>
          <w:i/>
          <w:iCs/>
          <w:noProof/>
          <w:color w:val="000000"/>
          <w:sz w:val="24"/>
          <w:szCs w:val="24"/>
        </w:rPr>
        <w:t>TMP)</w:t>
      </w:r>
      <w:r w:rsidRPr="006E65BB">
        <w:rPr>
          <w:noProof/>
          <w:color w:val="000000"/>
          <w:sz w:val="24"/>
          <w:szCs w:val="24"/>
        </w:rPr>
        <w:t xml:space="preserve">. </w:t>
      </w:r>
      <w:r w:rsidRPr="006E65BB">
        <w:rPr>
          <w:i/>
          <w:iCs/>
          <w:noProof/>
          <w:color w:val="000000"/>
          <w:sz w:val="24"/>
          <w:szCs w:val="24"/>
        </w:rPr>
        <w:t>19</w:t>
      </w:r>
      <w:r w:rsidRPr="006E65BB">
        <w:rPr>
          <w:noProof/>
          <w:color w:val="000000"/>
          <w:sz w:val="24"/>
          <w:szCs w:val="24"/>
        </w:rPr>
        <w:t xml:space="preserve">(2016), 137–143. </w:t>
      </w:r>
    </w:p>
    <w:p w:rsidR="00163EE1" w:rsidRPr="006E65BB" w:rsidRDefault="00163EE1" w:rsidP="006E65BB">
      <w:pPr>
        <w:widowControl w:val="0"/>
        <w:autoSpaceDE w:val="0"/>
        <w:autoSpaceDN w:val="0"/>
        <w:adjustRightInd w:val="0"/>
        <w:ind w:left="709" w:right="237" w:hanging="482"/>
        <w:jc w:val="both"/>
        <w:rPr>
          <w:noProof/>
          <w:color w:val="000000"/>
          <w:sz w:val="24"/>
          <w:szCs w:val="24"/>
        </w:rPr>
      </w:pPr>
      <w:r w:rsidRPr="006E65BB">
        <w:rPr>
          <w:noProof/>
          <w:color w:val="000000"/>
          <w:sz w:val="24"/>
          <w:szCs w:val="24"/>
        </w:rPr>
        <w:t xml:space="preserve">Nizar, M. A. </w:t>
      </w:r>
      <w:r w:rsidR="00C62C1C">
        <w:rPr>
          <w:noProof/>
          <w:color w:val="000000"/>
          <w:sz w:val="24"/>
          <w:szCs w:val="24"/>
        </w:rPr>
        <w:t>(</w:t>
      </w:r>
      <w:r w:rsidRPr="006E65BB">
        <w:rPr>
          <w:noProof/>
          <w:color w:val="000000"/>
          <w:sz w:val="24"/>
          <w:szCs w:val="24"/>
        </w:rPr>
        <w:t>2011</w:t>
      </w:r>
      <w:r w:rsidR="00C62C1C">
        <w:rPr>
          <w:noProof/>
          <w:color w:val="000000"/>
          <w:sz w:val="24"/>
          <w:szCs w:val="24"/>
        </w:rPr>
        <w:t xml:space="preserve">). </w:t>
      </w:r>
      <w:r w:rsidRPr="006E65BB">
        <w:rPr>
          <w:iCs/>
          <w:noProof/>
          <w:color w:val="000000"/>
          <w:sz w:val="24"/>
          <w:szCs w:val="24"/>
        </w:rPr>
        <w:t>Pengaruh jumlah turis dan devisa pariwisata terhadap nilai t</w:t>
      </w:r>
      <w:r w:rsidR="00C62C1C">
        <w:rPr>
          <w:iCs/>
          <w:noProof/>
          <w:color w:val="000000"/>
          <w:sz w:val="24"/>
          <w:szCs w:val="24"/>
        </w:rPr>
        <w:t>ukar rupiah (</w:t>
      </w:r>
      <w:r w:rsidRPr="006E65BB">
        <w:rPr>
          <w:iCs/>
          <w:noProof/>
          <w:color w:val="000000"/>
          <w:sz w:val="24"/>
          <w:szCs w:val="24"/>
        </w:rPr>
        <w:t>The influence of the number of tourists and tourism foreign exchan</w:t>
      </w:r>
      <w:r w:rsidR="00C62C1C">
        <w:rPr>
          <w:iCs/>
          <w:noProof/>
          <w:color w:val="000000"/>
          <w:sz w:val="24"/>
          <w:szCs w:val="24"/>
        </w:rPr>
        <w:t>ge on the rupiah exchange rate)</w:t>
      </w:r>
      <w:r w:rsidRPr="006E65BB">
        <w:rPr>
          <w:noProof/>
          <w:color w:val="000000"/>
          <w:sz w:val="24"/>
          <w:szCs w:val="24"/>
        </w:rPr>
        <w:t>.</w:t>
      </w:r>
      <w:r w:rsidRPr="006E65BB">
        <w:rPr>
          <w:color w:val="000000"/>
          <w:sz w:val="24"/>
          <w:szCs w:val="24"/>
        </w:rPr>
        <w:t xml:space="preserve"> </w:t>
      </w:r>
      <w:r w:rsidRPr="006E65BB">
        <w:rPr>
          <w:i/>
          <w:noProof/>
          <w:color w:val="000000"/>
          <w:sz w:val="24"/>
          <w:szCs w:val="24"/>
        </w:rPr>
        <w:t>Kementerian Keuangan</w:t>
      </w:r>
      <w:r w:rsidRPr="006E65BB">
        <w:rPr>
          <w:noProof/>
          <w:color w:val="000000"/>
          <w:sz w:val="24"/>
          <w:szCs w:val="24"/>
        </w:rPr>
        <w:t>.</w:t>
      </w:r>
    </w:p>
    <w:p w:rsidR="00163EE1" w:rsidRPr="006E65BB" w:rsidRDefault="00163EE1" w:rsidP="006E65BB">
      <w:pPr>
        <w:widowControl w:val="0"/>
        <w:autoSpaceDE w:val="0"/>
        <w:autoSpaceDN w:val="0"/>
        <w:adjustRightInd w:val="0"/>
        <w:ind w:left="709" w:right="237" w:hanging="480"/>
        <w:jc w:val="both"/>
        <w:rPr>
          <w:noProof/>
          <w:color w:val="000000"/>
          <w:sz w:val="24"/>
          <w:szCs w:val="24"/>
        </w:rPr>
      </w:pPr>
      <w:r w:rsidRPr="006E65BB">
        <w:rPr>
          <w:noProof/>
          <w:color w:val="000000"/>
          <w:sz w:val="24"/>
          <w:szCs w:val="24"/>
        </w:rPr>
        <w:t xml:space="preserve">Putra, M. U. M., Damanik, S. </w:t>
      </w:r>
      <w:r w:rsidR="00C62C1C">
        <w:rPr>
          <w:noProof/>
          <w:color w:val="000000"/>
          <w:sz w:val="24"/>
          <w:szCs w:val="24"/>
        </w:rPr>
        <w:t>(</w:t>
      </w:r>
      <w:r w:rsidRPr="006E65BB">
        <w:rPr>
          <w:noProof/>
          <w:color w:val="000000"/>
          <w:sz w:val="24"/>
          <w:szCs w:val="24"/>
        </w:rPr>
        <w:t>2017</w:t>
      </w:r>
      <w:r w:rsidR="00C62C1C">
        <w:rPr>
          <w:noProof/>
          <w:color w:val="000000"/>
          <w:sz w:val="24"/>
          <w:szCs w:val="24"/>
        </w:rPr>
        <w:t>)</w:t>
      </w:r>
      <w:r w:rsidRPr="006E65BB">
        <w:rPr>
          <w:noProof/>
          <w:color w:val="000000"/>
          <w:sz w:val="24"/>
          <w:szCs w:val="24"/>
        </w:rPr>
        <w:t xml:space="preserve">. </w:t>
      </w:r>
      <w:r w:rsidRPr="006E65BB">
        <w:rPr>
          <w:iCs/>
          <w:noProof/>
          <w:color w:val="000000"/>
          <w:sz w:val="24"/>
          <w:szCs w:val="24"/>
        </w:rPr>
        <w:t>Pengaruh Ekspor Migas Dan Non Migas Terhadap Posis</w:t>
      </w:r>
      <w:r w:rsidR="00C62C1C">
        <w:rPr>
          <w:iCs/>
          <w:noProof/>
          <w:color w:val="000000"/>
          <w:sz w:val="24"/>
          <w:szCs w:val="24"/>
        </w:rPr>
        <w:t>i Cadangan Devisa Di Indonesia (</w:t>
      </w:r>
      <w:r w:rsidRPr="006E65BB">
        <w:rPr>
          <w:iCs/>
          <w:noProof/>
          <w:color w:val="000000"/>
          <w:sz w:val="24"/>
          <w:szCs w:val="24"/>
        </w:rPr>
        <w:t xml:space="preserve">The Influence of Oil and Gas and Non-Oil and Gas Exports on the Position of Foreign </w:t>
      </w:r>
      <w:r w:rsidR="00C62C1C">
        <w:rPr>
          <w:iCs/>
          <w:noProof/>
          <w:color w:val="000000"/>
          <w:sz w:val="24"/>
          <w:szCs w:val="24"/>
        </w:rPr>
        <w:t>Exchange Reserves in Indonesia)</w:t>
      </w:r>
      <w:r w:rsidRPr="006E65BB">
        <w:rPr>
          <w:noProof/>
          <w:color w:val="000000"/>
          <w:sz w:val="24"/>
          <w:szCs w:val="24"/>
        </w:rPr>
        <w:t>.</w:t>
      </w:r>
      <w:r w:rsidRPr="006E65BB">
        <w:rPr>
          <w:color w:val="000000"/>
          <w:sz w:val="24"/>
          <w:szCs w:val="24"/>
        </w:rPr>
        <w:t xml:space="preserve"> </w:t>
      </w:r>
      <w:r w:rsidRPr="006E65BB">
        <w:rPr>
          <w:i/>
          <w:color w:val="000000"/>
          <w:sz w:val="24"/>
          <w:szCs w:val="24"/>
        </w:rPr>
        <w:t xml:space="preserve">Jurnal </w:t>
      </w:r>
      <w:r w:rsidRPr="006E65BB">
        <w:rPr>
          <w:i/>
          <w:color w:val="000000"/>
          <w:sz w:val="24"/>
          <w:szCs w:val="24"/>
        </w:rPr>
        <w:lastRenderedPageBreak/>
        <w:t>Wira Ekonomi Mikroskil</w:t>
      </w:r>
      <w:r w:rsidRPr="006E65BB">
        <w:rPr>
          <w:i/>
          <w:noProof/>
          <w:color w:val="000000"/>
          <w:sz w:val="24"/>
          <w:szCs w:val="24"/>
        </w:rPr>
        <w:t xml:space="preserve"> </w:t>
      </w:r>
      <w:r w:rsidRPr="006E65BB">
        <w:rPr>
          <w:noProof/>
          <w:color w:val="000000"/>
          <w:sz w:val="24"/>
          <w:szCs w:val="24"/>
        </w:rPr>
        <w:t xml:space="preserve"> </w:t>
      </w:r>
      <w:r w:rsidRPr="006E65BB">
        <w:rPr>
          <w:i/>
          <w:iCs/>
          <w:noProof/>
          <w:color w:val="000000"/>
          <w:sz w:val="24"/>
          <w:szCs w:val="24"/>
        </w:rPr>
        <w:t>7</w:t>
      </w:r>
      <w:r w:rsidRPr="006E65BB">
        <w:rPr>
          <w:iCs/>
          <w:noProof/>
          <w:color w:val="000000"/>
          <w:sz w:val="24"/>
          <w:szCs w:val="24"/>
        </w:rPr>
        <w:t>(2)</w:t>
      </w:r>
      <w:r w:rsidRPr="006E65BB">
        <w:rPr>
          <w:noProof/>
          <w:color w:val="000000"/>
          <w:sz w:val="24"/>
          <w:szCs w:val="24"/>
        </w:rPr>
        <w:t>, 245–254.</w:t>
      </w:r>
    </w:p>
    <w:p w:rsidR="00163EE1" w:rsidRPr="006E65BB" w:rsidRDefault="00163EE1" w:rsidP="006E65BB">
      <w:pPr>
        <w:widowControl w:val="0"/>
        <w:autoSpaceDE w:val="0"/>
        <w:autoSpaceDN w:val="0"/>
        <w:adjustRightInd w:val="0"/>
        <w:ind w:left="709" w:right="237" w:hanging="480"/>
        <w:jc w:val="both"/>
        <w:rPr>
          <w:noProof/>
          <w:color w:val="000000"/>
          <w:sz w:val="24"/>
          <w:szCs w:val="24"/>
        </w:rPr>
      </w:pPr>
      <w:r w:rsidRPr="006E65BB">
        <w:rPr>
          <w:noProof/>
          <w:color w:val="000000"/>
          <w:sz w:val="24"/>
          <w:szCs w:val="24"/>
        </w:rPr>
        <w:t xml:space="preserve">Ramadhany, F., &amp; Ridlwan, A. A. </w:t>
      </w:r>
      <w:r w:rsidR="00C62C1C">
        <w:rPr>
          <w:noProof/>
          <w:color w:val="000000"/>
          <w:sz w:val="24"/>
          <w:szCs w:val="24"/>
        </w:rPr>
        <w:t>(</w:t>
      </w:r>
      <w:r w:rsidRPr="006E65BB">
        <w:rPr>
          <w:noProof/>
          <w:color w:val="000000"/>
          <w:sz w:val="24"/>
          <w:szCs w:val="24"/>
        </w:rPr>
        <w:t>2018</w:t>
      </w:r>
      <w:r w:rsidR="00C62C1C">
        <w:rPr>
          <w:noProof/>
          <w:color w:val="000000"/>
          <w:sz w:val="24"/>
          <w:szCs w:val="24"/>
        </w:rPr>
        <w:t xml:space="preserve">). </w:t>
      </w:r>
      <w:r w:rsidRPr="006E65BB">
        <w:rPr>
          <w:noProof/>
          <w:color w:val="000000"/>
          <w:sz w:val="24"/>
          <w:szCs w:val="24"/>
        </w:rPr>
        <w:t>Implikasi Pariwisata Syariah Terhadap Peningkatan Pendapata</w:t>
      </w:r>
      <w:r w:rsidR="00C62C1C">
        <w:rPr>
          <w:noProof/>
          <w:color w:val="000000"/>
          <w:sz w:val="24"/>
          <w:szCs w:val="24"/>
        </w:rPr>
        <w:t>n dan Kesejahteraan Masyarakat (</w:t>
      </w:r>
      <w:r w:rsidRPr="006E65BB">
        <w:rPr>
          <w:noProof/>
          <w:color w:val="000000"/>
          <w:sz w:val="24"/>
          <w:szCs w:val="24"/>
        </w:rPr>
        <w:t>Implications of Sharia Tourism on Increase</w:t>
      </w:r>
      <w:r w:rsidR="00C62C1C">
        <w:rPr>
          <w:noProof/>
          <w:color w:val="000000"/>
          <w:sz w:val="24"/>
          <w:szCs w:val="24"/>
        </w:rPr>
        <w:t>d Income and Community Welfare)</w:t>
      </w:r>
      <w:r w:rsidRPr="006E65BB">
        <w:rPr>
          <w:noProof/>
          <w:color w:val="000000"/>
          <w:sz w:val="24"/>
          <w:szCs w:val="24"/>
        </w:rPr>
        <w:t xml:space="preserve">. </w:t>
      </w:r>
      <w:r w:rsidRPr="006E65BB">
        <w:rPr>
          <w:i/>
          <w:noProof/>
          <w:color w:val="000000"/>
          <w:sz w:val="24"/>
          <w:szCs w:val="24"/>
        </w:rPr>
        <w:t>Muslim Heritage</w:t>
      </w:r>
      <w:r w:rsidRPr="006E65BB">
        <w:rPr>
          <w:noProof/>
          <w:color w:val="000000"/>
          <w:sz w:val="24"/>
          <w:szCs w:val="24"/>
        </w:rPr>
        <w:t xml:space="preserve"> 3(1), 147–164.</w:t>
      </w:r>
    </w:p>
    <w:p w:rsidR="00163EE1" w:rsidRPr="006E65BB" w:rsidRDefault="00163EE1" w:rsidP="006E65BB">
      <w:pPr>
        <w:widowControl w:val="0"/>
        <w:autoSpaceDE w:val="0"/>
        <w:autoSpaceDN w:val="0"/>
        <w:adjustRightInd w:val="0"/>
        <w:ind w:left="709" w:right="237" w:hanging="480"/>
        <w:jc w:val="both"/>
        <w:rPr>
          <w:noProof/>
          <w:color w:val="000000"/>
          <w:sz w:val="24"/>
          <w:szCs w:val="24"/>
        </w:rPr>
      </w:pPr>
      <w:r w:rsidRPr="006E65BB">
        <w:rPr>
          <w:noProof/>
          <w:color w:val="000000"/>
          <w:sz w:val="24"/>
          <w:szCs w:val="24"/>
        </w:rPr>
        <w:t xml:space="preserve">Reny, &amp; Agustina. </w:t>
      </w:r>
      <w:r w:rsidR="00C62C1C">
        <w:rPr>
          <w:noProof/>
          <w:color w:val="000000"/>
          <w:sz w:val="24"/>
          <w:szCs w:val="24"/>
        </w:rPr>
        <w:t>(</w:t>
      </w:r>
      <w:r w:rsidRPr="006E65BB">
        <w:rPr>
          <w:noProof/>
          <w:color w:val="000000"/>
          <w:sz w:val="24"/>
          <w:szCs w:val="24"/>
        </w:rPr>
        <w:t>2014</w:t>
      </w:r>
      <w:r w:rsidR="00C62C1C">
        <w:rPr>
          <w:noProof/>
          <w:color w:val="000000"/>
          <w:sz w:val="24"/>
          <w:szCs w:val="24"/>
        </w:rPr>
        <w:t>)</w:t>
      </w:r>
      <w:r w:rsidRPr="006E65BB">
        <w:rPr>
          <w:noProof/>
          <w:color w:val="000000"/>
          <w:sz w:val="24"/>
          <w:szCs w:val="24"/>
        </w:rPr>
        <w:t>. Pengaruh Eksp</w:t>
      </w:r>
      <w:r w:rsidR="00C62C1C">
        <w:rPr>
          <w:noProof/>
          <w:color w:val="000000"/>
          <w:sz w:val="24"/>
          <w:szCs w:val="24"/>
        </w:rPr>
        <w:t>or, Impor, Nilai Tukar Rupiah, d</w:t>
      </w:r>
      <w:r w:rsidRPr="006E65BB">
        <w:rPr>
          <w:noProof/>
          <w:color w:val="000000"/>
          <w:sz w:val="24"/>
          <w:szCs w:val="24"/>
        </w:rPr>
        <w:t xml:space="preserve">an Tingkat Inflasi Terhadap Cadangan Devisa </w:t>
      </w:r>
      <w:r w:rsidR="00C62C1C">
        <w:rPr>
          <w:noProof/>
          <w:color w:val="000000"/>
          <w:sz w:val="24"/>
          <w:szCs w:val="24"/>
        </w:rPr>
        <w:t>Indonesia (</w:t>
      </w:r>
      <w:r w:rsidRPr="006E65BB">
        <w:rPr>
          <w:noProof/>
          <w:color w:val="000000"/>
          <w:sz w:val="24"/>
          <w:szCs w:val="24"/>
        </w:rPr>
        <w:t>The Influence of Exports, Imports, Rupiah Exchange Rate, and Inflation Rate on Indones</w:t>
      </w:r>
      <w:r w:rsidR="00C62C1C">
        <w:rPr>
          <w:noProof/>
          <w:color w:val="000000"/>
          <w:sz w:val="24"/>
          <w:szCs w:val="24"/>
        </w:rPr>
        <w:t>ia's Foreign Exchange Reserves)</w:t>
      </w:r>
      <w:r w:rsidRPr="006E65BB">
        <w:rPr>
          <w:noProof/>
          <w:color w:val="000000"/>
          <w:sz w:val="24"/>
          <w:szCs w:val="24"/>
        </w:rPr>
        <w:t xml:space="preserve">. </w:t>
      </w:r>
      <w:r w:rsidRPr="006E65BB">
        <w:rPr>
          <w:i/>
          <w:iCs/>
          <w:noProof/>
          <w:color w:val="000000"/>
          <w:sz w:val="24"/>
          <w:szCs w:val="24"/>
        </w:rPr>
        <w:t>Jurnal Wira Ekonomi Mikroskil</w:t>
      </w:r>
      <w:r w:rsidRPr="006E65BB">
        <w:rPr>
          <w:noProof/>
          <w:color w:val="000000"/>
          <w:sz w:val="24"/>
          <w:szCs w:val="24"/>
        </w:rPr>
        <w:t xml:space="preserve">, </w:t>
      </w:r>
      <w:r w:rsidRPr="006E65BB">
        <w:rPr>
          <w:i/>
          <w:iCs/>
          <w:noProof/>
          <w:color w:val="000000"/>
          <w:sz w:val="24"/>
          <w:szCs w:val="24"/>
        </w:rPr>
        <w:t>4</w:t>
      </w:r>
      <w:r w:rsidRPr="006E65BB">
        <w:rPr>
          <w:noProof/>
          <w:color w:val="000000"/>
          <w:sz w:val="24"/>
          <w:szCs w:val="24"/>
        </w:rPr>
        <w:t>(2), 61–70.</w:t>
      </w:r>
    </w:p>
    <w:p w:rsidR="00163EE1" w:rsidRPr="006E65BB" w:rsidRDefault="00163EE1" w:rsidP="006E65BB">
      <w:pPr>
        <w:widowControl w:val="0"/>
        <w:autoSpaceDE w:val="0"/>
        <w:autoSpaceDN w:val="0"/>
        <w:adjustRightInd w:val="0"/>
        <w:ind w:left="709" w:right="237" w:hanging="480"/>
        <w:jc w:val="both"/>
        <w:rPr>
          <w:noProof/>
          <w:color w:val="000000"/>
          <w:sz w:val="24"/>
          <w:szCs w:val="24"/>
        </w:rPr>
      </w:pPr>
      <w:r w:rsidRPr="006E65BB">
        <w:rPr>
          <w:noProof/>
          <w:color w:val="000000"/>
          <w:sz w:val="24"/>
          <w:szCs w:val="24"/>
        </w:rPr>
        <w:t xml:space="preserve">Satriana, D. D., &amp; Zuhroh, I. </w:t>
      </w:r>
      <w:r w:rsidR="00C62C1C">
        <w:rPr>
          <w:noProof/>
          <w:color w:val="000000"/>
          <w:sz w:val="24"/>
          <w:szCs w:val="24"/>
        </w:rPr>
        <w:t>(</w:t>
      </w:r>
      <w:r w:rsidRPr="006E65BB">
        <w:rPr>
          <w:noProof/>
          <w:color w:val="000000"/>
          <w:sz w:val="24"/>
          <w:szCs w:val="24"/>
        </w:rPr>
        <w:t>2018</w:t>
      </w:r>
      <w:r w:rsidR="00C62C1C">
        <w:rPr>
          <w:noProof/>
          <w:color w:val="000000"/>
          <w:sz w:val="24"/>
          <w:szCs w:val="24"/>
        </w:rPr>
        <w:t>)</w:t>
      </w:r>
      <w:r w:rsidRPr="006E65BB">
        <w:rPr>
          <w:noProof/>
          <w:color w:val="000000"/>
          <w:sz w:val="24"/>
          <w:szCs w:val="24"/>
        </w:rPr>
        <w:t xml:space="preserve">. </w:t>
      </w:r>
      <w:r w:rsidRPr="006E65BB">
        <w:rPr>
          <w:iCs/>
          <w:noProof/>
          <w:color w:val="000000"/>
          <w:sz w:val="24"/>
          <w:szCs w:val="24"/>
        </w:rPr>
        <w:t>Analisa Cadangan Devisa Indonesia Tahun 1990</w:t>
      </w:r>
      <w:r w:rsidR="00C62C1C">
        <w:rPr>
          <w:iCs/>
          <w:noProof/>
          <w:color w:val="000000"/>
          <w:sz w:val="24"/>
          <w:szCs w:val="24"/>
        </w:rPr>
        <w:t>-2016 (</w:t>
      </w:r>
      <w:r w:rsidRPr="006E65BB">
        <w:rPr>
          <w:iCs/>
          <w:noProof/>
          <w:color w:val="000000"/>
          <w:sz w:val="24"/>
          <w:szCs w:val="24"/>
        </w:rPr>
        <w:t>Analysis of Indonesia's Forei</w:t>
      </w:r>
      <w:r w:rsidR="00C62C1C">
        <w:rPr>
          <w:iCs/>
          <w:noProof/>
          <w:color w:val="000000"/>
          <w:sz w:val="24"/>
          <w:szCs w:val="24"/>
        </w:rPr>
        <w:t>gn Exchange Reserves 1990-2016)</w:t>
      </w:r>
      <w:r w:rsidRPr="006E65BB">
        <w:rPr>
          <w:iCs/>
          <w:noProof/>
          <w:color w:val="000000"/>
          <w:sz w:val="24"/>
          <w:szCs w:val="24"/>
        </w:rPr>
        <w:t xml:space="preserve">. </w:t>
      </w:r>
      <w:r w:rsidRPr="006E65BB">
        <w:rPr>
          <w:i/>
          <w:iCs/>
          <w:noProof/>
          <w:color w:val="000000"/>
          <w:sz w:val="24"/>
          <w:szCs w:val="24"/>
        </w:rPr>
        <w:t>Jurnal Ilmu Ekonomi</w:t>
      </w:r>
      <w:r w:rsidRPr="006E65BB">
        <w:rPr>
          <w:iCs/>
          <w:noProof/>
          <w:color w:val="000000"/>
          <w:sz w:val="24"/>
          <w:szCs w:val="24"/>
        </w:rPr>
        <w:t xml:space="preserve"> </w:t>
      </w:r>
      <w:r w:rsidRPr="006E65BB">
        <w:rPr>
          <w:i/>
          <w:iCs/>
          <w:noProof/>
          <w:color w:val="000000"/>
          <w:sz w:val="24"/>
          <w:szCs w:val="24"/>
        </w:rPr>
        <w:t>Universitas Muhammadiyah Malang</w:t>
      </w:r>
      <w:r w:rsidRPr="006E65BB">
        <w:rPr>
          <w:iCs/>
          <w:noProof/>
          <w:color w:val="000000"/>
          <w:sz w:val="24"/>
          <w:szCs w:val="24"/>
        </w:rPr>
        <w:t>,</w:t>
      </w:r>
      <w:r w:rsidRPr="006E65BB">
        <w:rPr>
          <w:i/>
          <w:iCs/>
          <w:noProof/>
          <w:color w:val="000000"/>
          <w:sz w:val="24"/>
          <w:szCs w:val="24"/>
        </w:rPr>
        <w:t xml:space="preserve"> </w:t>
      </w:r>
      <w:r w:rsidRPr="006E65BB">
        <w:rPr>
          <w:iCs/>
          <w:noProof/>
          <w:color w:val="000000"/>
          <w:sz w:val="24"/>
          <w:szCs w:val="24"/>
        </w:rPr>
        <w:t>2(1)</w:t>
      </w:r>
      <w:r w:rsidRPr="006E65BB">
        <w:rPr>
          <w:noProof/>
          <w:color w:val="000000"/>
          <w:sz w:val="24"/>
          <w:szCs w:val="24"/>
        </w:rPr>
        <w:t>, 119–131.</w:t>
      </w:r>
    </w:p>
    <w:p w:rsidR="00163EE1" w:rsidRPr="006E65BB" w:rsidRDefault="00C62C1C" w:rsidP="006E65BB">
      <w:pPr>
        <w:widowControl w:val="0"/>
        <w:autoSpaceDE w:val="0"/>
        <w:autoSpaceDN w:val="0"/>
        <w:adjustRightInd w:val="0"/>
        <w:ind w:left="709" w:right="237" w:hanging="480"/>
        <w:jc w:val="both"/>
        <w:rPr>
          <w:noProof/>
          <w:color w:val="000000"/>
          <w:sz w:val="24"/>
          <w:szCs w:val="24"/>
        </w:rPr>
      </w:pPr>
      <w:r>
        <w:rPr>
          <w:noProof/>
          <w:color w:val="000000"/>
          <w:sz w:val="24"/>
          <w:szCs w:val="24"/>
        </w:rPr>
        <w:t xml:space="preserve">Santi, F. (2016). </w:t>
      </w:r>
      <w:r w:rsidR="00163EE1" w:rsidRPr="006E65BB">
        <w:rPr>
          <w:noProof/>
          <w:color w:val="000000"/>
          <w:sz w:val="24"/>
          <w:szCs w:val="24"/>
        </w:rPr>
        <w:t>Dampak Aliran Investasi Dan Barang/Jasa Pariwisata Internasional Terhadap Permintaan Pariwisata Indon</w:t>
      </w:r>
      <w:r>
        <w:rPr>
          <w:noProof/>
          <w:color w:val="000000"/>
          <w:sz w:val="24"/>
          <w:szCs w:val="24"/>
        </w:rPr>
        <w:t>esia (</w:t>
      </w:r>
      <w:r w:rsidR="00163EE1" w:rsidRPr="006E65BB">
        <w:rPr>
          <w:noProof/>
          <w:color w:val="000000"/>
          <w:sz w:val="24"/>
          <w:szCs w:val="24"/>
        </w:rPr>
        <w:t xml:space="preserve">The Impact of the Flow of Investment </w:t>
      </w:r>
      <w:r>
        <w:rPr>
          <w:noProof/>
          <w:color w:val="000000"/>
          <w:sz w:val="24"/>
          <w:szCs w:val="24"/>
        </w:rPr>
        <w:t>and International Tourism Goods/</w:t>
      </w:r>
      <w:r w:rsidR="00163EE1" w:rsidRPr="006E65BB">
        <w:rPr>
          <w:noProof/>
          <w:color w:val="000000"/>
          <w:sz w:val="24"/>
          <w:szCs w:val="24"/>
        </w:rPr>
        <w:t>Service</w:t>
      </w:r>
      <w:r>
        <w:rPr>
          <w:noProof/>
          <w:color w:val="000000"/>
          <w:sz w:val="24"/>
          <w:szCs w:val="24"/>
        </w:rPr>
        <w:t>s on Indonesian Tourism Demand)</w:t>
      </w:r>
      <w:r w:rsidR="00163EE1" w:rsidRPr="006E65BB">
        <w:rPr>
          <w:noProof/>
          <w:color w:val="000000"/>
          <w:sz w:val="24"/>
          <w:szCs w:val="24"/>
        </w:rPr>
        <w:t xml:space="preserve">. </w:t>
      </w:r>
      <w:r w:rsidR="00163EE1" w:rsidRPr="006E65BB">
        <w:rPr>
          <w:i/>
          <w:noProof/>
          <w:color w:val="000000"/>
          <w:sz w:val="24"/>
          <w:szCs w:val="24"/>
        </w:rPr>
        <w:t xml:space="preserve">Jurnal Bisnis Darmajaya, </w:t>
      </w:r>
      <w:r w:rsidR="00163EE1" w:rsidRPr="006E65BB">
        <w:rPr>
          <w:noProof/>
          <w:color w:val="000000"/>
          <w:sz w:val="24"/>
          <w:szCs w:val="24"/>
        </w:rPr>
        <w:t>2(2), 105-133.</w:t>
      </w:r>
    </w:p>
    <w:p w:rsidR="00163EE1" w:rsidRPr="006E65BB" w:rsidRDefault="00163EE1" w:rsidP="006E65BB">
      <w:pPr>
        <w:widowControl w:val="0"/>
        <w:autoSpaceDE w:val="0"/>
        <w:autoSpaceDN w:val="0"/>
        <w:adjustRightInd w:val="0"/>
        <w:ind w:left="709" w:right="237" w:hanging="480"/>
        <w:jc w:val="both"/>
        <w:rPr>
          <w:noProof/>
          <w:color w:val="000000"/>
          <w:sz w:val="24"/>
          <w:szCs w:val="24"/>
        </w:rPr>
      </w:pPr>
      <w:r w:rsidRPr="006E65BB">
        <w:rPr>
          <w:noProof/>
          <w:color w:val="000000"/>
          <w:sz w:val="24"/>
          <w:szCs w:val="24"/>
        </w:rPr>
        <w:t xml:space="preserve">Satriana, E. D., &amp; Faridah, H. D. </w:t>
      </w:r>
      <w:r w:rsidR="00C62C1C">
        <w:rPr>
          <w:noProof/>
          <w:color w:val="000000"/>
          <w:sz w:val="24"/>
          <w:szCs w:val="24"/>
        </w:rPr>
        <w:t>(</w:t>
      </w:r>
      <w:r w:rsidRPr="006E65BB">
        <w:rPr>
          <w:noProof/>
          <w:color w:val="000000"/>
          <w:sz w:val="24"/>
          <w:szCs w:val="24"/>
        </w:rPr>
        <w:t>2018</w:t>
      </w:r>
      <w:r w:rsidR="00C62C1C">
        <w:rPr>
          <w:noProof/>
          <w:color w:val="000000"/>
          <w:sz w:val="24"/>
          <w:szCs w:val="24"/>
        </w:rPr>
        <w:t>)</w:t>
      </w:r>
      <w:r w:rsidRPr="006E65BB">
        <w:rPr>
          <w:noProof/>
          <w:color w:val="000000"/>
          <w:sz w:val="24"/>
          <w:szCs w:val="24"/>
        </w:rPr>
        <w:t>. Halal Tourism: De</w:t>
      </w:r>
      <w:r w:rsidR="00C62C1C">
        <w:rPr>
          <w:noProof/>
          <w:color w:val="000000"/>
          <w:sz w:val="24"/>
          <w:szCs w:val="24"/>
        </w:rPr>
        <w:t>velopment, Chance and Challenge</w:t>
      </w:r>
      <w:r w:rsidRPr="006E65BB">
        <w:rPr>
          <w:noProof/>
          <w:color w:val="000000"/>
          <w:sz w:val="24"/>
          <w:szCs w:val="24"/>
        </w:rPr>
        <w:t xml:space="preserve">. </w:t>
      </w:r>
      <w:r w:rsidRPr="006E65BB">
        <w:rPr>
          <w:i/>
          <w:iCs/>
          <w:noProof/>
          <w:color w:val="000000"/>
          <w:sz w:val="24"/>
          <w:szCs w:val="24"/>
        </w:rPr>
        <w:t>Journal of Halal Product and Research</w:t>
      </w:r>
      <w:r w:rsidRPr="006E65BB">
        <w:rPr>
          <w:noProof/>
          <w:color w:val="000000"/>
          <w:sz w:val="24"/>
          <w:szCs w:val="24"/>
        </w:rPr>
        <w:t xml:space="preserve">, </w:t>
      </w:r>
      <w:r w:rsidRPr="006E65BB">
        <w:rPr>
          <w:i/>
          <w:iCs/>
          <w:noProof/>
          <w:color w:val="000000"/>
          <w:sz w:val="24"/>
          <w:szCs w:val="24"/>
        </w:rPr>
        <w:t>1</w:t>
      </w:r>
      <w:r w:rsidRPr="006E65BB">
        <w:rPr>
          <w:noProof/>
          <w:color w:val="000000"/>
          <w:sz w:val="24"/>
          <w:szCs w:val="24"/>
        </w:rPr>
        <w:t>(2), 32-43.</w:t>
      </w:r>
    </w:p>
    <w:p w:rsidR="00163EE1" w:rsidRPr="006E65BB" w:rsidRDefault="00163EE1" w:rsidP="006E65BB">
      <w:pPr>
        <w:widowControl w:val="0"/>
        <w:autoSpaceDE w:val="0"/>
        <w:autoSpaceDN w:val="0"/>
        <w:adjustRightInd w:val="0"/>
        <w:ind w:left="709" w:right="237" w:hanging="480"/>
        <w:jc w:val="both"/>
        <w:rPr>
          <w:noProof/>
          <w:color w:val="000000"/>
          <w:sz w:val="24"/>
          <w:szCs w:val="24"/>
        </w:rPr>
      </w:pPr>
      <w:r w:rsidRPr="006E65BB">
        <w:rPr>
          <w:noProof/>
          <w:color w:val="000000"/>
          <w:sz w:val="24"/>
          <w:szCs w:val="24"/>
        </w:rPr>
        <w:t xml:space="preserve">Sayoga, P., &amp; Tan, S. </w:t>
      </w:r>
      <w:r w:rsidR="00C62C1C">
        <w:rPr>
          <w:noProof/>
          <w:color w:val="000000"/>
          <w:sz w:val="24"/>
          <w:szCs w:val="24"/>
        </w:rPr>
        <w:t>(</w:t>
      </w:r>
      <w:r w:rsidRPr="006E65BB">
        <w:rPr>
          <w:noProof/>
          <w:color w:val="000000"/>
          <w:sz w:val="24"/>
          <w:szCs w:val="24"/>
        </w:rPr>
        <w:t>2017</w:t>
      </w:r>
      <w:r w:rsidR="00C62C1C">
        <w:rPr>
          <w:noProof/>
          <w:color w:val="000000"/>
          <w:sz w:val="24"/>
          <w:szCs w:val="24"/>
        </w:rPr>
        <w:t>)</w:t>
      </w:r>
      <w:r w:rsidRPr="006E65BB">
        <w:rPr>
          <w:noProof/>
          <w:color w:val="000000"/>
          <w:sz w:val="24"/>
          <w:szCs w:val="24"/>
        </w:rPr>
        <w:t xml:space="preserve">. </w:t>
      </w:r>
      <w:r w:rsidRPr="006E65BB">
        <w:rPr>
          <w:iCs/>
          <w:noProof/>
          <w:color w:val="000000"/>
          <w:sz w:val="24"/>
          <w:szCs w:val="24"/>
        </w:rPr>
        <w:t>Analisis Cadangan Devisa Indonesia dan Fakt</w:t>
      </w:r>
      <w:r w:rsidR="00C62C1C">
        <w:rPr>
          <w:iCs/>
          <w:noProof/>
          <w:color w:val="000000"/>
          <w:sz w:val="24"/>
          <w:szCs w:val="24"/>
        </w:rPr>
        <w:t>or-Faktor Yang Mempengaruhinya (</w:t>
      </w:r>
      <w:r w:rsidRPr="006E65BB">
        <w:rPr>
          <w:iCs/>
          <w:noProof/>
          <w:color w:val="000000"/>
          <w:sz w:val="24"/>
          <w:szCs w:val="24"/>
        </w:rPr>
        <w:t xml:space="preserve">Analysis of Indonesia's Foreign Exchange Reserves </w:t>
      </w:r>
      <w:r w:rsidR="00C62C1C">
        <w:rPr>
          <w:iCs/>
          <w:noProof/>
          <w:color w:val="000000"/>
          <w:sz w:val="24"/>
          <w:szCs w:val="24"/>
        </w:rPr>
        <w:t>and the Factors Affecting Them)</w:t>
      </w:r>
      <w:r w:rsidRPr="006E65BB">
        <w:rPr>
          <w:noProof/>
          <w:color w:val="000000"/>
          <w:sz w:val="24"/>
          <w:szCs w:val="24"/>
        </w:rPr>
        <w:t xml:space="preserve">. </w:t>
      </w:r>
      <w:r w:rsidRPr="006E65BB">
        <w:rPr>
          <w:i/>
          <w:noProof/>
          <w:color w:val="000000"/>
          <w:sz w:val="24"/>
          <w:szCs w:val="24"/>
        </w:rPr>
        <w:t>Jurnal Paradigma Ekonomika</w:t>
      </w:r>
      <w:r w:rsidRPr="006E65BB">
        <w:rPr>
          <w:noProof/>
          <w:color w:val="000000"/>
          <w:sz w:val="24"/>
          <w:szCs w:val="24"/>
        </w:rPr>
        <w:t xml:space="preserve">, </w:t>
      </w:r>
      <w:r w:rsidRPr="006E65BB">
        <w:rPr>
          <w:i/>
          <w:iCs/>
          <w:noProof/>
          <w:color w:val="000000"/>
          <w:sz w:val="24"/>
          <w:szCs w:val="24"/>
        </w:rPr>
        <w:t>12</w:t>
      </w:r>
      <w:r w:rsidRPr="006E65BB">
        <w:rPr>
          <w:noProof/>
          <w:color w:val="000000"/>
          <w:sz w:val="24"/>
          <w:szCs w:val="24"/>
        </w:rPr>
        <w:t>(1), 25–30.</w:t>
      </w:r>
    </w:p>
    <w:p w:rsidR="00163EE1" w:rsidRPr="006E65BB" w:rsidRDefault="00163EE1" w:rsidP="006E65BB">
      <w:pPr>
        <w:widowControl w:val="0"/>
        <w:autoSpaceDE w:val="0"/>
        <w:autoSpaceDN w:val="0"/>
        <w:adjustRightInd w:val="0"/>
        <w:ind w:left="709" w:right="237" w:hanging="480"/>
        <w:jc w:val="both"/>
        <w:rPr>
          <w:noProof/>
          <w:color w:val="000000"/>
          <w:sz w:val="24"/>
          <w:szCs w:val="24"/>
        </w:rPr>
      </w:pPr>
      <w:r w:rsidRPr="006E65BB">
        <w:rPr>
          <w:noProof/>
          <w:color w:val="000000"/>
          <w:sz w:val="24"/>
          <w:szCs w:val="24"/>
        </w:rPr>
        <w:t xml:space="preserve">Sugiyono. </w:t>
      </w:r>
      <w:r w:rsidR="00C62C1C">
        <w:rPr>
          <w:noProof/>
          <w:color w:val="000000"/>
          <w:sz w:val="24"/>
          <w:szCs w:val="24"/>
        </w:rPr>
        <w:t>(</w:t>
      </w:r>
      <w:r w:rsidRPr="006E65BB">
        <w:rPr>
          <w:noProof/>
          <w:color w:val="000000"/>
          <w:sz w:val="24"/>
          <w:szCs w:val="24"/>
        </w:rPr>
        <w:t>2011</w:t>
      </w:r>
      <w:r w:rsidR="00C62C1C">
        <w:rPr>
          <w:noProof/>
          <w:color w:val="000000"/>
          <w:sz w:val="24"/>
          <w:szCs w:val="24"/>
        </w:rPr>
        <w:t xml:space="preserve">). </w:t>
      </w:r>
      <w:r w:rsidRPr="006E65BB">
        <w:rPr>
          <w:i/>
          <w:noProof/>
          <w:color w:val="000000"/>
          <w:sz w:val="24"/>
          <w:szCs w:val="24"/>
        </w:rPr>
        <w:t>Metode Penelitian Kuantitatif, Kualitatif dan</w:t>
      </w:r>
      <w:r w:rsidRPr="006E65BB">
        <w:rPr>
          <w:noProof/>
          <w:color w:val="000000"/>
          <w:sz w:val="24"/>
          <w:szCs w:val="24"/>
        </w:rPr>
        <w:t xml:space="preserve"> </w:t>
      </w:r>
      <w:r w:rsidR="00C62C1C">
        <w:rPr>
          <w:i/>
          <w:noProof/>
          <w:color w:val="000000"/>
          <w:sz w:val="24"/>
          <w:szCs w:val="24"/>
        </w:rPr>
        <w:t xml:space="preserve">R&amp;D </w:t>
      </w:r>
      <w:r w:rsidR="00C62C1C">
        <w:rPr>
          <w:noProof/>
          <w:color w:val="000000"/>
          <w:sz w:val="24"/>
          <w:szCs w:val="24"/>
        </w:rPr>
        <w:t>(</w:t>
      </w:r>
      <w:r w:rsidRPr="006E65BB">
        <w:rPr>
          <w:i/>
          <w:noProof/>
          <w:color w:val="000000"/>
          <w:sz w:val="24"/>
          <w:szCs w:val="24"/>
        </w:rPr>
        <w:t xml:space="preserve">Quantitative Research </w:t>
      </w:r>
      <w:r w:rsidR="00C62C1C">
        <w:rPr>
          <w:i/>
          <w:noProof/>
          <w:color w:val="000000"/>
          <w:sz w:val="24"/>
          <w:szCs w:val="24"/>
        </w:rPr>
        <w:t>Methods, Qualitative and R &amp; D</w:t>
      </w:r>
      <w:r w:rsidR="00C62C1C" w:rsidRPr="00C62C1C">
        <w:rPr>
          <w:noProof/>
          <w:color w:val="000000"/>
          <w:sz w:val="24"/>
          <w:szCs w:val="24"/>
        </w:rPr>
        <w:t>)</w:t>
      </w:r>
      <w:r w:rsidRPr="006E65BB">
        <w:rPr>
          <w:noProof/>
          <w:color w:val="000000"/>
          <w:sz w:val="24"/>
          <w:szCs w:val="24"/>
        </w:rPr>
        <w:t>. Bandung: Afabeta</w:t>
      </w:r>
    </w:p>
    <w:p w:rsidR="00163EE1" w:rsidRPr="006E65BB" w:rsidRDefault="00163EE1" w:rsidP="006E65BB">
      <w:pPr>
        <w:widowControl w:val="0"/>
        <w:autoSpaceDE w:val="0"/>
        <w:autoSpaceDN w:val="0"/>
        <w:adjustRightInd w:val="0"/>
        <w:ind w:left="709" w:right="237" w:hanging="480"/>
        <w:jc w:val="both"/>
        <w:rPr>
          <w:noProof/>
          <w:color w:val="000000"/>
          <w:sz w:val="24"/>
          <w:szCs w:val="24"/>
        </w:rPr>
      </w:pPr>
      <w:r w:rsidRPr="006E65BB">
        <w:rPr>
          <w:noProof/>
          <w:color w:val="000000"/>
          <w:sz w:val="24"/>
          <w:szCs w:val="24"/>
        </w:rPr>
        <w:t xml:space="preserve">Uli, L. B. </w:t>
      </w:r>
      <w:r w:rsidR="00C62C1C">
        <w:rPr>
          <w:noProof/>
          <w:color w:val="000000"/>
          <w:sz w:val="24"/>
          <w:szCs w:val="24"/>
        </w:rPr>
        <w:t>(</w:t>
      </w:r>
      <w:r w:rsidRPr="006E65BB">
        <w:rPr>
          <w:noProof/>
          <w:color w:val="000000"/>
          <w:sz w:val="24"/>
          <w:szCs w:val="24"/>
        </w:rPr>
        <w:t>2016</w:t>
      </w:r>
      <w:r w:rsidR="00C62C1C">
        <w:rPr>
          <w:noProof/>
          <w:color w:val="000000"/>
          <w:sz w:val="24"/>
          <w:szCs w:val="24"/>
        </w:rPr>
        <w:t>)</w:t>
      </w:r>
      <w:r w:rsidRPr="006E65BB">
        <w:rPr>
          <w:noProof/>
          <w:color w:val="000000"/>
          <w:sz w:val="24"/>
          <w:szCs w:val="24"/>
        </w:rPr>
        <w:t>. Anal</w:t>
      </w:r>
      <w:r w:rsidR="00C62C1C">
        <w:rPr>
          <w:noProof/>
          <w:color w:val="000000"/>
          <w:sz w:val="24"/>
          <w:szCs w:val="24"/>
        </w:rPr>
        <w:t>isis Cadangan Devisa Indonesia (</w:t>
      </w:r>
      <w:r w:rsidRPr="006E65BB">
        <w:rPr>
          <w:noProof/>
          <w:color w:val="000000"/>
          <w:sz w:val="24"/>
          <w:szCs w:val="24"/>
        </w:rPr>
        <w:t xml:space="preserve">Analysis of Indonesia's Foreign Exchange </w:t>
      </w:r>
      <w:r w:rsidR="00C62C1C">
        <w:rPr>
          <w:noProof/>
          <w:color w:val="000000"/>
          <w:sz w:val="24"/>
          <w:szCs w:val="24"/>
        </w:rPr>
        <w:t>Reserves)</w:t>
      </w:r>
      <w:r w:rsidRPr="006E65BB">
        <w:rPr>
          <w:noProof/>
          <w:color w:val="000000"/>
          <w:sz w:val="24"/>
          <w:szCs w:val="24"/>
        </w:rPr>
        <w:t xml:space="preserve">. </w:t>
      </w:r>
      <w:r w:rsidRPr="006E65BB">
        <w:rPr>
          <w:i/>
          <w:iCs/>
          <w:noProof/>
          <w:color w:val="000000"/>
          <w:sz w:val="24"/>
          <w:szCs w:val="24"/>
        </w:rPr>
        <w:t>Jurnal Perspektif Pembiayaan Dan Pembangunan Daerah Universitas Jambi</w:t>
      </w:r>
      <w:r w:rsidRPr="006E65BB">
        <w:rPr>
          <w:noProof/>
          <w:color w:val="000000"/>
          <w:sz w:val="24"/>
          <w:szCs w:val="24"/>
        </w:rPr>
        <w:t xml:space="preserve">, </w:t>
      </w:r>
      <w:r w:rsidRPr="006E65BB">
        <w:rPr>
          <w:i/>
          <w:iCs/>
          <w:noProof/>
          <w:color w:val="000000"/>
          <w:sz w:val="24"/>
          <w:szCs w:val="24"/>
        </w:rPr>
        <w:t>4</w:t>
      </w:r>
      <w:r w:rsidRPr="006E65BB">
        <w:rPr>
          <w:noProof/>
          <w:color w:val="000000"/>
          <w:sz w:val="24"/>
          <w:szCs w:val="24"/>
        </w:rPr>
        <w:t xml:space="preserve">(1), 15–24. </w:t>
      </w:r>
    </w:p>
    <w:p w:rsidR="00163EE1" w:rsidRPr="006E65BB" w:rsidRDefault="00163EE1" w:rsidP="006E65BB">
      <w:pPr>
        <w:widowControl w:val="0"/>
        <w:autoSpaceDE w:val="0"/>
        <w:autoSpaceDN w:val="0"/>
        <w:adjustRightInd w:val="0"/>
        <w:ind w:left="709" w:right="237" w:hanging="480"/>
        <w:jc w:val="both"/>
        <w:rPr>
          <w:noProof/>
          <w:color w:val="000000"/>
          <w:sz w:val="24"/>
          <w:szCs w:val="24"/>
        </w:rPr>
      </w:pPr>
      <w:r w:rsidRPr="006E65BB">
        <w:rPr>
          <w:noProof/>
          <w:color w:val="000000"/>
          <w:sz w:val="24"/>
          <w:szCs w:val="24"/>
        </w:rPr>
        <w:t xml:space="preserve">Widagdyo, K. G. </w:t>
      </w:r>
      <w:r w:rsidR="00C62C1C">
        <w:rPr>
          <w:noProof/>
          <w:color w:val="000000"/>
          <w:sz w:val="24"/>
          <w:szCs w:val="24"/>
        </w:rPr>
        <w:t>(</w:t>
      </w:r>
      <w:r w:rsidRPr="006E65BB">
        <w:rPr>
          <w:noProof/>
          <w:color w:val="000000"/>
          <w:sz w:val="24"/>
          <w:szCs w:val="24"/>
        </w:rPr>
        <w:t>2015</w:t>
      </w:r>
      <w:r w:rsidR="00C62C1C">
        <w:rPr>
          <w:noProof/>
          <w:color w:val="000000"/>
          <w:sz w:val="24"/>
          <w:szCs w:val="24"/>
        </w:rPr>
        <w:t xml:space="preserve">). </w:t>
      </w:r>
      <w:r w:rsidRPr="006E65BB">
        <w:rPr>
          <w:iCs/>
          <w:noProof/>
          <w:color w:val="000000"/>
          <w:sz w:val="24"/>
          <w:szCs w:val="24"/>
        </w:rPr>
        <w:t>Analisis Pa</w:t>
      </w:r>
      <w:r w:rsidR="00C62C1C">
        <w:rPr>
          <w:iCs/>
          <w:noProof/>
          <w:color w:val="000000"/>
          <w:sz w:val="24"/>
          <w:szCs w:val="24"/>
        </w:rPr>
        <w:t>sar Pariwisata Halal Indonesia (</w:t>
      </w:r>
      <w:r w:rsidRPr="006E65BB">
        <w:rPr>
          <w:iCs/>
          <w:noProof/>
          <w:color w:val="000000"/>
          <w:sz w:val="24"/>
          <w:szCs w:val="24"/>
        </w:rPr>
        <w:t>Analysis of the I</w:t>
      </w:r>
      <w:r w:rsidR="00C62C1C">
        <w:rPr>
          <w:iCs/>
          <w:noProof/>
          <w:color w:val="000000"/>
          <w:sz w:val="24"/>
          <w:szCs w:val="24"/>
        </w:rPr>
        <w:t>ndonesian Halal Tourism Market)</w:t>
      </w:r>
      <w:r w:rsidRPr="006E65BB">
        <w:rPr>
          <w:noProof/>
          <w:color w:val="000000"/>
          <w:sz w:val="24"/>
          <w:szCs w:val="24"/>
        </w:rPr>
        <w:t xml:space="preserve">. </w:t>
      </w:r>
      <w:r w:rsidRPr="006E65BB">
        <w:rPr>
          <w:i/>
          <w:noProof/>
          <w:color w:val="000000"/>
          <w:sz w:val="24"/>
          <w:szCs w:val="24"/>
        </w:rPr>
        <w:t>The Journal of Tauhidinomics</w:t>
      </w:r>
      <w:r w:rsidRPr="006E65BB">
        <w:rPr>
          <w:noProof/>
          <w:color w:val="000000"/>
          <w:sz w:val="24"/>
          <w:szCs w:val="24"/>
        </w:rPr>
        <w:t xml:space="preserve">, </w:t>
      </w:r>
      <w:r w:rsidRPr="006E65BB">
        <w:rPr>
          <w:i/>
          <w:iCs/>
          <w:noProof/>
          <w:color w:val="000000"/>
          <w:sz w:val="24"/>
          <w:szCs w:val="24"/>
        </w:rPr>
        <w:t>1</w:t>
      </w:r>
      <w:r w:rsidRPr="006E65BB">
        <w:rPr>
          <w:noProof/>
          <w:color w:val="000000"/>
          <w:sz w:val="24"/>
          <w:szCs w:val="24"/>
        </w:rPr>
        <w:t>(1), 73–80.</w:t>
      </w:r>
    </w:p>
    <w:p w:rsidR="00163EE1" w:rsidRPr="006E65BB" w:rsidRDefault="00163EE1" w:rsidP="006E65BB">
      <w:pPr>
        <w:widowControl w:val="0"/>
        <w:autoSpaceDE w:val="0"/>
        <w:autoSpaceDN w:val="0"/>
        <w:adjustRightInd w:val="0"/>
        <w:ind w:left="709" w:right="237" w:hanging="567"/>
        <w:jc w:val="both"/>
        <w:rPr>
          <w:noProof/>
          <w:color w:val="000000"/>
          <w:sz w:val="24"/>
          <w:szCs w:val="24"/>
        </w:rPr>
      </w:pPr>
      <w:r w:rsidRPr="006E65BB">
        <w:rPr>
          <w:color w:val="FF0000"/>
          <w:sz w:val="24"/>
          <w:szCs w:val="24"/>
        </w:rPr>
        <w:fldChar w:fldCharType="end"/>
      </w:r>
      <w:r w:rsidRPr="006E65BB">
        <w:rPr>
          <w:color w:val="000000"/>
          <w:sz w:val="24"/>
          <w:szCs w:val="24"/>
        </w:rPr>
        <w:t xml:space="preserve">Yulianti, Iin N. </w:t>
      </w:r>
      <w:r w:rsidR="00C62C1C">
        <w:rPr>
          <w:color w:val="000000"/>
          <w:sz w:val="24"/>
          <w:szCs w:val="24"/>
        </w:rPr>
        <w:t>(</w:t>
      </w:r>
      <w:r w:rsidRPr="006E65BB">
        <w:rPr>
          <w:noProof/>
          <w:color w:val="000000"/>
          <w:sz w:val="24"/>
          <w:szCs w:val="24"/>
        </w:rPr>
        <w:t>2014</w:t>
      </w:r>
      <w:r w:rsidR="00C62C1C">
        <w:rPr>
          <w:noProof/>
          <w:color w:val="000000"/>
          <w:sz w:val="24"/>
          <w:szCs w:val="24"/>
        </w:rPr>
        <w:t>)</w:t>
      </w:r>
      <w:r w:rsidRPr="006E65BB">
        <w:rPr>
          <w:noProof/>
          <w:color w:val="000000"/>
          <w:sz w:val="24"/>
          <w:szCs w:val="24"/>
        </w:rPr>
        <w:t>. Pengaruh Jumlah Uang Beredar (M2), Tingkat Suku Bunga Sbi, Impor, dan Cadangan Devisa Terhadap Nilai Tukar Rupiah / D</w:t>
      </w:r>
      <w:r w:rsidR="00C62C1C">
        <w:rPr>
          <w:noProof/>
          <w:color w:val="000000"/>
          <w:sz w:val="24"/>
          <w:szCs w:val="24"/>
        </w:rPr>
        <w:t>olar Amerika Tahun 2001 – 2013 (</w:t>
      </w:r>
      <w:r w:rsidRPr="006E65BB">
        <w:rPr>
          <w:noProof/>
          <w:color w:val="000000"/>
          <w:sz w:val="24"/>
          <w:szCs w:val="24"/>
        </w:rPr>
        <w:t xml:space="preserve">The Effect of Money Supply (M2), Sbi Interest Rates, Imports, and Foreign Exchange Reserves on the Exchange Rate of </w:t>
      </w:r>
      <w:r w:rsidR="00C62C1C">
        <w:rPr>
          <w:noProof/>
          <w:color w:val="000000"/>
          <w:sz w:val="24"/>
          <w:szCs w:val="24"/>
        </w:rPr>
        <w:t>Rupiah/US Dollar 2001 – 2013)</w:t>
      </w:r>
      <w:r w:rsidRPr="006E65BB">
        <w:rPr>
          <w:noProof/>
          <w:color w:val="000000"/>
          <w:sz w:val="24"/>
          <w:szCs w:val="24"/>
        </w:rPr>
        <w:t xml:space="preserve">. </w:t>
      </w:r>
      <w:r w:rsidRPr="006E65BB">
        <w:rPr>
          <w:i/>
          <w:iCs/>
          <w:noProof/>
          <w:color w:val="000000"/>
          <w:sz w:val="24"/>
          <w:szCs w:val="24"/>
        </w:rPr>
        <w:t>Economics Development  Analysis Journal</w:t>
      </w:r>
      <w:r w:rsidRPr="006E65BB">
        <w:rPr>
          <w:noProof/>
          <w:color w:val="000000"/>
          <w:sz w:val="24"/>
          <w:szCs w:val="24"/>
        </w:rPr>
        <w:t xml:space="preserve">, </w:t>
      </w:r>
      <w:r w:rsidRPr="006E65BB">
        <w:rPr>
          <w:i/>
          <w:iCs/>
          <w:noProof/>
          <w:color w:val="000000"/>
          <w:sz w:val="24"/>
          <w:szCs w:val="24"/>
        </w:rPr>
        <w:t>3</w:t>
      </w:r>
      <w:r w:rsidRPr="006E65BB">
        <w:rPr>
          <w:noProof/>
          <w:color w:val="000000"/>
          <w:sz w:val="24"/>
          <w:szCs w:val="24"/>
        </w:rPr>
        <w:t xml:space="preserve">(2), 284–292. </w:t>
      </w:r>
    </w:p>
    <w:p w:rsidR="00AA7090" w:rsidRPr="006E65BB" w:rsidRDefault="00AA7090" w:rsidP="006E65BB">
      <w:pPr>
        <w:ind w:left="709" w:right="237"/>
        <w:jc w:val="both"/>
        <w:rPr>
          <w:sz w:val="24"/>
          <w:szCs w:val="24"/>
        </w:rPr>
      </w:pPr>
    </w:p>
    <w:sectPr w:rsidR="00AA7090" w:rsidRPr="006E65BB" w:rsidSect="00011BAA">
      <w:pgSz w:w="11906" w:h="16838"/>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726EF4"/>
    <w:multiLevelType w:val="hybridMultilevel"/>
    <w:tmpl w:val="9920D63E"/>
    <w:lvl w:ilvl="0" w:tplc="0421000F">
      <w:start w:val="1"/>
      <w:numFmt w:val="decimal"/>
      <w:lvlText w:val="%1."/>
      <w:lvlJc w:val="left"/>
      <w:pPr>
        <w:ind w:left="2487"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090"/>
    <w:rsid w:val="00011BAA"/>
    <w:rsid w:val="000D2A3A"/>
    <w:rsid w:val="00163EE1"/>
    <w:rsid w:val="001C1DC3"/>
    <w:rsid w:val="002E36EB"/>
    <w:rsid w:val="00336A65"/>
    <w:rsid w:val="003C1BEC"/>
    <w:rsid w:val="004550B0"/>
    <w:rsid w:val="004B1A8E"/>
    <w:rsid w:val="00605F3D"/>
    <w:rsid w:val="00676033"/>
    <w:rsid w:val="0069715E"/>
    <w:rsid w:val="006B6FD6"/>
    <w:rsid w:val="006E65BB"/>
    <w:rsid w:val="0076357B"/>
    <w:rsid w:val="007E4A8C"/>
    <w:rsid w:val="007E604A"/>
    <w:rsid w:val="00997318"/>
    <w:rsid w:val="00AA7090"/>
    <w:rsid w:val="00AE1832"/>
    <w:rsid w:val="00C62C1C"/>
    <w:rsid w:val="00E93B71"/>
    <w:rsid w:val="00F07BAE"/>
    <w:rsid w:val="00F40CB7"/>
    <w:rsid w:val="00FB79D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D99D9A-CCEB-4595-9617-297D95929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090"/>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63EE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emenpar.g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ta.imf.org" TargetMode="Externa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RAHMATUN\Documents\DATA%20SKRIPSI\DATA%20GABUNGAN%20rahmatun%20layali.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Sheet13!$A$4</c:f>
              <c:strCache>
                <c:ptCount val="1"/>
                <c:pt idx="0">
                  <c:v>oil and gas</c:v>
                </c:pt>
              </c:strCache>
            </c:strRef>
          </c:tx>
          <c:invertIfNegative val="0"/>
          <c:cat>
            <c:numRef>
              <c:f>Sheet13!$B$3:$H$3</c:f>
              <c:numCache>
                <c:formatCode>General</c:formatCode>
                <c:ptCount val="7"/>
                <c:pt idx="0">
                  <c:v>2013</c:v>
                </c:pt>
                <c:pt idx="1">
                  <c:v>2014</c:v>
                </c:pt>
                <c:pt idx="2">
                  <c:v>2015</c:v>
                </c:pt>
                <c:pt idx="3">
                  <c:v>2016</c:v>
                </c:pt>
                <c:pt idx="4">
                  <c:v>2017</c:v>
                </c:pt>
                <c:pt idx="5">
                  <c:v>2018</c:v>
                </c:pt>
                <c:pt idx="6">
                  <c:v>2019</c:v>
                </c:pt>
              </c:numCache>
            </c:numRef>
          </c:cat>
          <c:val>
            <c:numRef>
              <c:f>Sheet13!$B$4:$H$4</c:f>
              <c:numCache>
                <c:formatCode>General</c:formatCode>
                <c:ptCount val="7"/>
                <c:pt idx="0">
                  <c:v>32.633000000000003</c:v>
                </c:pt>
                <c:pt idx="1">
                  <c:v>30.318000000000001</c:v>
                </c:pt>
                <c:pt idx="2">
                  <c:v>18.574000000000002</c:v>
                </c:pt>
                <c:pt idx="3">
                  <c:v>13.105</c:v>
                </c:pt>
                <c:pt idx="4">
                  <c:v>13.5</c:v>
                </c:pt>
                <c:pt idx="5">
                  <c:v>12.3</c:v>
                </c:pt>
                <c:pt idx="6">
                  <c:v>9.8000000000000007</c:v>
                </c:pt>
              </c:numCache>
            </c:numRef>
          </c:val>
        </c:ser>
        <c:ser>
          <c:idx val="1"/>
          <c:order val="1"/>
          <c:tx>
            <c:strRef>
              <c:f>Sheet13!$A$5</c:f>
              <c:strCache>
                <c:ptCount val="1"/>
                <c:pt idx="0">
                  <c:v>coal</c:v>
                </c:pt>
              </c:strCache>
            </c:strRef>
          </c:tx>
          <c:invertIfNegative val="0"/>
          <c:cat>
            <c:numRef>
              <c:f>Sheet13!$B$3:$H$3</c:f>
              <c:numCache>
                <c:formatCode>General</c:formatCode>
                <c:ptCount val="7"/>
                <c:pt idx="0">
                  <c:v>2013</c:v>
                </c:pt>
                <c:pt idx="1">
                  <c:v>2014</c:v>
                </c:pt>
                <c:pt idx="2">
                  <c:v>2015</c:v>
                </c:pt>
                <c:pt idx="3">
                  <c:v>2016</c:v>
                </c:pt>
                <c:pt idx="4">
                  <c:v>2017</c:v>
                </c:pt>
                <c:pt idx="5">
                  <c:v>2018</c:v>
                </c:pt>
                <c:pt idx="6">
                  <c:v>2019</c:v>
                </c:pt>
              </c:numCache>
            </c:numRef>
          </c:cat>
          <c:val>
            <c:numRef>
              <c:f>Sheet13!$B$5:$H$5</c:f>
              <c:numCache>
                <c:formatCode>General</c:formatCode>
                <c:ptCount val="7"/>
                <c:pt idx="0">
                  <c:v>22.759</c:v>
                </c:pt>
                <c:pt idx="1">
                  <c:v>18.696999999999999</c:v>
                </c:pt>
                <c:pt idx="2">
                  <c:v>14.717000000000001</c:v>
                </c:pt>
                <c:pt idx="3">
                  <c:v>12.898</c:v>
                </c:pt>
                <c:pt idx="4">
                  <c:v>14.2</c:v>
                </c:pt>
                <c:pt idx="5">
                  <c:v>13.2</c:v>
                </c:pt>
                <c:pt idx="6">
                  <c:v>11.8</c:v>
                </c:pt>
              </c:numCache>
            </c:numRef>
          </c:val>
        </c:ser>
        <c:ser>
          <c:idx val="2"/>
          <c:order val="2"/>
          <c:tx>
            <c:strRef>
              <c:f>Sheet13!$A$6</c:f>
              <c:strCache>
                <c:ptCount val="1"/>
                <c:pt idx="0">
                  <c:v>CPO</c:v>
                </c:pt>
              </c:strCache>
            </c:strRef>
          </c:tx>
          <c:invertIfNegative val="0"/>
          <c:cat>
            <c:numRef>
              <c:f>Sheet13!$B$3:$H$3</c:f>
              <c:numCache>
                <c:formatCode>General</c:formatCode>
                <c:ptCount val="7"/>
                <c:pt idx="0">
                  <c:v>2013</c:v>
                </c:pt>
                <c:pt idx="1">
                  <c:v>2014</c:v>
                </c:pt>
                <c:pt idx="2">
                  <c:v>2015</c:v>
                </c:pt>
                <c:pt idx="3">
                  <c:v>2016</c:v>
                </c:pt>
                <c:pt idx="4">
                  <c:v>2017</c:v>
                </c:pt>
                <c:pt idx="5">
                  <c:v>2018</c:v>
                </c:pt>
                <c:pt idx="6">
                  <c:v>2019</c:v>
                </c:pt>
              </c:numCache>
            </c:numRef>
          </c:cat>
          <c:val>
            <c:numRef>
              <c:f>Sheet13!$B$6:$H$6</c:f>
              <c:numCache>
                <c:formatCode>General</c:formatCode>
                <c:ptCount val="7"/>
                <c:pt idx="0">
                  <c:v>16.786999999999999</c:v>
                </c:pt>
                <c:pt idx="1">
                  <c:v>18.614999999999998</c:v>
                </c:pt>
                <c:pt idx="2">
                  <c:v>16.427</c:v>
                </c:pt>
                <c:pt idx="3">
                  <c:v>15.965</c:v>
                </c:pt>
                <c:pt idx="4">
                  <c:v>15.2</c:v>
                </c:pt>
                <c:pt idx="5">
                  <c:v>15.2</c:v>
                </c:pt>
                <c:pt idx="6">
                  <c:v>15.2</c:v>
                </c:pt>
              </c:numCache>
            </c:numRef>
          </c:val>
        </c:ser>
        <c:ser>
          <c:idx val="3"/>
          <c:order val="3"/>
          <c:tx>
            <c:strRef>
              <c:f>Sheet13!$A$7</c:f>
              <c:strCache>
                <c:ptCount val="1"/>
                <c:pt idx="0">
                  <c:v>tourism</c:v>
                </c:pt>
              </c:strCache>
            </c:strRef>
          </c:tx>
          <c:invertIfNegative val="0"/>
          <c:cat>
            <c:numRef>
              <c:f>Sheet13!$B$3:$H$3</c:f>
              <c:numCache>
                <c:formatCode>General</c:formatCode>
                <c:ptCount val="7"/>
                <c:pt idx="0">
                  <c:v>2013</c:v>
                </c:pt>
                <c:pt idx="1">
                  <c:v>2014</c:v>
                </c:pt>
                <c:pt idx="2">
                  <c:v>2015</c:v>
                </c:pt>
                <c:pt idx="3">
                  <c:v>2016</c:v>
                </c:pt>
                <c:pt idx="4">
                  <c:v>2017</c:v>
                </c:pt>
                <c:pt idx="5">
                  <c:v>2018</c:v>
                </c:pt>
                <c:pt idx="6">
                  <c:v>2019</c:v>
                </c:pt>
              </c:numCache>
            </c:numRef>
          </c:cat>
          <c:val>
            <c:numRef>
              <c:f>Sheet13!$B$7:$H$7</c:f>
              <c:numCache>
                <c:formatCode>General</c:formatCode>
                <c:ptCount val="7"/>
                <c:pt idx="0">
                  <c:v>10.054</c:v>
                </c:pt>
                <c:pt idx="1">
                  <c:v>11.166</c:v>
                </c:pt>
                <c:pt idx="2">
                  <c:v>12.225</c:v>
                </c:pt>
                <c:pt idx="3">
                  <c:v>13.568</c:v>
                </c:pt>
                <c:pt idx="4">
                  <c:v>15.2</c:v>
                </c:pt>
                <c:pt idx="5">
                  <c:v>18.5</c:v>
                </c:pt>
                <c:pt idx="6">
                  <c:v>21.8</c:v>
                </c:pt>
              </c:numCache>
            </c:numRef>
          </c:val>
        </c:ser>
        <c:dLbls>
          <c:showLegendKey val="0"/>
          <c:showVal val="0"/>
          <c:showCatName val="0"/>
          <c:showSerName val="0"/>
          <c:showPercent val="0"/>
          <c:showBubbleSize val="0"/>
        </c:dLbls>
        <c:gapWidth val="150"/>
        <c:axId val="1520586784"/>
        <c:axId val="1520594400"/>
      </c:barChart>
      <c:catAx>
        <c:axId val="1520586784"/>
        <c:scaling>
          <c:orientation val="minMax"/>
        </c:scaling>
        <c:delete val="0"/>
        <c:axPos val="b"/>
        <c:numFmt formatCode="General" sourceLinked="1"/>
        <c:majorTickMark val="out"/>
        <c:minorTickMark val="none"/>
        <c:tickLblPos val="nextTo"/>
        <c:crossAx val="1520594400"/>
        <c:crosses val="autoZero"/>
        <c:auto val="1"/>
        <c:lblAlgn val="ctr"/>
        <c:lblOffset val="100"/>
        <c:noMultiLvlLbl val="0"/>
      </c:catAx>
      <c:valAx>
        <c:axId val="1520594400"/>
        <c:scaling>
          <c:orientation val="minMax"/>
        </c:scaling>
        <c:delete val="0"/>
        <c:axPos val="l"/>
        <c:title>
          <c:tx>
            <c:rich>
              <a:bodyPr rot="0" vert="horz"/>
              <a:lstStyle/>
              <a:p>
                <a:pPr>
                  <a:defRPr/>
                </a:pPr>
                <a:r>
                  <a:rPr lang="id-ID" baseline="0"/>
                  <a:t>million USD</a:t>
                </a:r>
                <a:endParaRPr lang="id-ID"/>
              </a:p>
            </c:rich>
          </c:tx>
          <c:overlay val="0"/>
        </c:title>
        <c:numFmt formatCode="General" sourceLinked="1"/>
        <c:majorTickMark val="out"/>
        <c:minorTickMark val="none"/>
        <c:tickLblPos val="nextTo"/>
        <c:crossAx val="1520586784"/>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6</TotalTime>
  <Pages>1</Pages>
  <Words>8415</Words>
  <Characters>47972</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x360</dc:creator>
  <cp:keywords/>
  <dc:description/>
  <cp:lastModifiedBy>HP x360</cp:lastModifiedBy>
  <cp:revision>6</cp:revision>
  <dcterms:created xsi:type="dcterms:W3CDTF">2021-02-04T22:22:00Z</dcterms:created>
  <dcterms:modified xsi:type="dcterms:W3CDTF">2021-02-07T04:22:00Z</dcterms:modified>
</cp:coreProperties>
</file>