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AC7" w:rsidRPr="00AD1AC7" w:rsidRDefault="00AD1AC7" w:rsidP="00AD1AC7">
      <w:pPr>
        <w:jc w:val="center"/>
        <w:rPr>
          <w:rFonts w:ascii="Baskerville Old Face" w:hAnsi="Baskerville Old Face"/>
          <w:b/>
          <w:bCs/>
          <w:color w:val="000000"/>
          <w:sz w:val="32"/>
          <w:szCs w:val="32"/>
          <w:lang w:val="vi-VN"/>
        </w:rPr>
      </w:pPr>
      <w:r w:rsidRPr="00AD1AC7">
        <w:rPr>
          <w:rFonts w:ascii="Baskerville Old Face" w:hAnsi="Baskerville Old Face"/>
          <w:b/>
          <w:bCs/>
          <w:color w:val="000000"/>
          <w:sz w:val="32"/>
          <w:szCs w:val="32"/>
          <w:bdr w:val="nil"/>
          <w:lang w:val="en-US"/>
        </w:rPr>
        <w:t>National digital currency issuance under Vietnamese law</w:t>
      </w:r>
    </w:p>
    <w:p w:rsidR="00800CCD" w:rsidRPr="00AD1AC7" w:rsidRDefault="00AD1AC7" w:rsidP="00AD1AC7">
      <w:pPr>
        <w:spacing w:after="0" w:line="240" w:lineRule="auto"/>
        <w:jc w:val="center"/>
        <w:rPr>
          <w:rFonts w:ascii="Palatino Linotype" w:hAnsi="Palatino Linotype" w:cstheme="majorBidi"/>
          <w:b/>
          <w:bCs/>
          <w:vertAlign w:val="superscript"/>
          <w:lang w:val="en-US" w:bidi="fa-IR"/>
        </w:rPr>
      </w:pPr>
      <w:r w:rsidRPr="00AD1AC7">
        <w:rPr>
          <w:rFonts w:ascii="Palatino Linotype" w:hAnsi="Palatino Linotype"/>
          <w:b/>
          <w:bCs/>
          <w:color w:val="000000"/>
          <w:lang w:val="vi-VN"/>
        </w:rPr>
        <w:t>Vien The Giang</w:t>
      </w:r>
      <w:r w:rsidR="00800CCD" w:rsidRPr="00AD1AC7">
        <w:rPr>
          <w:rStyle w:val="FootnoteReference"/>
          <w:rFonts w:ascii="Palatino Linotype" w:hAnsi="Palatino Linotype" w:cstheme="majorBidi"/>
          <w:b/>
          <w:bCs/>
          <w:lang w:bidi="fa-IR"/>
        </w:rPr>
        <w:footnoteReference w:id="1"/>
      </w:r>
    </w:p>
    <w:p w:rsidR="00AD1AC7" w:rsidRPr="00AD1AC7" w:rsidRDefault="00AD1AC7" w:rsidP="00331C83">
      <w:pPr>
        <w:spacing w:after="0" w:line="240" w:lineRule="auto"/>
        <w:jc w:val="center"/>
        <w:rPr>
          <w:rFonts w:ascii="Palatino Linotype" w:hAnsi="Palatino Linotype"/>
          <w:sz w:val="28"/>
          <w:szCs w:val="28"/>
          <w:lang w:val="en-US"/>
        </w:rPr>
      </w:pPr>
      <w:r w:rsidRPr="00AD1AC7">
        <w:rPr>
          <w:rFonts w:ascii="Palatino Linotype" w:hAnsi="Palatino Linotype"/>
          <w:color w:val="000000"/>
          <w:lang w:val="vi-VN"/>
        </w:rPr>
        <w:t>Banking University Ho Chi Minh City, Vietnam</w:t>
      </w:r>
      <w:r w:rsidRPr="00AD1AC7">
        <w:rPr>
          <w:rFonts w:ascii="Palatino Linotype" w:hAnsi="Palatino Linotype"/>
          <w:sz w:val="28"/>
          <w:szCs w:val="28"/>
        </w:rPr>
        <w:t xml:space="preserve"> </w:t>
      </w:r>
    </w:p>
    <w:p w:rsidR="005D351F" w:rsidRPr="00333FEA" w:rsidRDefault="002E62AC" w:rsidP="00AD1AC7">
      <w:pPr>
        <w:spacing w:after="0" w:line="240" w:lineRule="auto"/>
        <w:jc w:val="center"/>
        <w:rPr>
          <w:rFonts w:ascii="Palatino Linotype" w:hAnsi="Palatino Linotype"/>
          <w:b/>
          <w:bCs/>
          <w:sz w:val="20"/>
          <w:szCs w:val="20"/>
        </w:rPr>
      </w:pPr>
      <w:r w:rsidRPr="00333FEA">
        <w:rPr>
          <w:rFonts w:ascii="Palatino Linotype" w:hAnsi="Palatino Linotype"/>
          <w:sz w:val="20"/>
          <w:szCs w:val="20"/>
        </w:rPr>
        <w:fldChar w:fldCharType="begin"/>
      </w:r>
      <w:r w:rsidR="005D351F" w:rsidRPr="00333FEA">
        <w:rPr>
          <w:rFonts w:ascii="Palatino Linotype" w:hAnsi="Palatino Linotype"/>
          <w:sz w:val="20"/>
          <w:szCs w:val="20"/>
        </w:rPr>
        <w:instrText xml:space="preserve"> INCLUDEPICTURE "https://azwarmuin.files.wordpress.com/2018/10/icon_doi.png" \* MERGEFORMATINET </w:instrText>
      </w:r>
      <w:r w:rsidRPr="00333FEA">
        <w:rPr>
          <w:rFonts w:ascii="Palatino Linotype" w:hAnsi="Palatino Linotype"/>
          <w:sz w:val="20"/>
          <w:szCs w:val="20"/>
        </w:rPr>
        <w:fldChar w:fldCharType="separate"/>
      </w:r>
      <w:r w:rsidRPr="00333FEA">
        <w:rPr>
          <w:rFonts w:ascii="Palatino Linotype" w:hAnsi="Palatino Linotype"/>
          <w:sz w:val="20"/>
          <w:szCs w:val="20"/>
        </w:rPr>
        <w:fldChar w:fldCharType="begin"/>
      </w:r>
      <w:r w:rsidR="005D351F" w:rsidRPr="00333FEA">
        <w:rPr>
          <w:rFonts w:ascii="Palatino Linotype" w:hAnsi="Palatino Linotype"/>
          <w:sz w:val="20"/>
          <w:szCs w:val="20"/>
        </w:rPr>
        <w:instrText xml:space="preserve"> INCLUDEPICTURE  "https://azwarmuin.files.wordpress.com/2018/10/icon_doi.png" \* MERGEFORMATINET </w:instrText>
      </w:r>
      <w:r w:rsidRPr="00333FEA">
        <w:rPr>
          <w:rFonts w:ascii="Palatino Linotype" w:hAnsi="Palatino Linotype"/>
          <w:sz w:val="20"/>
          <w:szCs w:val="20"/>
        </w:rPr>
        <w:fldChar w:fldCharType="separate"/>
      </w:r>
      <w:r w:rsidRPr="00333FEA">
        <w:rPr>
          <w:rFonts w:ascii="Palatino Linotype" w:hAnsi="Palatino Linotype"/>
          <w:sz w:val="20"/>
          <w:szCs w:val="20"/>
        </w:rPr>
        <w:fldChar w:fldCharType="begin"/>
      </w:r>
      <w:r w:rsidR="005D351F" w:rsidRPr="00333FEA">
        <w:rPr>
          <w:rFonts w:ascii="Palatino Linotype" w:hAnsi="Palatino Linotype"/>
          <w:sz w:val="20"/>
          <w:szCs w:val="20"/>
        </w:rPr>
        <w:instrText xml:space="preserve"> INCLUDEPICTURE  "https://azwarmuin.files.wordpress.com/2018/10/icon_doi.png" \* MERGEFORMATINET </w:instrText>
      </w:r>
      <w:r w:rsidRPr="00333FEA">
        <w:rPr>
          <w:rFonts w:ascii="Palatino Linotype" w:hAnsi="Palatino Linotype"/>
          <w:sz w:val="20"/>
          <w:szCs w:val="20"/>
        </w:rPr>
        <w:fldChar w:fldCharType="separate"/>
      </w:r>
      <w:r w:rsidRPr="00333FEA">
        <w:rPr>
          <w:rFonts w:ascii="Palatino Linotype" w:hAnsi="Palatino Linotype"/>
          <w:sz w:val="20"/>
          <w:szCs w:val="20"/>
        </w:rPr>
        <w:fldChar w:fldCharType="begin"/>
      </w:r>
      <w:r w:rsidR="005D351F" w:rsidRPr="00333FEA">
        <w:rPr>
          <w:rFonts w:ascii="Palatino Linotype" w:hAnsi="Palatino Linotype"/>
          <w:sz w:val="20"/>
          <w:szCs w:val="20"/>
        </w:rPr>
        <w:instrText xml:space="preserve"> INCLUDEPICTURE  "https://azwarmuin.files.wordpress.com/2018/10/icon_doi.png" \* MERGEFORMATINET </w:instrText>
      </w:r>
      <w:r w:rsidRPr="00333FEA">
        <w:rPr>
          <w:rFonts w:ascii="Palatino Linotype" w:hAnsi="Palatino Linotype"/>
          <w:sz w:val="20"/>
          <w:szCs w:val="20"/>
        </w:rPr>
        <w:fldChar w:fldCharType="separate"/>
      </w:r>
      <w:r w:rsidRPr="00333FEA">
        <w:rPr>
          <w:rFonts w:ascii="Palatino Linotype" w:hAnsi="Palatino Linotype"/>
          <w:sz w:val="20"/>
          <w:szCs w:val="20"/>
        </w:rPr>
        <w:fldChar w:fldCharType="begin"/>
      </w:r>
      <w:r w:rsidR="005D351F" w:rsidRPr="00333FEA">
        <w:rPr>
          <w:rFonts w:ascii="Palatino Linotype" w:hAnsi="Palatino Linotype"/>
          <w:sz w:val="20"/>
          <w:szCs w:val="20"/>
        </w:rPr>
        <w:instrText xml:space="preserve"> INCLUDEPICTURE  "https://azwarmuin.files.wordpress.com/2018/10/icon_doi.png" \* MERGEFORMATINET </w:instrText>
      </w:r>
      <w:r w:rsidRPr="00333FEA">
        <w:rPr>
          <w:rFonts w:ascii="Palatino Linotype" w:hAnsi="Palatino Linotype"/>
          <w:sz w:val="20"/>
          <w:szCs w:val="20"/>
        </w:rPr>
        <w:fldChar w:fldCharType="separate"/>
      </w:r>
      <w:r w:rsidRPr="00333FEA">
        <w:rPr>
          <w:rFonts w:ascii="Palatino Linotype" w:hAnsi="Palatino Linotype"/>
          <w:sz w:val="20"/>
          <w:szCs w:val="20"/>
        </w:rPr>
        <w:fldChar w:fldCharType="begin"/>
      </w:r>
      <w:r w:rsidR="005D351F" w:rsidRPr="00333FEA">
        <w:rPr>
          <w:rFonts w:ascii="Palatino Linotype" w:hAnsi="Palatino Linotype"/>
          <w:sz w:val="20"/>
          <w:szCs w:val="20"/>
        </w:rPr>
        <w:instrText xml:space="preserve"> INCLUDEPICTURE  "https://azwarmuin.files.wordpress.com/2018/10/icon_doi.png" \* MERGEFORMATINET </w:instrText>
      </w:r>
      <w:r w:rsidRPr="00333FEA">
        <w:rPr>
          <w:rFonts w:ascii="Palatino Linotype" w:hAnsi="Palatino Linotype"/>
          <w:sz w:val="20"/>
          <w:szCs w:val="20"/>
        </w:rPr>
        <w:fldChar w:fldCharType="separate"/>
      </w:r>
      <w:r w:rsidRPr="00333FEA">
        <w:rPr>
          <w:rFonts w:ascii="Palatino Linotype" w:hAnsi="Palatino Linotype"/>
          <w:sz w:val="20"/>
          <w:szCs w:val="20"/>
        </w:rPr>
        <w:fldChar w:fldCharType="begin"/>
      </w:r>
      <w:r w:rsidR="005D351F" w:rsidRPr="00333FEA">
        <w:rPr>
          <w:rFonts w:ascii="Palatino Linotype" w:hAnsi="Palatino Linotype"/>
          <w:sz w:val="20"/>
          <w:szCs w:val="20"/>
        </w:rPr>
        <w:instrText xml:space="preserve"> INCLUDEPICTURE  "https://azwarmuin.files.wordpress.com/2018/10/icon_doi.png" \* MERGEFORMATINET </w:instrText>
      </w:r>
      <w:r w:rsidRPr="00333FEA">
        <w:rPr>
          <w:rFonts w:ascii="Palatino Linotype" w:hAnsi="Palatino Linotype"/>
          <w:sz w:val="20"/>
          <w:szCs w:val="20"/>
        </w:rPr>
        <w:fldChar w:fldCharType="separate"/>
      </w:r>
      <w:r w:rsidRPr="00333FEA">
        <w:rPr>
          <w:rFonts w:ascii="Palatino Linotype" w:hAnsi="Palatino Linotype"/>
          <w:sz w:val="20"/>
          <w:szCs w:val="20"/>
        </w:rPr>
        <w:fldChar w:fldCharType="begin"/>
      </w:r>
      <w:r w:rsidR="005D351F" w:rsidRPr="00333FEA">
        <w:rPr>
          <w:rFonts w:ascii="Palatino Linotype" w:hAnsi="Palatino Linotype"/>
          <w:sz w:val="20"/>
          <w:szCs w:val="20"/>
        </w:rPr>
        <w:instrText xml:space="preserve"> INCLUDEPICTURE  "https://azwarmuin.files.wordpress.com/2018/10/icon_doi.png" \* MERGEFORMATINET </w:instrText>
      </w:r>
      <w:r w:rsidRPr="00333FEA">
        <w:rPr>
          <w:rFonts w:ascii="Palatino Linotype" w:hAnsi="Palatino Linotype"/>
          <w:sz w:val="20"/>
          <w:szCs w:val="20"/>
        </w:rPr>
        <w:fldChar w:fldCharType="separate"/>
      </w:r>
      <w:r w:rsidRPr="00333FEA">
        <w:rPr>
          <w:rFonts w:ascii="Palatino Linotype" w:hAnsi="Palatino Linotype"/>
          <w:sz w:val="20"/>
          <w:szCs w:val="20"/>
        </w:rPr>
        <w:fldChar w:fldCharType="begin"/>
      </w:r>
      <w:r w:rsidR="005D351F" w:rsidRPr="00333FEA">
        <w:rPr>
          <w:rFonts w:ascii="Palatino Linotype" w:hAnsi="Palatino Linotype"/>
          <w:sz w:val="20"/>
          <w:szCs w:val="20"/>
        </w:rPr>
        <w:instrText xml:space="preserve"> INCLUDEPICTURE  "https://azwarmuin.files.wordpress.com/2018/10/icon_doi.png" \* MERGEFORMATINET </w:instrText>
      </w:r>
      <w:r w:rsidRPr="00333FEA">
        <w:rPr>
          <w:rFonts w:ascii="Palatino Linotype" w:hAnsi="Palatino Linotype"/>
          <w:sz w:val="20"/>
          <w:szCs w:val="20"/>
        </w:rPr>
        <w:fldChar w:fldCharType="separate"/>
      </w:r>
      <w:r w:rsidRPr="00333FEA">
        <w:rPr>
          <w:rFonts w:ascii="Palatino Linotype" w:hAnsi="Palatino Linotype"/>
          <w:sz w:val="20"/>
          <w:szCs w:val="20"/>
        </w:rPr>
        <w:fldChar w:fldCharType="begin"/>
      </w:r>
      <w:r w:rsidR="005D351F" w:rsidRPr="00333FEA">
        <w:rPr>
          <w:rFonts w:ascii="Palatino Linotype" w:hAnsi="Palatino Linotype"/>
          <w:sz w:val="20"/>
          <w:szCs w:val="20"/>
        </w:rPr>
        <w:instrText xml:space="preserve"> INCLUDEPICTURE  "https://azwarmuin.files.wordpress.com/2018/10/icon_doi.png" \* MERGEFORMATINET </w:instrText>
      </w:r>
      <w:r w:rsidRPr="00333FEA">
        <w:rPr>
          <w:rFonts w:ascii="Palatino Linotype" w:hAnsi="Palatino Linotype"/>
          <w:sz w:val="20"/>
          <w:szCs w:val="20"/>
        </w:rPr>
        <w:fldChar w:fldCharType="separate"/>
      </w:r>
      <w:r w:rsidRPr="00333FEA">
        <w:rPr>
          <w:rFonts w:ascii="Palatino Linotype" w:hAnsi="Palatino Linotype"/>
          <w:sz w:val="20"/>
          <w:szCs w:val="20"/>
        </w:rPr>
        <w:fldChar w:fldCharType="begin"/>
      </w:r>
      <w:r w:rsidR="005D351F" w:rsidRPr="00333FEA">
        <w:rPr>
          <w:rFonts w:ascii="Palatino Linotype" w:hAnsi="Palatino Linotype"/>
          <w:sz w:val="20"/>
          <w:szCs w:val="20"/>
        </w:rPr>
        <w:instrText xml:space="preserve"> INCLUDEPICTURE  "https://azwarmuin.files.wordpress.com/2018/10/icon_doi.png" \* MERGEFORMATINET </w:instrText>
      </w:r>
      <w:r w:rsidRPr="00333FEA">
        <w:rPr>
          <w:rFonts w:ascii="Palatino Linotype" w:hAnsi="Palatino Linotype"/>
          <w:sz w:val="20"/>
          <w:szCs w:val="20"/>
        </w:rPr>
        <w:fldChar w:fldCharType="separate"/>
      </w:r>
      <w:r>
        <w:rPr>
          <w:rFonts w:ascii="Palatino Linotype" w:hAnsi="Palatino Linotype"/>
          <w:sz w:val="20"/>
          <w:szCs w:val="20"/>
        </w:rPr>
        <w:fldChar w:fldCharType="begin"/>
      </w:r>
      <w:r w:rsidR="005D351F">
        <w:rPr>
          <w:rFonts w:ascii="Palatino Linotype" w:hAnsi="Palatino Linotype"/>
          <w:sz w:val="20"/>
          <w:szCs w:val="20"/>
        </w:rPr>
        <w:instrText xml:space="preserve"> INCLUDEPICTURE  "https://azwarmuin.files.wordpress.com/2018/10/icon_doi.png" \* MERGEFORMATINET </w:instrText>
      </w:r>
      <w:r>
        <w:rPr>
          <w:rFonts w:ascii="Palatino Linotype" w:hAnsi="Palatino Linotype"/>
          <w:sz w:val="20"/>
          <w:szCs w:val="20"/>
        </w:rPr>
        <w:fldChar w:fldCharType="separate"/>
      </w:r>
      <w:r w:rsidRPr="002E62AC">
        <w:rPr>
          <w:rFonts w:ascii="Palatino Linotype" w:hAnsi="Palatino Linotype"/>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7.85pt">
            <v:imagedata r:id="rId8" r:href="rId9"/>
          </v:shape>
        </w:pict>
      </w:r>
      <w:r>
        <w:rPr>
          <w:rFonts w:ascii="Palatino Linotype" w:hAnsi="Palatino Linotype"/>
          <w:sz w:val="20"/>
          <w:szCs w:val="20"/>
        </w:rPr>
        <w:fldChar w:fldCharType="end"/>
      </w:r>
      <w:r w:rsidRPr="00333FEA">
        <w:rPr>
          <w:rFonts w:ascii="Palatino Linotype" w:hAnsi="Palatino Linotype"/>
          <w:sz w:val="20"/>
          <w:szCs w:val="20"/>
        </w:rPr>
        <w:fldChar w:fldCharType="end"/>
      </w:r>
      <w:r w:rsidRPr="00333FEA">
        <w:rPr>
          <w:rFonts w:ascii="Palatino Linotype" w:hAnsi="Palatino Linotype"/>
          <w:sz w:val="20"/>
          <w:szCs w:val="20"/>
        </w:rPr>
        <w:fldChar w:fldCharType="end"/>
      </w:r>
      <w:r w:rsidRPr="00333FEA">
        <w:rPr>
          <w:rFonts w:ascii="Palatino Linotype" w:hAnsi="Palatino Linotype"/>
          <w:sz w:val="20"/>
          <w:szCs w:val="20"/>
        </w:rPr>
        <w:fldChar w:fldCharType="end"/>
      </w:r>
      <w:r w:rsidRPr="00333FEA">
        <w:rPr>
          <w:rFonts w:ascii="Palatino Linotype" w:hAnsi="Palatino Linotype"/>
          <w:sz w:val="20"/>
          <w:szCs w:val="20"/>
        </w:rPr>
        <w:fldChar w:fldCharType="end"/>
      </w:r>
      <w:r w:rsidRPr="00333FEA">
        <w:rPr>
          <w:rFonts w:ascii="Palatino Linotype" w:hAnsi="Palatino Linotype"/>
          <w:sz w:val="20"/>
          <w:szCs w:val="20"/>
        </w:rPr>
        <w:fldChar w:fldCharType="end"/>
      </w:r>
      <w:r w:rsidRPr="00333FEA">
        <w:rPr>
          <w:rFonts w:ascii="Palatino Linotype" w:hAnsi="Palatino Linotype"/>
          <w:sz w:val="20"/>
          <w:szCs w:val="20"/>
        </w:rPr>
        <w:fldChar w:fldCharType="end"/>
      </w:r>
      <w:r w:rsidRPr="00333FEA">
        <w:rPr>
          <w:rFonts w:ascii="Palatino Linotype" w:hAnsi="Palatino Linotype"/>
          <w:sz w:val="20"/>
          <w:szCs w:val="20"/>
        </w:rPr>
        <w:fldChar w:fldCharType="end"/>
      </w:r>
      <w:r w:rsidRPr="00333FEA">
        <w:rPr>
          <w:rFonts w:ascii="Palatino Linotype" w:hAnsi="Palatino Linotype"/>
          <w:sz w:val="20"/>
          <w:szCs w:val="20"/>
        </w:rPr>
        <w:fldChar w:fldCharType="end"/>
      </w:r>
      <w:r w:rsidRPr="00333FEA">
        <w:rPr>
          <w:rFonts w:ascii="Palatino Linotype" w:hAnsi="Palatino Linotype"/>
          <w:sz w:val="20"/>
          <w:szCs w:val="20"/>
        </w:rPr>
        <w:fldChar w:fldCharType="end"/>
      </w:r>
      <w:r w:rsidRPr="00333FEA">
        <w:rPr>
          <w:rFonts w:ascii="Palatino Linotype" w:hAnsi="Palatino Linotype"/>
          <w:sz w:val="20"/>
          <w:szCs w:val="20"/>
        </w:rPr>
        <w:fldChar w:fldCharType="end"/>
      </w:r>
      <w:r w:rsidRPr="00333FEA">
        <w:rPr>
          <w:rFonts w:ascii="Palatino Linotype" w:hAnsi="Palatino Linotype"/>
          <w:sz w:val="20"/>
          <w:szCs w:val="20"/>
        </w:rPr>
        <w:fldChar w:fldCharType="end"/>
      </w:r>
      <w:r w:rsidR="005D351F" w:rsidRPr="006F6B0F">
        <w:t xml:space="preserve"> </w:t>
      </w:r>
      <w:hyperlink r:id="rId10" w:history="1">
        <w:r w:rsidR="005D351F" w:rsidRPr="00412D79">
          <w:rPr>
            <w:rStyle w:val="Hyperlink"/>
            <w:rFonts w:ascii="Palatino Linotype" w:hAnsi="Palatino Linotype" w:cs="Open Sans"/>
            <w:color w:val="9C1C23"/>
          </w:rPr>
          <w:t>10.15408/jch.v</w:t>
        </w:r>
        <w:r w:rsidR="00AD1AC7">
          <w:rPr>
            <w:rStyle w:val="Hyperlink"/>
            <w:rFonts w:ascii="Palatino Linotype" w:hAnsi="Palatino Linotype" w:cs="Open Sans"/>
            <w:color w:val="9C1C23"/>
            <w:lang w:val="en-US"/>
          </w:rPr>
          <w:t>10,01</w:t>
        </w:r>
      </w:hyperlink>
    </w:p>
    <w:p w:rsidR="008D3760" w:rsidRDefault="008D3760" w:rsidP="00DB1232">
      <w:pPr>
        <w:spacing w:after="0" w:line="240" w:lineRule="auto"/>
        <w:jc w:val="center"/>
        <w:rPr>
          <w:rFonts w:ascii="Palatino Linotype" w:hAnsi="Palatino Linotype" w:cs="Times New Roman"/>
          <w:sz w:val="20"/>
          <w:szCs w:val="20"/>
          <w:lang w:val="en-US"/>
        </w:rPr>
      </w:pPr>
    </w:p>
    <w:p w:rsidR="008D3760" w:rsidRDefault="008D3760" w:rsidP="000C5769">
      <w:pPr>
        <w:spacing w:after="0" w:line="240" w:lineRule="auto"/>
        <w:ind w:left="567" w:right="709"/>
        <w:jc w:val="both"/>
        <w:rPr>
          <w:rFonts w:ascii="Arial Narrow" w:hAnsi="Arial Narrow" w:cs="Times New Roman"/>
          <w:b/>
          <w:bCs/>
          <w:sz w:val="18"/>
          <w:szCs w:val="18"/>
          <w:lang w:val="en-US"/>
        </w:rPr>
      </w:pPr>
    </w:p>
    <w:p w:rsidR="0040230C" w:rsidRPr="000C5769" w:rsidRDefault="0040230C" w:rsidP="00CB1D09">
      <w:pPr>
        <w:spacing w:after="0" w:line="240" w:lineRule="auto"/>
        <w:ind w:left="567" w:right="709"/>
        <w:jc w:val="both"/>
        <w:rPr>
          <w:rFonts w:ascii="Arial Narrow" w:hAnsi="Arial Narrow" w:cs="Times New Roman"/>
          <w:b/>
          <w:bCs/>
          <w:sz w:val="18"/>
          <w:szCs w:val="18"/>
          <w:lang w:val="en-US"/>
        </w:rPr>
      </w:pPr>
      <w:r w:rsidRPr="000C5769">
        <w:rPr>
          <w:rFonts w:ascii="Arial Narrow" w:hAnsi="Arial Narrow" w:cs="Times New Roman"/>
          <w:b/>
          <w:bCs/>
          <w:sz w:val="18"/>
          <w:szCs w:val="18"/>
          <w:lang w:val="en-US"/>
        </w:rPr>
        <w:t>Abstract</w:t>
      </w:r>
      <w:r w:rsidR="008D3760">
        <w:rPr>
          <w:rFonts w:ascii="Arial Narrow" w:hAnsi="Arial Narrow" w:cs="Times New Roman"/>
          <w:b/>
          <w:bCs/>
          <w:sz w:val="18"/>
          <w:szCs w:val="18"/>
          <w:lang w:val="en-US"/>
        </w:rPr>
        <w:t xml:space="preserve"> </w:t>
      </w:r>
    </w:p>
    <w:p w:rsidR="00800CCD" w:rsidRPr="00AD1AC7" w:rsidRDefault="00AD1AC7" w:rsidP="00CB1D09">
      <w:pPr>
        <w:spacing w:after="0" w:line="240" w:lineRule="auto"/>
        <w:ind w:left="567" w:right="709"/>
        <w:jc w:val="both"/>
        <w:rPr>
          <w:rFonts w:ascii="Arial Narrow" w:hAnsi="Arial Narrow" w:cs="Times New Roman"/>
          <w:sz w:val="16"/>
          <w:szCs w:val="16"/>
          <w:lang w:val="en-US"/>
        </w:rPr>
      </w:pPr>
      <w:r w:rsidRPr="00AD1AC7">
        <w:rPr>
          <w:rFonts w:ascii="Arial Narrow" w:hAnsi="Arial Narrow"/>
          <w:color w:val="000000"/>
          <w:sz w:val="18"/>
          <w:szCs w:val="18"/>
          <w:bdr w:val="nil"/>
          <w:lang w:val="en-US"/>
        </w:rPr>
        <w:t>The article analyzes the current situation and debates about the digital currencies issued by central bank. The results show that only a few countries have issued the central bank digital currencies, the rest of the countries have begun to have institutional orientations for research on issuing and using the central bank digital currency. The strengths that lead to the central bank's choice of research and issuance of digital currency are a high level of security, convenience for money control in circulation, and the stable value guaranteed by the state, thereby contributing to the promotion of non-cash payments. In the context of accelerating the economy digitization, including digital banking, and promoting the cash payments, Vietnam has had an orientation to research mechanisms, policies and laws for the issuance of national digital currency. In order to do this, in addition to reviewing, amending and supplementing the Law on the State Bank of Vietnam related to currency issuance, it is also necessary to prepare fully the technical infrastructure system.</w:t>
      </w:r>
    </w:p>
    <w:p w:rsidR="001A3553" w:rsidRDefault="001A3553" w:rsidP="00CB1D09">
      <w:pPr>
        <w:spacing w:after="0" w:line="240" w:lineRule="auto"/>
        <w:ind w:left="567" w:right="709"/>
        <w:jc w:val="both"/>
        <w:rPr>
          <w:rFonts w:ascii="Arial Narrow" w:hAnsi="Arial Narrow" w:cs="Times New Roman"/>
          <w:sz w:val="18"/>
          <w:szCs w:val="18"/>
          <w:lang w:val="en-US"/>
        </w:rPr>
      </w:pPr>
    </w:p>
    <w:p w:rsidR="00302E95" w:rsidRDefault="00302E95" w:rsidP="00AD1AC7">
      <w:pPr>
        <w:spacing w:after="0" w:line="240" w:lineRule="auto"/>
        <w:ind w:left="567" w:right="709"/>
        <w:jc w:val="both"/>
        <w:rPr>
          <w:rFonts w:ascii="Arial Narrow" w:hAnsi="Arial Narrow"/>
          <w:color w:val="000000"/>
          <w:sz w:val="18"/>
          <w:szCs w:val="18"/>
          <w:bdr w:val="nil"/>
          <w:lang w:val="en-US"/>
        </w:rPr>
      </w:pPr>
      <w:r w:rsidRPr="00D508EA">
        <w:rPr>
          <w:rFonts w:ascii="Arial Narrow" w:hAnsi="Arial Narrow" w:cs="Times New Roman"/>
          <w:b/>
          <w:iCs/>
          <w:sz w:val="18"/>
          <w:szCs w:val="18"/>
          <w:lang w:val="en-US"/>
        </w:rPr>
        <w:t>Keywords:</w:t>
      </w:r>
      <w:r w:rsidRPr="000C5769">
        <w:rPr>
          <w:rFonts w:ascii="Arial Narrow" w:hAnsi="Arial Narrow" w:cs="Times New Roman"/>
          <w:sz w:val="18"/>
          <w:szCs w:val="18"/>
          <w:lang w:val="en-US"/>
        </w:rPr>
        <w:t xml:space="preserve"> </w:t>
      </w:r>
      <w:r w:rsidR="00AD1AC7" w:rsidRPr="00881838">
        <w:rPr>
          <w:rFonts w:ascii="Arial Narrow" w:hAnsi="Arial Narrow"/>
          <w:color w:val="000000"/>
          <w:sz w:val="18"/>
          <w:szCs w:val="18"/>
          <w:bdr w:val="nil"/>
          <w:lang w:val="en-US"/>
        </w:rPr>
        <w:t>digital currency, central bank, digital currency issuance, law, Vietnam</w:t>
      </w:r>
    </w:p>
    <w:p w:rsidR="00F4498A" w:rsidRPr="000C5769" w:rsidRDefault="00F4498A" w:rsidP="00AD1AC7">
      <w:pPr>
        <w:spacing w:after="0" w:line="240" w:lineRule="auto"/>
        <w:ind w:left="567" w:right="709"/>
        <w:jc w:val="both"/>
        <w:rPr>
          <w:rFonts w:ascii="Arial Narrow" w:hAnsi="Arial Narrow" w:cs="Times New Roman"/>
          <w:sz w:val="18"/>
          <w:szCs w:val="18"/>
          <w:lang w:val="en-US"/>
        </w:rPr>
      </w:pPr>
    </w:p>
    <w:p w:rsidR="008D3760" w:rsidRDefault="008D3760" w:rsidP="00262A4C">
      <w:pPr>
        <w:spacing w:after="0" w:line="240" w:lineRule="auto"/>
        <w:ind w:left="567" w:right="567"/>
        <w:jc w:val="center"/>
        <w:rPr>
          <w:rFonts w:ascii="Arial Narrow" w:hAnsi="Arial Narrow" w:cs="Times New Roman"/>
          <w:b/>
          <w:sz w:val="18"/>
          <w:szCs w:val="18"/>
        </w:rPr>
      </w:pPr>
    </w:p>
    <w:p w:rsidR="00CB1D09" w:rsidRPr="00F4498A" w:rsidRDefault="00E02A3C" w:rsidP="00CB1D09">
      <w:pPr>
        <w:spacing w:after="0" w:line="240" w:lineRule="auto"/>
        <w:ind w:left="567" w:right="567"/>
        <w:jc w:val="center"/>
        <w:rPr>
          <w:rStyle w:val="jlqj4b"/>
          <w:rFonts w:ascii="Arial Narrow" w:hAnsi="Arial Narrow"/>
          <w:b/>
          <w:bCs/>
          <w:lang w:val="en-US"/>
        </w:rPr>
      </w:pPr>
      <w:r w:rsidRPr="00F4498A">
        <w:rPr>
          <w:rStyle w:val="jlqj4b"/>
          <w:rFonts w:ascii="Arial Narrow" w:hAnsi="Arial Narrow"/>
          <w:b/>
          <w:bCs/>
          <w:lang w:val="id-ID"/>
        </w:rPr>
        <w:t>Penerbitan mata uang digital nasional di bawah hukum Vietnam</w:t>
      </w:r>
    </w:p>
    <w:p w:rsidR="00E02A3C" w:rsidRPr="00E02A3C" w:rsidRDefault="00E02A3C" w:rsidP="00CB1D09">
      <w:pPr>
        <w:spacing w:after="0" w:line="240" w:lineRule="auto"/>
        <w:ind w:left="567" w:right="567"/>
        <w:jc w:val="center"/>
        <w:rPr>
          <w:rFonts w:ascii="Arial Narrow" w:hAnsi="Arial Narrow" w:cs="Times New Roman"/>
          <w:b/>
          <w:sz w:val="18"/>
          <w:szCs w:val="18"/>
          <w:highlight w:val="yellow"/>
          <w:lang w:val="en-US"/>
        </w:rPr>
      </w:pPr>
    </w:p>
    <w:p w:rsidR="00E02A3C" w:rsidRPr="00E02A3C" w:rsidRDefault="00E02A3C" w:rsidP="00E02A3C">
      <w:pPr>
        <w:spacing w:after="0" w:line="240" w:lineRule="auto"/>
        <w:ind w:left="567" w:right="567"/>
        <w:rPr>
          <w:rFonts w:ascii="Arial Narrow" w:hAnsi="Arial Narrow" w:cs="Times New Roman"/>
          <w:b/>
          <w:sz w:val="18"/>
          <w:szCs w:val="18"/>
          <w:lang w:val="en-US"/>
        </w:rPr>
      </w:pPr>
      <w:r w:rsidRPr="00E02A3C">
        <w:rPr>
          <w:rFonts w:ascii="Arial Narrow" w:hAnsi="Arial Narrow" w:cs="Times New Roman"/>
          <w:b/>
          <w:sz w:val="18"/>
          <w:szCs w:val="18"/>
          <w:lang w:val="en-US"/>
        </w:rPr>
        <w:t>Abstrak</w:t>
      </w:r>
    </w:p>
    <w:p w:rsidR="00E02A3C" w:rsidRPr="00E02A3C" w:rsidRDefault="00E02A3C" w:rsidP="00E02A3C">
      <w:pPr>
        <w:spacing w:after="0" w:line="240" w:lineRule="auto"/>
        <w:ind w:left="567" w:right="567"/>
        <w:jc w:val="both"/>
        <w:rPr>
          <w:rFonts w:ascii="Arial Narrow" w:hAnsi="Arial Narrow" w:cs="Times New Roman"/>
          <w:bCs/>
          <w:sz w:val="18"/>
          <w:szCs w:val="18"/>
          <w:lang w:val="en-US"/>
        </w:rPr>
      </w:pPr>
      <w:r w:rsidRPr="00E02A3C">
        <w:rPr>
          <w:rFonts w:ascii="Arial Narrow" w:hAnsi="Arial Narrow" w:cs="Times New Roman"/>
          <w:bCs/>
          <w:sz w:val="18"/>
          <w:szCs w:val="18"/>
          <w:lang w:val="en-US"/>
        </w:rPr>
        <w:t>Artikel ini menganalisis situasi saat ini dan perdebatan tentang mata uang digital yang dikeluarkan oleh bank sentral. Hasil penelitian menunjukkan bahwa hanya beberapa negara yang telah menerbitkan mata uang digital bank sentral, negara-negara lainnya mulai memiliki orientasi institusional untuk penelitian penerbitan dan penggunaan mata uang digital bank sentral. Kekuatan yang menjadi pilihan bank sentral untuk penelitian dan penerbitan mata uang digital adalah tingkat keamanan yang tinggi, kemudahan pengendalian uang yang beredar, dan nilai stabil yang dijamin oleh negara, sehingga berkontribusi pada promosi pembayaran nontunai. Dalam rangka percepatan digitalisasi ekonomi, termasuk perbankan digital, dan promosi pembayaran tunai, Vietnam memiliki orientasi pada mekanisme penelitian, kebijakan dan undang-undang untuk penerbitan mata uang digital nasional. Untuk itu, selain mengkaji, mengamandemen, dan melengkapi Undang-Undang Bank Negara Vietnam terkait penerbitan mata uang, juga perlu menyiapkan sistem infrastruktur teknis secara menyeluruh.</w:t>
      </w:r>
    </w:p>
    <w:p w:rsidR="00E02A3C" w:rsidRPr="00E02A3C" w:rsidRDefault="00E02A3C" w:rsidP="00E02A3C">
      <w:pPr>
        <w:spacing w:after="0" w:line="240" w:lineRule="auto"/>
        <w:ind w:left="567" w:right="567"/>
        <w:jc w:val="center"/>
        <w:rPr>
          <w:rFonts w:ascii="Arial Narrow" w:hAnsi="Arial Narrow" w:cs="Times New Roman"/>
          <w:b/>
          <w:sz w:val="18"/>
          <w:szCs w:val="18"/>
          <w:lang w:val="en-US"/>
        </w:rPr>
      </w:pPr>
    </w:p>
    <w:p w:rsidR="00CB1D09" w:rsidRDefault="00E02A3C" w:rsidP="00E02A3C">
      <w:pPr>
        <w:spacing w:after="0" w:line="240" w:lineRule="auto"/>
        <w:ind w:left="567" w:right="567"/>
        <w:jc w:val="both"/>
        <w:rPr>
          <w:rFonts w:ascii="Arial Narrow" w:hAnsi="Arial Narrow" w:cs="Times New Roman"/>
          <w:b/>
          <w:sz w:val="18"/>
          <w:szCs w:val="18"/>
          <w:lang w:val="en-US"/>
        </w:rPr>
      </w:pPr>
      <w:r w:rsidRPr="00E02A3C">
        <w:rPr>
          <w:rFonts w:ascii="Arial Narrow" w:hAnsi="Arial Narrow" w:cs="Times New Roman"/>
          <w:b/>
          <w:sz w:val="18"/>
          <w:szCs w:val="18"/>
          <w:lang w:val="en-US"/>
        </w:rPr>
        <w:t xml:space="preserve">Kata kunci: </w:t>
      </w:r>
      <w:r w:rsidRPr="00E02A3C">
        <w:rPr>
          <w:rFonts w:ascii="Arial Narrow" w:hAnsi="Arial Narrow" w:cs="Times New Roman"/>
          <w:bCs/>
          <w:sz w:val="18"/>
          <w:szCs w:val="18"/>
          <w:lang w:val="en-US"/>
        </w:rPr>
        <w:t>mata uang digital, bank sentral, penerbitan mata uang digital, hukum, Vietnam</w:t>
      </w:r>
    </w:p>
    <w:p w:rsidR="00E02A3C" w:rsidRPr="00AD1AC7" w:rsidRDefault="00E02A3C" w:rsidP="00E02A3C">
      <w:pPr>
        <w:spacing w:after="0" w:line="240" w:lineRule="auto"/>
        <w:ind w:left="567" w:right="567"/>
        <w:jc w:val="center"/>
        <w:rPr>
          <w:rFonts w:ascii="Arial Narrow" w:hAnsi="Arial Narrow" w:cs="Times New Roman"/>
          <w:b/>
          <w:sz w:val="12"/>
          <w:szCs w:val="12"/>
          <w:highlight w:val="yellow"/>
        </w:rPr>
      </w:pPr>
    </w:p>
    <w:p w:rsidR="001A3553" w:rsidRPr="00AD1AC7" w:rsidRDefault="001A3553" w:rsidP="00262A4C">
      <w:pPr>
        <w:spacing w:after="0" w:line="240" w:lineRule="auto"/>
        <w:ind w:left="567" w:right="567"/>
        <w:jc w:val="center"/>
        <w:rPr>
          <w:rFonts w:ascii="Arial Narrow" w:hAnsi="Arial Narrow" w:cs="Times New Roman"/>
          <w:b/>
          <w:highlight w:val="yellow"/>
        </w:rPr>
      </w:pPr>
    </w:p>
    <w:p w:rsidR="00F4498A" w:rsidRPr="00F4498A" w:rsidRDefault="00F4498A" w:rsidP="00F4498A">
      <w:pPr>
        <w:spacing w:after="0" w:line="240" w:lineRule="auto"/>
        <w:ind w:left="567" w:right="567"/>
        <w:jc w:val="center"/>
        <w:rPr>
          <w:rFonts w:ascii="Arial Narrow" w:hAnsi="Arial Narrow" w:cs="Times New Roman"/>
          <w:b/>
        </w:rPr>
      </w:pPr>
      <w:r w:rsidRPr="00F4498A">
        <w:rPr>
          <w:rFonts w:ascii="Arial Narrow" w:hAnsi="Arial Narrow" w:cs="Times New Roman"/>
          <w:b/>
        </w:rPr>
        <w:t>Выпуск национальной цифровой валюты в соответствии с законодательством Вьетнама</w:t>
      </w:r>
    </w:p>
    <w:p w:rsidR="00F4498A" w:rsidRPr="00F4498A" w:rsidRDefault="00F4498A" w:rsidP="00F4498A">
      <w:pPr>
        <w:spacing w:after="0" w:line="240" w:lineRule="auto"/>
        <w:ind w:left="567" w:right="567"/>
        <w:jc w:val="both"/>
        <w:rPr>
          <w:rFonts w:ascii="Arial Narrow" w:hAnsi="Arial Narrow" w:cs="Times New Roman"/>
          <w:b/>
        </w:rPr>
      </w:pPr>
    </w:p>
    <w:p w:rsidR="00F4498A" w:rsidRPr="00F4498A" w:rsidRDefault="00F4498A" w:rsidP="00F4498A">
      <w:pPr>
        <w:spacing w:after="0" w:line="240" w:lineRule="auto"/>
        <w:ind w:left="567" w:right="567"/>
        <w:jc w:val="both"/>
        <w:rPr>
          <w:rFonts w:ascii="Arial Narrow" w:hAnsi="Arial Narrow" w:cs="Times New Roman"/>
          <w:b/>
        </w:rPr>
      </w:pPr>
      <w:r w:rsidRPr="00F4498A">
        <w:rPr>
          <w:rFonts w:ascii="Arial Narrow" w:hAnsi="Arial Narrow" w:cs="Times New Roman"/>
          <w:b/>
        </w:rPr>
        <w:t>Абстрактный</w:t>
      </w:r>
    </w:p>
    <w:p w:rsidR="00F4498A" w:rsidRPr="00F4498A" w:rsidRDefault="00F4498A" w:rsidP="00F4498A">
      <w:pPr>
        <w:spacing w:after="0" w:line="240" w:lineRule="auto"/>
        <w:ind w:left="567" w:right="567"/>
        <w:jc w:val="both"/>
        <w:rPr>
          <w:rFonts w:ascii="Arial Narrow" w:hAnsi="Arial Narrow" w:cs="Times New Roman"/>
          <w:bCs/>
        </w:rPr>
      </w:pPr>
      <w:r w:rsidRPr="00F4498A">
        <w:rPr>
          <w:rFonts w:ascii="Arial Narrow" w:hAnsi="Arial Narrow" w:cs="Times New Roman"/>
          <w:bCs/>
        </w:rPr>
        <w:t>В статье анализируется текущая ситуация и дебаты по поводу цифровых валют, выпущенных центральным банком. Результаты показывают, что только несколько стран выпустили цифровые валюты центральных банков, остальные страны начали иметь институциональную ориентацию на исследования по выпуску и использованию цифровой валюты центрального банка. Сильные стороны, которые приводят к выбору центральным банком исследования и выпуска цифровой валюты, - это высокий уровень безопасности, удобство контроля денег в обращении и стабильная стоимость, гарантированная государством, что способствует продвижению безналичных платежей. В контексте ускорения оцифровки экономики, включая цифровой банкинг, и продвижения наличных платежей, Вьетнам ориентировался на исследовательские механизмы, политику и законы для выпуска национальной цифровой валюты. Для этого, помимо пересмотра, изменения и дополнения Закона о Государственном банке Вьетнама, касающегося эмиссии валюты, также необходимо полностью подготовить систему технической инфраструктуры.</w:t>
      </w:r>
    </w:p>
    <w:p w:rsidR="00F4498A" w:rsidRPr="00F4498A" w:rsidRDefault="00F4498A" w:rsidP="00F4498A">
      <w:pPr>
        <w:spacing w:after="0" w:line="240" w:lineRule="auto"/>
        <w:ind w:left="567" w:right="567"/>
        <w:jc w:val="both"/>
        <w:rPr>
          <w:rFonts w:ascii="Arial Narrow" w:hAnsi="Arial Narrow" w:cs="Times New Roman"/>
          <w:b/>
        </w:rPr>
      </w:pPr>
    </w:p>
    <w:p w:rsidR="00CB1D09" w:rsidRDefault="00F4498A" w:rsidP="00F4498A">
      <w:pPr>
        <w:spacing w:after="0" w:line="240" w:lineRule="auto"/>
        <w:ind w:left="567" w:right="567"/>
        <w:jc w:val="both"/>
        <w:rPr>
          <w:rFonts w:ascii="Arial Narrow" w:hAnsi="Arial Narrow" w:cs="Times New Roman"/>
          <w:b/>
          <w:lang w:val="en-US"/>
        </w:rPr>
      </w:pPr>
      <w:r w:rsidRPr="00F4498A">
        <w:rPr>
          <w:rFonts w:ascii="Arial Narrow" w:hAnsi="Arial Narrow" w:cs="Times New Roman"/>
          <w:b/>
        </w:rPr>
        <w:t xml:space="preserve">Ключевые слова: </w:t>
      </w:r>
      <w:r w:rsidRPr="00F4498A">
        <w:rPr>
          <w:rFonts w:ascii="Arial Narrow" w:hAnsi="Arial Narrow" w:cs="Times New Roman"/>
          <w:bCs/>
        </w:rPr>
        <w:t>цифровая валюта, центральный банк, выпуск цифровой валюты, закон, Вьетнам.</w:t>
      </w:r>
    </w:p>
    <w:p w:rsidR="00F4498A" w:rsidRPr="00F4498A" w:rsidRDefault="00F4498A" w:rsidP="00F4498A">
      <w:pPr>
        <w:spacing w:after="0" w:line="240" w:lineRule="auto"/>
        <w:ind w:left="567" w:right="567"/>
        <w:jc w:val="both"/>
        <w:rPr>
          <w:rFonts w:ascii="Arial Narrow" w:eastAsia="Calibri" w:hAnsi="Arial Narrow" w:cs="Times New Roman"/>
          <w:sz w:val="18"/>
          <w:szCs w:val="18"/>
          <w:lang w:val="en-US"/>
        </w:rPr>
      </w:pPr>
    </w:p>
    <w:p w:rsidR="00DB3698" w:rsidRPr="000C5769" w:rsidRDefault="00DB3698" w:rsidP="00262A4C">
      <w:pPr>
        <w:spacing w:after="0" w:line="240" w:lineRule="auto"/>
        <w:ind w:left="567" w:right="567"/>
        <w:jc w:val="both"/>
        <w:rPr>
          <w:rFonts w:ascii="Arial Narrow" w:eastAsia="Calibri" w:hAnsi="Arial Narrow" w:cs="Times New Roman"/>
          <w:sz w:val="18"/>
          <w:szCs w:val="18"/>
        </w:rPr>
      </w:pPr>
    </w:p>
    <w:p w:rsidR="0040230C" w:rsidRPr="002C4E99" w:rsidRDefault="00834713" w:rsidP="00CB1D09">
      <w:pPr>
        <w:spacing w:after="120" w:line="240" w:lineRule="auto"/>
        <w:jc w:val="both"/>
        <w:rPr>
          <w:rFonts w:ascii="Palatino Linotype" w:hAnsi="Palatino Linotype" w:cs="PalatinoLinotype,Bold"/>
          <w:b/>
          <w:bCs/>
          <w:sz w:val="20"/>
          <w:szCs w:val="20"/>
          <w:lang w:val="en-US"/>
        </w:rPr>
      </w:pPr>
      <w:r w:rsidRPr="002C4E99">
        <w:rPr>
          <w:rFonts w:ascii="Palatino Linotype" w:hAnsi="Palatino Linotype" w:cs="PalatinoLinotype,Bold"/>
          <w:b/>
          <w:bCs/>
          <w:sz w:val="20"/>
          <w:szCs w:val="20"/>
          <w:lang w:val="en-US"/>
        </w:rPr>
        <w:t>A. INTRODUCTION</w:t>
      </w:r>
      <w:r w:rsidR="00CB1D09">
        <w:rPr>
          <w:rFonts w:ascii="Palatino Linotype" w:hAnsi="Palatino Linotype" w:cs="PalatinoLinotype,Bold"/>
          <w:b/>
          <w:bCs/>
          <w:sz w:val="20"/>
          <w:szCs w:val="20"/>
          <w:lang w:val="en-US"/>
        </w:rPr>
        <w:t xml:space="preserve"> </w:t>
      </w:r>
    </w:p>
    <w:p w:rsidR="00AD1AC7" w:rsidRPr="00881838" w:rsidRDefault="00AD1AC7" w:rsidP="00AD1AC7">
      <w:pPr>
        <w:spacing w:line="240" w:lineRule="auto"/>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xml:space="preserve">Central bank digital currency issuance is a topic that has not only attracted the attention of researchers to expand the theory of currency circulation, but also become the interest of managers. Decisions on allowing the issuance of digital currencies by central banks have a direct impact on the effectiveness of monetary policy regarding the storage, management, and use of digital currency in socio-economic life in each country.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It is undeniable that digital currencies invented by private organizations are being accepted as an increasingly popular means of payment in the world. This raises concerns about the risk of</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 xml:space="preserve">“playing second fiddle” or gradually </w:t>
      </w:r>
      <w:r w:rsidRPr="00881838">
        <w:rPr>
          <w:rFonts w:ascii="Palatino Linotype" w:hAnsi="Palatino Linotype"/>
          <w:color w:val="000000"/>
          <w:sz w:val="20"/>
          <w:szCs w:val="20"/>
          <w:bdr w:val="nil"/>
          <w:lang w:val="en-US"/>
        </w:rPr>
        <w:lastRenderedPageBreak/>
        <w:t>losing the position of fiat money, which exists in physical form (paper money or coins) issued by the central bank. As a result, a number of national central banks have authorized or started preparations for the issuance of their digital currency from their infrastructure, circulation, security measures, and regulatory framework for the issuance, management, and use of central bank digital currencies in order to ensure the ability to control the money supply and the stability of the economy, especially in the context of increasingly strong scientific and technological advances and the trend of digitizing the economy at the national and global scale.</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xml:space="preserve">In Vietnam, digital currency has also appeared, and transactions of buying and selling this currency have become a popular investment channel for many investors. Although the majority of digital currency investments are for speculative purposes, the acceptance of digital currencies such as bitcoin as a means of payment shows that the needs to use digital currency (of the private sector for payment) are real, even in case the State of Vietnam does not recognize digital currency as a means of payment in the economy.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To meet the requirements of building a digital government, a digital economy and a digital society, as well as to actively adapt to the fourth industrial revolution, the process of digitizing the banking activities is being promoted by the State Bank of Vietnam as well as credit institutions, in which, digital infrastructure for ensuring the safety of digital banking operations, protecting the interests of consumers as well as ensuring a reasonable and efficient allocation of capital to the economy are key goals. In the Cashless Payment Development Project, Vietnam officially mentioned the central bank's digital currency with the name of “national digital currency” and set out requirements to study mechanisms, policies, and laws to deploy the issuance of national digital currency. Thus, the formalization of Vietnam's national digital currency issuance is a step-in line with the general trend of countries around the world. To do this, in addition to reviewing the laws related to science, technology - information activities, electronic transactions and electronic payments, amending and supplementing regulations on money issuance in the Law on the State Bank of Vietnam should be done immediately.</w:t>
      </w:r>
    </w:p>
    <w:p w:rsidR="00AD1AC7" w:rsidRPr="00881838" w:rsidRDefault="00AD1AC7" w:rsidP="00AD1AC7">
      <w:pPr>
        <w:spacing w:line="240" w:lineRule="auto"/>
        <w:jc w:val="both"/>
        <w:rPr>
          <w:rFonts w:ascii="Palatino Linotype" w:hAnsi="Palatino Linotype"/>
          <w:b/>
          <w:bCs/>
          <w:color w:val="000000"/>
          <w:sz w:val="20"/>
          <w:szCs w:val="20"/>
          <w:bdr w:val="nil"/>
          <w:lang w:val="vi-VN"/>
        </w:rPr>
      </w:pPr>
      <w:r>
        <w:rPr>
          <w:rFonts w:ascii="Palatino Linotype" w:hAnsi="Palatino Linotype"/>
          <w:b/>
          <w:bCs/>
          <w:color w:val="000000"/>
          <w:sz w:val="20"/>
          <w:szCs w:val="20"/>
          <w:bdr w:val="nil"/>
          <w:lang w:val="en-US"/>
        </w:rPr>
        <w:t>B</w:t>
      </w:r>
      <w:r w:rsidRPr="00881838">
        <w:rPr>
          <w:rFonts w:ascii="Palatino Linotype" w:hAnsi="Palatino Linotype"/>
          <w:b/>
          <w:bCs/>
          <w:color w:val="000000"/>
          <w:sz w:val="20"/>
          <w:szCs w:val="20"/>
          <w:bdr w:val="nil"/>
          <w:lang w:val="en-US"/>
        </w:rPr>
        <w:t>. RESEARCH</w:t>
      </w:r>
      <w:r w:rsidRPr="00881838">
        <w:rPr>
          <w:rFonts w:ascii="Palatino Linotype" w:hAnsi="Palatino Linotype"/>
          <w:b/>
          <w:bCs/>
          <w:color w:val="000000"/>
          <w:sz w:val="20"/>
          <w:szCs w:val="20"/>
          <w:bdr w:val="nil"/>
          <w:lang w:val="vi-VN"/>
        </w:rPr>
        <w:t xml:space="preserve"> METHOD</w:t>
      </w:r>
    </w:p>
    <w:p w:rsidR="00AD1AC7" w:rsidRPr="00881838" w:rsidRDefault="00AD1AC7" w:rsidP="00AD1AC7">
      <w:pPr>
        <w:spacing w:line="240" w:lineRule="auto"/>
        <w:ind w:firstLine="432"/>
        <w:jc w:val="both"/>
        <w:rPr>
          <w:rStyle w:val="Normal"/>
          <w:rFonts w:ascii="Palatino Linotype" w:hAnsi="Palatino Linotype"/>
          <w:color w:val="000000"/>
          <w:sz w:val="20"/>
          <w:szCs w:val="20"/>
        </w:rPr>
      </w:pPr>
      <w:r w:rsidRPr="00881838">
        <w:rPr>
          <w:rStyle w:val="Normal"/>
          <w:rFonts w:ascii="Palatino Linotype" w:hAnsi="Palatino Linotype"/>
          <w:color w:val="000000"/>
          <w:sz w:val="20"/>
          <w:szCs w:val="20"/>
        </w:rPr>
        <w:t>Legal research can be divided into normative legal analysis and empirical legal research. A normative juridical study of law as a</w:t>
      </w:r>
      <w:r w:rsidRPr="00881838">
        <w:rPr>
          <w:rStyle w:val="Normal"/>
          <w:rFonts w:ascii="Palatino Linotype" w:hAnsi="Palatino Linotype"/>
          <w:color w:val="000000"/>
          <w:sz w:val="20"/>
          <w:szCs w:val="20"/>
          <w:lang w:val="vi-VN"/>
        </w:rPr>
        <w:t xml:space="preserve"> </w:t>
      </w:r>
      <w:r w:rsidRPr="00881838">
        <w:rPr>
          <w:rStyle w:val="Normal"/>
          <w:rFonts w:ascii="Palatino Linotype" w:hAnsi="Palatino Linotype"/>
          <w:color w:val="000000"/>
          <w:sz w:val="20"/>
          <w:szCs w:val="20"/>
        </w:rPr>
        <w:t>norm that uses a positivist logical concept</w:t>
      </w:r>
      <w:r w:rsidRPr="00881838">
        <w:rPr>
          <w:rStyle w:val="Normal"/>
          <w:rFonts w:ascii="Palatino Linotype" w:hAnsi="Palatino Linotype"/>
          <w:color w:val="000000"/>
          <w:sz w:val="20"/>
          <w:szCs w:val="20"/>
          <w:lang w:val="vi-VN"/>
        </w:rPr>
        <w:t xml:space="preserve"> </w:t>
      </w:r>
      <w:r w:rsidRPr="00881838">
        <w:rPr>
          <w:rStyle w:val="Normal"/>
          <w:rFonts w:ascii="Palatino Linotype" w:hAnsi="Palatino Linotype"/>
          <w:color w:val="000000"/>
          <w:sz w:val="20"/>
          <w:szCs w:val="20"/>
        </w:rPr>
        <w:t xml:space="preserve">and is identical with written norms by trying to find </w:t>
      </w:r>
      <w:r w:rsidRPr="00881838">
        <w:rPr>
          <w:rStyle w:val="Normal"/>
          <w:rFonts w:ascii="Palatino Linotype" w:hAnsi="Palatino Linotype"/>
          <w:color w:val="000000"/>
          <w:sz w:val="20"/>
          <w:szCs w:val="20"/>
        </w:rPr>
        <w:lastRenderedPageBreak/>
        <w:t>whether the law is suitable to</w:t>
      </w:r>
      <w:r w:rsidRPr="00881838">
        <w:rPr>
          <w:rStyle w:val="Normal"/>
          <w:rFonts w:ascii="Palatino Linotype" w:hAnsi="Palatino Linotype"/>
          <w:color w:val="000000"/>
          <w:sz w:val="20"/>
          <w:szCs w:val="20"/>
          <w:lang w:val="vi-VN"/>
        </w:rPr>
        <w:t xml:space="preserve"> </w:t>
      </w:r>
      <w:r w:rsidRPr="00881838">
        <w:rPr>
          <w:rStyle w:val="Normal"/>
          <w:rFonts w:ascii="Palatino Linotype" w:hAnsi="Palatino Linotype"/>
          <w:color w:val="000000"/>
          <w:sz w:val="20"/>
          <w:szCs w:val="20"/>
        </w:rPr>
        <w:t>be</w:t>
      </w:r>
      <w:r w:rsidRPr="00881838">
        <w:rPr>
          <w:rStyle w:val="Normal"/>
          <w:rFonts w:ascii="Palatino Linotype" w:hAnsi="Palatino Linotype"/>
          <w:color w:val="000000"/>
          <w:sz w:val="20"/>
          <w:szCs w:val="20"/>
          <w:lang w:val="vi-VN"/>
        </w:rPr>
        <w:t xml:space="preserve"> </w:t>
      </w:r>
      <w:r w:rsidRPr="00881838">
        <w:rPr>
          <w:rStyle w:val="Normal"/>
          <w:rFonts w:ascii="Palatino Linotype" w:hAnsi="Palatino Linotype"/>
          <w:color w:val="000000"/>
          <w:sz w:val="20"/>
          <w:szCs w:val="20"/>
        </w:rPr>
        <w:t xml:space="preserve">applied to solve a particular problem. The source of research data is </w:t>
      </w:r>
      <w:r w:rsidRPr="00881838">
        <w:rPr>
          <w:rStyle w:val="Normal"/>
          <w:rFonts w:ascii="Palatino Linotype" w:hAnsi="Palatino Linotype"/>
          <w:color w:val="000000"/>
          <w:sz w:val="20"/>
          <w:szCs w:val="20"/>
          <w:lang w:val="en-US"/>
        </w:rPr>
        <w:t xml:space="preserve">the </w:t>
      </w:r>
      <w:r w:rsidRPr="00881838">
        <w:rPr>
          <w:rStyle w:val="Normal"/>
          <w:rFonts w:ascii="Palatino Linotype" w:hAnsi="Palatino Linotype"/>
          <w:color w:val="000000"/>
          <w:sz w:val="20"/>
          <w:szCs w:val="20"/>
        </w:rPr>
        <w:t>material law where the legal material is taken</w:t>
      </w:r>
      <w:r w:rsidRPr="00881838">
        <w:rPr>
          <w:rStyle w:val="Normal"/>
          <w:rFonts w:ascii="Palatino Linotype" w:hAnsi="Palatino Linotype"/>
          <w:color w:val="000000"/>
          <w:sz w:val="20"/>
          <w:szCs w:val="20"/>
          <w:lang w:val="en-US"/>
        </w:rPr>
        <w:t>,</w:t>
      </w:r>
      <w:r w:rsidRPr="00881838">
        <w:rPr>
          <w:rStyle w:val="Normal"/>
          <w:rFonts w:ascii="Palatino Linotype" w:hAnsi="Palatino Linotype"/>
          <w:color w:val="000000"/>
          <w:sz w:val="20"/>
          <w:szCs w:val="20"/>
        </w:rPr>
        <w:t xml:space="preserve"> </w:t>
      </w:r>
      <w:r w:rsidRPr="00881838">
        <w:rPr>
          <w:rStyle w:val="Normal"/>
          <w:rFonts w:ascii="Palatino Linotype" w:hAnsi="Palatino Linotype"/>
          <w:color w:val="000000"/>
          <w:sz w:val="20"/>
          <w:szCs w:val="20"/>
          <w:lang w:val="en-US"/>
        </w:rPr>
        <w:t>in order to</w:t>
      </w:r>
      <w:r w:rsidRPr="00881838">
        <w:rPr>
          <w:rStyle w:val="Normal"/>
          <w:rFonts w:ascii="Palatino Linotype" w:hAnsi="Palatino Linotype"/>
          <w:color w:val="000000"/>
          <w:sz w:val="20"/>
          <w:szCs w:val="20"/>
        </w:rPr>
        <w:t xml:space="preserve"> help the formation of law. Data Collection Method is documentation with primary data material obtained from applicable legislation and adjusted to the subject matter being studied. The Secondary Law material is obtained by carrying out an inventory of literature books, documents, articles.  In</w:t>
      </w:r>
      <w:r w:rsidRPr="00881838">
        <w:rPr>
          <w:rStyle w:val="Normal"/>
          <w:rFonts w:ascii="Palatino Linotype" w:hAnsi="Palatino Linotype"/>
          <w:color w:val="000000"/>
          <w:sz w:val="20"/>
          <w:szCs w:val="20"/>
          <w:lang w:val="vi-VN"/>
        </w:rPr>
        <w:t xml:space="preserve"> </w:t>
      </w:r>
      <w:r w:rsidRPr="00881838">
        <w:rPr>
          <w:rStyle w:val="Normal"/>
          <w:rFonts w:ascii="Palatino Linotype" w:hAnsi="Palatino Linotype"/>
          <w:color w:val="000000"/>
          <w:sz w:val="20"/>
          <w:szCs w:val="20"/>
        </w:rPr>
        <w:t>presenting data, this research will be presented in the form of a description compiled systematically following the systematic flow of the discussion. Methods of Data Analysis conducted with legal material obtained and then analyzed qualitatively, namely, analysis conducted by understanding and compiling data that has been obtained and compiled systematically, then drawn conclusions.</w:t>
      </w:r>
    </w:p>
    <w:p w:rsidR="00AD1AC7" w:rsidRPr="00881838" w:rsidRDefault="00AD1AC7" w:rsidP="00AD1AC7">
      <w:pPr>
        <w:spacing w:line="240" w:lineRule="auto"/>
        <w:ind w:firstLine="432"/>
        <w:jc w:val="both"/>
        <w:rPr>
          <w:rStyle w:val="Normal"/>
          <w:rFonts w:ascii="Palatino Linotype" w:hAnsi="Palatino Linotype"/>
          <w:sz w:val="20"/>
          <w:szCs w:val="20"/>
          <w:lang w:val="vi-VN"/>
        </w:rPr>
      </w:pPr>
      <w:r w:rsidRPr="00881838">
        <w:rPr>
          <w:rStyle w:val="Normal"/>
          <w:rFonts w:ascii="Palatino Linotype" w:hAnsi="Palatino Linotype"/>
          <w:sz w:val="20"/>
          <w:szCs w:val="20"/>
        </w:rPr>
        <w:t>The article is made based on a descriptive qualitative analysis method based on the main data sources, those are publications and archives, which focus on political orientations, policies, the national digital transformation strategy, and the banking industry development strategy to 2025, a vision to 203</w:t>
      </w:r>
      <w:r w:rsidRPr="00881838">
        <w:rPr>
          <w:rStyle w:val="Normal"/>
          <w:rFonts w:ascii="Palatino Linotype" w:hAnsi="Palatino Linotype"/>
          <w:sz w:val="20"/>
          <w:szCs w:val="20"/>
          <w:lang w:val="vi-VN"/>
        </w:rPr>
        <w:t xml:space="preserve">0; </w:t>
      </w:r>
      <w:r w:rsidRPr="00881838">
        <w:rPr>
          <w:rFonts w:ascii="Palatino Linotype" w:hAnsi="Palatino Linotype"/>
          <w:color w:val="000000"/>
          <w:sz w:val="20"/>
          <w:szCs w:val="20"/>
          <w:bdr w:val="nil"/>
          <w:lang w:val="en-US"/>
        </w:rPr>
        <w:t>the National Digital Transformation Program to 2025, with orientation to 2030</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 xml:space="preserve">Decision No. </w:t>
      </w:r>
      <w:r w:rsidRPr="00881838">
        <w:rPr>
          <w:rFonts w:ascii="Palatino Linotype" w:hAnsi="Palatino Linotype"/>
          <w:color w:val="000000"/>
          <w:sz w:val="20"/>
          <w:szCs w:val="20"/>
          <w:bdr w:val="nil"/>
          <w:shd w:val="clear" w:color="auto" w:fill="FFFFFF"/>
          <w:lang w:val="en-US"/>
        </w:rPr>
        <w:t>74</w:t>
      </w:r>
      <w:r w:rsidRPr="00881838">
        <w:rPr>
          <w:rFonts w:ascii="Palatino Linotype" w:hAnsi="Palatino Linotype"/>
          <w:color w:val="000000"/>
          <w:sz w:val="20"/>
          <w:szCs w:val="20"/>
          <w:bdr w:val="nil"/>
          <w:lang w:val="en-US"/>
        </w:rPr>
        <w:t>9/QD-TTg dated June 3, 2020</w:t>
      </w:r>
      <w:r w:rsidRPr="00881838">
        <w:rPr>
          <w:rFonts w:ascii="Palatino Linotype" w:hAnsi="Palatino Linotype"/>
          <w:color w:val="000000"/>
          <w:sz w:val="20"/>
          <w:szCs w:val="20"/>
          <w:bdr w:val="nil"/>
          <w:lang w:val="vi-VN"/>
        </w:rPr>
        <w:t xml:space="preserve"> of The Prime Minister); </w:t>
      </w:r>
      <w:r w:rsidRPr="00881838">
        <w:rPr>
          <w:rFonts w:ascii="Palatino Linotype" w:hAnsi="Palatino Linotype"/>
          <w:color w:val="000000"/>
          <w:sz w:val="20"/>
          <w:szCs w:val="20"/>
          <w:bdr w:val="nil"/>
          <w:lang w:val="en-US"/>
        </w:rPr>
        <w:t>the Strategy for E-Government Development towards Digital Government in the 2021 - 2025 period, orientation to 2030</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Decision No. 942/QD-TTg dated June 15, 2021</w:t>
      </w:r>
      <w:r w:rsidRPr="00881838">
        <w:rPr>
          <w:rFonts w:ascii="Palatino Linotype" w:hAnsi="Palatino Linotype"/>
          <w:color w:val="000000"/>
          <w:sz w:val="20"/>
          <w:szCs w:val="20"/>
          <w:bdr w:val="nil"/>
          <w:lang w:val="vi-VN"/>
        </w:rPr>
        <w:t xml:space="preserve"> of The Prime Minister) and </w:t>
      </w:r>
      <w:r w:rsidRPr="00881838">
        <w:rPr>
          <w:rFonts w:ascii="Palatino Linotype" w:hAnsi="Palatino Linotype"/>
          <w:color w:val="000000"/>
          <w:sz w:val="20"/>
          <w:szCs w:val="20"/>
          <w:bdr w:val="nil"/>
          <w:lang w:val="en-US"/>
        </w:rPr>
        <w:t>the project of developing non-cash payment in Vietnam for the period of</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2021 – 2025</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Decision No. 1813/QD-TTg dated October 28, 2021</w:t>
      </w:r>
      <w:r w:rsidRPr="00881838">
        <w:rPr>
          <w:rFonts w:ascii="Palatino Linotype" w:hAnsi="Palatino Linotype"/>
          <w:color w:val="000000"/>
          <w:sz w:val="20"/>
          <w:szCs w:val="20"/>
          <w:bdr w:val="nil"/>
          <w:lang w:val="vi-VN"/>
        </w:rPr>
        <w:t xml:space="preserve"> of The Prime Minister).</w:t>
      </w:r>
    </w:p>
    <w:p w:rsidR="00AD1AC7" w:rsidRPr="00881838" w:rsidRDefault="00AD1AC7" w:rsidP="00F4498A">
      <w:pPr>
        <w:spacing w:line="240" w:lineRule="auto"/>
        <w:jc w:val="both"/>
        <w:rPr>
          <w:rFonts w:ascii="Palatino Linotype" w:hAnsi="Palatino Linotype"/>
          <w:b/>
          <w:bCs/>
          <w:color w:val="000000"/>
          <w:sz w:val="20"/>
          <w:szCs w:val="20"/>
          <w:bdr w:val="nil"/>
          <w:lang w:val="vi-VN"/>
        </w:rPr>
      </w:pPr>
      <w:r>
        <w:rPr>
          <w:rFonts w:ascii="Palatino Linotype" w:hAnsi="Palatino Linotype"/>
          <w:b/>
          <w:bCs/>
          <w:color w:val="000000"/>
          <w:sz w:val="20"/>
          <w:szCs w:val="20"/>
          <w:bdr w:val="nil"/>
          <w:lang w:val="en-US"/>
        </w:rPr>
        <w:t>C</w:t>
      </w:r>
      <w:r w:rsidRPr="00881838">
        <w:rPr>
          <w:rFonts w:ascii="Palatino Linotype" w:hAnsi="Palatino Linotype"/>
          <w:b/>
          <w:bCs/>
          <w:color w:val="000000"/>
          <w:sz w:val="20"/>
          <w:szCs w:val="20"/>
          <w:bdr w:val="nil"/>
          <w:lang w:val="vi-VN"/>
        </w:rPr>
        <w:t xml:space="preserve">. </w:t>
      </w:r>
      <w:bookmarkStart w:id="0" w:name="_Toc91544059"/>
      <w:r w:rsidRPr="00881838">
        <w:rPr>
          <w:rFonts w:ascii="Palatino Linotype" w:hAnsi="Palatino Linotype"/>
          <w:b/>
          <w:bCs/>
          <w:color w:val="000000"/>
          <w:sz w:val="20"/>
          <w:szCs w:val="20"/>
        </w:rPr>
        <w:t>RESULTS AND DISCUSSION</w:t>
      </w:r>
      <w:bookmarkEnd w:id="0"/>
    </w:p>
    <w:p w:rsidR="00AD1AC7" w:rsidRPr="00881838" w:rsidRDefault="00AD1AC7" w:rsidP="00AD1AC7">
      <w:pPr>
        <w:spacing w:line="240" w:lineRule="auto"/>
        <w:jc w:val="both"/>
        <w:rPr>
          <w:rFonts w:ascii="Palatino Linotype" w:hAnsi="Palatino Linotype"/>
          <w:b/>
          <w:bCs/>
          <w:i/>
          <w:iCs/>
          <w:color w:val="000000"/>
          <w:sz w:val="20"/>
          <w:szCs w:val="20"/>
          <w:lang w:val="vi-VN"/>
        </w:rPr>
      </w:pPr>
      <w:r w:rsidRPr="00881838">
        <w:rPr>
          <w:rFonts w:ascii="Palatino Linotype" w:hAnsi="Palatino Linotype"/>
          <w:b/>
          <w:bCs/>
          <w:i/>
          <w:iCs/>
          <w:color w:val="000000"/>
          <w:sz w:val="20"/>
          <w:szCs w:val="20"/>
          <w:bdr w:val="nil"/>
          <w:lang w:val="en-US"/>
        </w:rPr>
        <w:t>Digital currencies and the central bank digital currencies: legislative debates and trends</w:t>
      </w:r>
    </w:p>
    <w:p w:rsidR="00AD1AC7" w:rsidRPr="00881838" w:rsidRDefault="00AD1AC7" w:rsidP="00AD1AC7">
      <w:pPr>
        <w:spacing w:line="240" w:lineRule="auto"/>
        <w:jc w:val="both"/>
        <w:rPr>
          <w:rFonts w:ascii="Palatino Linotype" w:hAnsi="Palatino Linotype"/>
          <w:i/>
          <w:iCs/>
          <w:color w:val="000000"/>
          <w:sz w:val="20"/>
          <w:szCs w:val="20"/>
          <w:lang w:val="vi-VN"/>
        </w:rPr>
      </w:pPr>
      <w:r w:rsidRPr="00881838">
        <w:rPr>
          <w:rFonts w:ascii="Palatino Linotype" w:hAnsi="Palatino Linotype"/>
          <w:i/>
          <w:iCs/>
          <w:color w:val="000000"/>
          <w:sz w:val="20"/>
          <w:szCs w:val="20"/>
          <w:bdr w:val="nil"/>
          <w:lang w:val="en-US"/>
        </w:rPr>
        <w:t>The evolution of money forms: from physical money to digital money</w:t>
      </w:r>
    </w:p>
    <w:p w:rsidR="00AD1AC7" w:rsidRPr="00881838" w:rsidRDefault="00AD1AC7" w:rsidP="00AD1AC7">
      <w:pPr>
        <w:spacing w:line="240" w:lineRule="auto"/>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Money is a financial instrument that fulfills basic functions as a medium of exchange, unit of account, store of value, and the deferred standard. To fulfill these four functions, money must be durable, movable, divisible, and difficult to counterfeit</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Shirai</w:t>
      </w:r>
      <w:r w:rsidRPr="00881838">
        <w:rPr>
          <w:rFonts w:ascii="Palatino Linotype" w:hAnsi="Palatino Linotype"/>
          <w:color w:val="000000"/>
          <w:sz w:val="20"/>
          <w:szCs w:val="20"/>
          <w:bdr w:val="nil"/>
          <w:lang w:val="vi-VN"/>
        </w:rPr>
        <w:t>, 2019)</w:t>
      </w:r>
      <w:r w:rsidRPr="00881838">
        <w:rPr>
          <w:rFonts w:ascii="Palatino Linotype" w:hAnsi="Palatino Linotype"/>
          <w:color w:val="000000"/>
          <w:sz w:val="20"/>
          <w:szCs w:val="20"/>
          <w:bdr w:val="nil"/>
          <w:lang w:val="en-US"/>
        </w:rPr>
        <w:t>. Cash provision for public use is an important tool of central banks</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Bank for International Settlement</w:t>
      </w:r>
      <w:r w:rsidRPr="00881838">
        <w:rPr>
          <w:rFonts w:ascii="Palatino Linotype" w:hAnsi="Palatino Linotype"/>
          <w:color w:val="000000"/>
          <w:sz w:val="20"/>
          <w:szCs w:val="20"/>
          <w:bdr w:val="nil"/>
          <w:lang w:val="vi-VN"/>
        </w:rPr>
        <w:t>s 2020)</w:t>
      </w:r>
      <w:r w:rsidRPr="00881838">
        <w:rPr>
          <w:rFonts w:ascii="Palatino Linotype" w:hAnsi="Palatino Linotype"/>
          <w:color w:val="000000"/>
          <w:sz w:val="20"/>
          <w:szCs w:val="20"/>
          <w:bdr w:val="nil"/>
          <w:lang w:val="en-US"/>
        </w:rPr>
        <w:t xml:space="preserve">.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xml:space="preserve">Central bank's money is defined as legal money; money must be accepted to pay a monetary debt, including legal taxes and penalties, it means that money acts as an intermediary in the exchange of goods. The value of money is expressed in the purchasing power of money which is measured by the amount </w:t>
      </w:r>
      <w:r w:rsidRPr="00881838">
        <w:rPr>
          <w:rFonts w:ascii="Palatino Linotype" w:hAnsi="Palatino Linotype"/>
          <w:color w:val="000000"/>
          <w:sz w:val="20"/>
          <w:szCs w:val="20"/>
          <w:bdr w:val="nil"/>
          <w:lang w:val="en-US"/>
        </w:rPr>
        <w:lastRenderedPageBreak/>
        <w:t>of goods and services that can be used with the same amount of money value in a certain period of time. In the history of money development, paper money, coins are popular. In addition, there is credit money - that is money in a trading account opened by a customer, be the owner, has the right to request the bank to open the account to execute payment orders according to his/her needs. In order to use the payment account, customers must deposit paper money into their account. The transaction value of the credit money cannot exceed the balance on the payment account. Currently, credit institutions also issue debit cards to customers, whereby, customers have full rights to use the card for limited payment purposes. When using a debit account, the customer becomes a borrower of the credit institution and must pay interest.</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The development of science and technology results in the appearance of digital assets such as Bitcoin or the recently proposed Stablecoins from BigTech, such as Diem (formerly Libra) which is essentially the process of digitalization of currency and is increasingly being accepted and used by the public as an alternative payment to the central bank fiat money within a certain community. In this situation, central banks face the increasing competition from private institutions which offer their own digital cash alternatives</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David, Christian, Thomas</w:t>
      </w:r>
      <w:r w:rsidRPr="00881838">
        <w:rPr>
          <w:rFonts w:ascii="Palatino Linotype" w:hAnsi="Palatino Linotype"/>
          <w:color w:val="000000"/>
          <w:sz w:val="20"/>
          <w:szCs w:val="20"/>
          <w:bdr w:val="nil"/>
          <w:lang w:val="vi-VN"/>
        </w:rPr>
        <w:t>, 2021)</w:t>
      </w:r>
      <w:r w:rsidRPr="00881838">
        <w:rPr>
          <w:rFonts w:ascii="Palatino Linotype" w:hAnsi="Palatino Linotype"/>
          <w:color w:val="000000"/>
          <w:sz w:val="20"/>
          <w:szCs w:val="20"/>
          <w:bdr w:val="nil"/>
          <w:lang w:val="en-US"/>
        </w:rPr>
        <w:t xml:space="preserve"> which is essentially to avoid the risk of losing control of the money supply and payment systems because the digital currency acceptance as a means of payment between organizations and individuals is becoming more and more popular.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xml:space="preserve">The growing popularity of digital currency payments that are not controlled by central banks or state agencies will reduce the ability to control the money supply and the stability of the economy. It can be affirmed that the appearance and popularity are reflected in the acceptance of digital currency as a means of payment driven by the financial dynamics of the market economy.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xml:space="preserve">In nature, digital currency is also known as cryptocurrency created by complex cryptographic algorithms based on open-source software; can be traded and sold entirely on the Internet environment and not under the management of any individual or organization (unless directly issued by the central bank); has the value equivalent to real money and has very high liquidity. When being compared to electronic money, digital currencies have many advantages over virtual currencies and electronic money in terms of low volatility/risk, high safety and reliability, low transaction costs, the ability to store it in electronic form. It is also used as a payment instrument to a large </w:t>
      </w:r>
      <w:r w:rsidRPr="00881838">
        <w:rPr>
          <w:rFonts w:ascii="Palatino Linotype" w:hAnsi="Palatino Linotype"/>
          <w:color w:val="000000"/>
          <w:sz w:val="20"/>
          <w:szCs w:val="20"/>
          <w:bdr w:val="nil"/>
          <w:lang w:val="en-US"/>
        </w:rPr>
        <w:lastRenderedPageBreak/>
        <w:t>extent thanks to the development of secondary transactions; and be convertible to fiat currency and vice versa</w:t>
      </w:r>
      <w:r w:rsidRPr="00881838">
        <w:rPr>
          <w:rFonts w:ascii="Palatino Linotype" w:hAnsi="Palatino Linotype"/>
          <w:color w:val="000000"/>
          <w:sz w:val="20"/>
          <w:szCs w:val="20"/>
          <w:bdr w:val="nil"/>
          <w:lang w:val="vi-VN"/>
        </w:rPr>
        <w:t xml:space="preserve"> (Can, 2020)</w:t>
      </w:r>
      <w:r w:rsidRPr="00881838">
        <w:rPr>
          <w:rFonts w:ascii="Palatino Linotype" w:hAnsi="Palatino Linotype"/>
          <w:color w:val="000000"/>
          <w:sz w:val="20"/>
          <w:szCs w:val="20"/>
          <w:bdr w:val="nil"/>
          <w:lang w:val="en-US"/>
        </w:rPr>
        <w:t xml:space="preserve">.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Despite many advantages, the response of governments and central banks to digital currencies, typically Bitcoin, is very different. Most governments and central banks emphasize the restriction, even prevent the use of cryptocurrencies for illegal activities such as money laundering, drug trafficking, tax evasion, fraud, terrorist financing...and the financial security due to the absence of central bank control. Based on the actual response, it can be divided into four main groups: warnings; declaration and clarification of legality; regulation, licensing, and supervision; and banning trading and this response also changes over time</w:t>
      </w:r>
      <w:r w:rsidRPr="00881838">
        <w:rPr>
          <w:rFonts w:ascii="Palatino Linotype" w:hAnsi="Palatino Linotype"/>
          <w:color w:val="000000"/>
          <w:sz w:val="20"/>
          <w:szCs w:val="20"/>
          <w:bdr w:val="nil"/>
          <w:lang w:val="vi-VN"/>
        </w:rPr>
        <w:t xml:space="preserve"> (Tr</w:t>
      </w:r>
      <w:r w:rsidRPr="00881838">
        <w:rPr>
          <w:rFonts w:ascii="Palatino Linotype" w:hAnsi="Palatino Linotype"/>
          <w:color w:val="000000"/>
          <w:sz w:val="20"/>
          <w:szCs w:val="20"/>
          <w:bdr w:val="nil"/>
          <w:lang w:val="en-US"/>
        </w:rPr>
        <w:t>an</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Hoang</w:t>
      </w:r>
      <w:r w:rsidRPr="00881838">
        <w:rPr>
          <w:rFonts w:ascii="Palatino Linotype" w:hAnsi="Palatino Linotype"/>
          <w:color w:val="000000"/>
          <w:sz w:val="20"/>
          <w:szCs w:val="20"/>
          <w:bdr w:val="nil"/>
          <w:lang w:val="vi-VN"/>
        </w:rPr>
        <w:t>, 2019, p.1-5)</w:t>
      </w:r>
      <w:r w:rsidRPr="00881838">
        <w:rPr>
          <w:rFonts w:ascii="Palatino Linotype" w:hAnsi="Palatino Linotype"/>
          <w:color w:val="000000"/>
          <w:sz w:val="20"/>
          <w:szCs w:val="20"/>
          <w:bdr w:val="nil"/>
          <w:lang w:val="en-US"/>
        </w:rPr>
        <w:t>. This change is because the Government has always played a key role in providing money from the outside by providing public goods as well as regulating internal money provided by the private sector</w:t>
      </w:r>
      <w:r w:rsidRPr="00881838">
        <w:rPr>
          <w:rFonts w:ascii="Palatino Linotype" w:hAnsi="Palatino Linotype"/>
          <w:color w:val="000000"/>
          <w:sz w:val="20"/>
          <w:szCs w:val="20"/>
          <w:bdr w:val="nil"/>
          <w:lang w:val="vi-VN"/>
        </w:rPr>
        <w:t xml:space="preserve"> (Michael, 2021)</w:t>
      </w:r>
      <w:r w:rsidRPr="00881838">
        <w:rPr>
          <w:rFonts w:ascii="Palatino Linotype" w:hAnsi="Palatino Linotype"/>
          <w:color w:val="000000"/>
          <w:sz w:val="20"/>
          <w:szCs w:val="20"/>
          <w:bdr w:val="nil"/>
          <w:lang w:val="en-US"/>
        </w:rPr>
        <w:t xml:space="preserve">. Considering the acceptance of digital currency - a tradable asset will help the Government control and regulate money issued and accepted by the private sector and can tax on transactions to increase revenue for the state budget. </w:t>
      </w:r>
    </w:p>
    <w:p w:rsidR="00AD1AC7" w:rsidRPr="00881838" w:rsidRDefault="00AD1AC7" w:rsidP="00AD1AC7">
      <w:pPr>
        <w:spacing w:line="240" w:lineRule="auto"/>
        <w:jc w:val="both"/>
        <w:rPr>
          <w:rFonts w:ascii="Palatino Linotype" w:hAnsi="Palatino Linotype"/>
          <w:i/>
          <w:iCs/>
          <w:color w:val="000000"/>
          <w:sz w:val="20"/>
          <w:szCs w:val="20"/>
          <w:lang w:val="vi-VN"/>
        </w:rPr>
      </w:pPr>
      <w:r w:rsidRPr="00881838">
        <w:rPr>
          <w:rFonts w:ascii="Palatino Linotype" w:hAnsi="Palatino Linotype"/>
          <w:i/>
          <w:iCs/>
          <w:color w:val="000000"/>
          <w:sz w:val="20"/>
          <w:szCs w:val="20"/>
          <w:bdr w:val="nil"/>
          <w:lang w:val="en-US"/>
        </w:rPr>
        <w:t>Central bank digital currency identification</w:t>
      </w:r>
    </w:p>
    <w:p w:rsidR="00AD1AC7" w:rsidRPr="00881838" w:rsidRDefault="00AD1AC7" w:rsidP="00AD1AC7">
      <w:pPr>
        <w:spacing w:line="240" w:lineRule="auto"/>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Central bank digital currency is an electronic form of cash issued by a central bank based on a combination of encryption technology and digital ledger, so it is a central bank debt, used either as cash (if owned and held by the public) or as a central bank reserve (if only held by banks and other financial intermediaries that have access to the payment system)</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NáñezAlonso, Jorge-Vazquez, Reier Forradellas,</w:t>
      </w:r>
      <w:r w:rsidRPr="00881838">
        <w:rPr>
          <w:rFonts w:ascii="Palatino Linotype" w:hAnsi="Palatino Linotype"/>
          <w:color w:val="000000"/>
          <w:sz w:val="20"/>
          <w:szCs w:val="20"/>
          <w:bdr w:val="nil"/>
          <w:lang w:val="vi-VN"/>
        </w:rPr>
        <w:t xml:space="preserve"> 2021)</w:t>
      </w:r>
      <w:r w:rsidRPr="00881838">
        <w:rPr>
          <w:rFonts w:ascii="Palatino Linotype" w:hAnsi="Palatino Linotype"/>
          <w:color w:val="000000"/>
          <w:sz w:val="20"/>
          <w:szCs w:val="20"/>
          <w:bdr w:val="nil"/>
          <w:lang w:val="en-US"/>
        </w:rPr>
        <w:t>. The Bank of England describes a central bank digital currency as “a form of central bank electronic money that can be widely used by households and businesses for payments and the value storage”</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Jamie Evans and Steve Browning</w:t>
      </w:r>
      <w:r>
        <w:rPr>
          <w:rFonts w:ascii="Palatino Linotype" w:hAnsi="Palatino Linotype"/>
          <w:color w:val="000000"/>
          <w:sz w:val="20"/>
          <w:szCs w:val="20"/>
          <w:bdr w:val="nil"/>
          <w:lang w:val="en-US"/>
        </w:rPr>
        <w:t>,</w:t>
      </w:r>
      <w:r w:rsidRPr="00881838">
        <w:rPr>
          <w:rStyle w:val="FootnoteReference"/>
          <w:rFonts w:ascii="Palatino Linotype" w:hAnsi="Palatino Linotype"/>
          <w:color w:val="000000"/>
          <w:sz w:val="20"/>
          <w:szCs w:val="20"/>
          <w:lang w:val="vi-VN"/>
        </w:rPr>
        <w:t xml:space="preserve"> </w:t>
      </w:r>
      <w:r w:rsidRPr="00881838">
        <w:rPr>
          <w:rFonts w:ascii="Palatino Linotype" w:hAnsi="Palatino Linotype"/>
          <w:color w:val="000000"/>
          <w:sz w:val="20"/>
          <w:szCs w:val="20"/>
          <w:lang w:val="vi-VN"/>
        </w:rPr>
        <w:t>2021)</w:t>
      </w:r>
      <w:r w:rsidRPr="00881838">
        <w:rPr>
          <w:rFonts w:ascii="Palatino Linotype" w:hAnsi="Palatino Linotype"/>
          <w:color w:val="000000"/>
          <w:sz w:val="20"/>
          <w:szCs w:val="20"/>
          <w:bdr w:val="nil"/>
          <w:lang w:val="en-US"/>
        </w:rPr>
        <w:t xml:space="preserve">.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According to Sergio Luis Náñez Alonso, Miguel Ángel Echarte Fernández, David Sanz Bas and Jarosław Kaczmarek</w:t>
      </w:r>
      <w:r w:rsidRPr="00881838">
        <w:rPr>
          <w:rFonts w:ascii="Palatino Linotype" w:hAnsi="Palatino Linotype"/>
          <w:b/>
          <w:bCs/>
          <w:color w:val="000000"/>
          <w:sz w:val="20"/>
          <w:szCs w:val="20"/>
          <w:bdr w:val="nil"/>
          <w:lang w:val="en-US"/>
        </w:rPr>
        <w:t xml:space="preserve"> </w:t>
      </w:r>
      <w:r w:rsidRPr="00881838">
        <w:rPr>
          <w:rFonts w:ascii="Palatino Linotype" w:hAnsi="Palatino Linotype"/>
          <w:color w:val="000000"/>
          <w:sz w:val="20"/>
          <w:szCs w:val="20"/>
          <w:bdr w:val="nil"/>
          <w:lang w:val="en-US"/>
        </w:rPr>
        <w:t xml:space="preserve">(2020), there are various reasons why governments are quick and serious to research the creation of a central bank digital currency as a means of payment in parallel with cash or money that exists in the form of a journal entry in the payment accounts. The ability to issue and use a central bank-issued digital currency depends on the level of economic digitization, geographic dispersion as well as the level of the financial sector development and the popularity of cashless payments. Most of </w:t>
      </w:r>
      <w:r w:rsidRPr="00881838">
        <w:rPr>
          <w:rFonts w:ascii="Palatino Linotype" w:hAnsi="Palatino Linotype"/>
          <w:color w:val="000000"/>
          <w:sz w:val="20"/>
          <w:szCs w:val="20"/>
          <w:bdr w:val="nil"/>
          <w:lang w:val="en-US"/>
        </w:rPr>
        <w:lastRenderedPageBreak/>
        <w:t xml:space="preserve">the reasons emphasizing the need to issue digital currencies are to promote cashless payments, combat tax fraud and money laundering.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In practices, there are still common concerns about whether digital currency can compete with decentralized cryptocurrencies such as Bitcoin, Ethereum, Ripple. Even so, the advantages such as being issued by the central bank, being deposited in the central bank by the user (liability for the state bank), existing in anonymity (as with the bank reserves) or nominal (as with paper money), and is remunerated</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shd w:val="clear" w:color="auto" w:fill="FFFFFF"/>
          <w:lang w:val="en-US"/>
        </w:rPr>
        <w:t>Náñez Alonso, Sergio L., Miguel Á. Echarte Fernández, David Sanz Bas, and Jarosław Kaczmarek. 2020</w:t>
      </w:r>
      <w:r w:rsidRPr="00881838">
        <w:rPr>
          <w:rFonts w:ascii="Palatino Linotype" w:hAnsi="Palatino Linotype"/>
          <w:color w:val="000000"/>
          <w:sz w:val="20"/>
          <w:szCs w:val="20"/>
          <w:bdr w:val="nil"/>
          <w:shd w:val="clear" w:color="auto" w:fill="FFFFFF"/>
          <w:lang w:val="vi-VN"/>
        </w:rPr>
        <w:t>)</w:t>
      </w:r>
      <w:r w:rsidRPr="00881838">
        <w:rPr>
          <w:rFonts w:ascii="Palatino Linotype" w:hAnsi="Palatino Linotype"/>
          <w:color w:val="000000"/>
          <w:sz w:val="20"/>
          <w:szCs w:val="20"/>
          <w:bdr w:val="nil"/>
          <w:lang w:val="en-US"/>
        </w:rPr>
        <w:t>, and the value stability...are the key factors in ensuring public acceptance of central bank digital currencies. According to Boston Consulting Group as of April 2021, more than 60 countries have taken steps towards introducing central bank-issued digital currency for retail purposes</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Jamie Evans and Steve Browning</w:t>
      </w:r>
      <w:r w:rsidRPr="00881838">
        <w:rPr>
          <w:rStyle w:val="FootnoteReference"/>
          <w:rFonts w:ascii="Palatino Linotype" w:hAnsi="Palatino Linotype"/>
          <w:color w:val="000000"/>
          <w:sz w:val="20"/>
          <w:szCs w:val="20"/>
          <w:lang w:val="vi-VN"/>
        </w:rPr>
        <w:t xml:space="preserve"> </w:t>
      </w:r>
      <w:r w:rsidRPr="00881838">
        <w:rPr>
          <w:rFonts w:ascii="Palatino Linotype" w:hAnsi="Palatino Linotype"/>
          <w:color w:val="000000"/>
          <w:sz w:val="20"/>
          <w:szCs w:val="20"/>
          <w:lang w:val="vi-VN"/>
        </w:rPr>
        <w:t xml:space="preserve"> 2021)</w:t>
      </w:r>
      <w:r w:rsidRPr="00881838">
        <w:rPr>
          <w:rFonts w:ascii="Palatino Linotype" w:hAnsi="Palatino Linotype"/>
          <w:color w:val="000000"/>
          <w:sz w:val="20"/>
          <w:szCs w:val="20"/>
          <w:bdr w:val="nil"/>
          <w:lang w:val="en-US"/>
        </w:rPr>
        <w:t xml:space="preserve">.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Currently, there are also a number of central banks that issue digital currencies, but significant differences in technology platforms still exist. If the Swedish electronic krona is currently being tested on blockchain technology, the Chinese central bank's yuan is not based on this technology. And Chinese central bank is aiming to become the first major central bank to issue digital currency. The European Central Bank recently took the next step towards issuing a digital euro, at the launch of the exploration phase on July 14, 2021. The International Monetary Fund and the World Bank have supported for the cross-border benefits of central bank digital currencies and have stated that such projects will aid global development, because the coordination in digital currency will change the situation of depending on the high-cost and slow remittance services to conduct transactions around the world</w:t>
      </w:r>
      <w:r w:rsidRPr="00881838">
        <w:rPr>
          <w:rFonts w:ascii="Palatino Linotype" w:hAnsi="Palatino Linotype"/>
          <w:color w:val="000000"/>
          <w:sz w:val="20"/>
          <w:szCs w:val="20"/>
          <w:bdr w:val="nil"/>
          <w:lang w:val="vi-VN"/>
        </w:rPr>
        <w:t xml:space="preserve"> (Khanh Ly 2021)</w:t>
      </w:r>
      <w:r w:rsidRPr="00881838">
        <w:rPr>
          <w:rFonts w:ascii="Palatino Linotype" w:hAnsi="Palatino Linotype"/>
          <w:color w:val="000000"/>
          <w:sz w:val="20"/>
          <w:szCs w:val="20"/>
          <w:bdr w:val="nil"/>
          <w:lang w:val="en-US"/>
        </w:rPr>
        <w:t>.</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So far, the concept of central bank digital currency has not been uniformly defined due to its characteristics, the uniform method of issuance among countries, and it may be understood as a digital form of fiat money issued by a central bank or monetary authority of a sovereign country or territory with the function of a measure of value, medium of exchange and means of wealth storage</w:t>
      </w:r>
      <w:r w:rsidRPr="00881838">
        <w:rPr>
          <w:rFonts w:ascii="Palatino Linotype" w:hAnsi="Palatino Linotype"/>
          <w:color w:val="000000"/>
          <w:sz w:val="20"/>
          <w:szCs w:val="20"/>
          <w:bdr w:val="nil"/>
          <w:lang w:val="vi-VN"/>
        </w:rPr>
        <w:t xml:space="preserve"> (Chu, 2021)</w:t>
      </w:r>
      <w:r w:rsidRPr="00881838">
        <w:rPr>
          <w:rFonts w:ascii="Palatino Linotype" w:hAnsi="Palatino Linotype"/>
          <w:color w:val="000000"/>
          <w:sz w:val="20"/>
          <w:szCs w:val="20"/>
          <w:bdr w:val="nil"/>
          <w:lang w:val="en-US"/>
        </w:rPr>
        <w:t xml:space="preserve">, but the reasons for central banks to consider issuing digital currency are </w:t>
      </w:r>
      <w:r w:rsidRPr="00881838">
        <w:rPr>
          <w:rFonts w:ascii="Palatino Linotype" w:hAnsi="Palatino Linotype"/>
          <w:color w:val="000000"/>
          <w:sz w:val="20"/>
          <w:szCs w:val="20"/>
          <w:bdr w:val="nil"/>
          <w:lang w:val="vi-VN"/>
        </w:rPr>
        <w:t xml:space="preserve">(Tran, Hoang, 2019; </w:t>
      </w:r>
      <w:r w:rsidRPr="00881838">
        <w:rPr>
          <w:rFonts w:ascii="Palatino Linotype" w:hAnsi="Palatino Linotype"/>
          <w:color w:val="000000"/>
          <w:sz w:val="20"/>
          <w:szCs w:val="20"/>
          <w:bdr w:val="nil"/>
          <w:shd w:val="clear" w:color="auto" w:fill="FFFFFF"/>
          <w:lang w:val="en-US"/>
        </w:rPr>
        <w:t>Amstad, Marlene; Huang, Bihong; Morgan, Peter J.; Shirai, Sayuri. 2</w:t>
      </w:r>
      <w:r w:rsidRPr="00881838">
        <w:rPr>
          <w:rFonts w:ascii="Palatino Linotype" w:hAnsi="Palatino Linotype"/>
          <w:color w:val="000000"/>
          <w:sz w:val="20"/>
          <w:szCs w:val="20"/>
          <w:bdr w:val="nil"/>
          <w:shd w:val="clear" w:color="auto" w:fill="FFFFFF"/>
          <w:lang w:val="vi-VN"/>
        </w:rPr>
        <w:t>020)</w:t>
      </w:r>
      <w:r w:rsidRPr="00881838">
        <w:rPr>
          <w:rFonts w:ascii="Palatino Linotype" w:hAnsi="Palatino Linotype"/>
          <w:color w:val="000000"/>
          <w:sz w:val="20"/>
          <w:szCs w:val="20"/>
          <w:bdr w:val="nil"/>
          <w:lang w:val="en-US"/>
        </w:rPr>
        <w:t xml:space="preserve">: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Ensuring enough central bank money for the public.</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lastRenderedPageBreak/>
        <w:t>- Reducing the printing cost and the cash management costs and preventing the crime.</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Promoting finance comprehensively.</w:t>
      </w:r>
    </w:p>
    <w:p w:rsidR="00AD1AC7" w:rsidRPr="00881838" w:rsidRDefault="00AD1AC7" w:rsidP="00AD1AC7">
      <w:pPr>
        <w:spacing w:line="240" w:lineRule="auto"/>
        <w:ind w:firstLine="567"/>
        <w:jc w:val="both"/>
        <w:rPr>
          <w:rFonts w:ascii="Palatino Linotype" w:hAnsi="Palatino Linotype"/>
          <w:color w:val="000000"/>
          <w:sz w:val="20"/>
          <w:szCs w:val="20"/>
        </w:rPr>
      </w:pPr>
      <w:r w:rsidRPr="00881838">
        <w:rPr>
          <w:rFonts w:ascii="Palatino Linotype" w:hAnsi="Palatino Linotype"/>
          <w:color w:val="000000"/>
          <w:sz w:val="20"/>
          <w:szCs w:val="20"/>
          <w:bdr w:val="nil"/>
          <w:lang w:val="en-US"/>
        </w:rPr>
        <w:t xml:space="preserve">- Increasing the effectiveness of monetary policy.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Increasing the financial efficiency and stability.</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Promoting the competitiveness of the payment system.</w:t>
      </w:r>
    </w:p>
    <w:p w:rsidR="00AD1AC7" w:rsidRPr="00881838" w:rsidRDefault="00AD1AC7" w:rsidP="00AD1AC7">
      <w:pPr>
        <w:spacing w:line="240" w:lineRule="auto"/>
        <w:ind w:firstLine="567"/>
        <w:jc w:val="both"/>
        <w:rPr>
          <w:rFonts w:ascii="Palatino Linotype" w:hAnsi="Palatino Linotype"/>
          <w:color w:val="000000"/>
          <w:sz w:val="20"/>
          <w:szCs w:val="20"/>
        </w:rPr>
      </w:pPr>
      <w:r w:rsidRPr="00881838">
        <w:rPr>
          <w:rFonts w:ascii="Palatino Linotype" w:hAnsi="Palatino Linotype"/>
          <w:color w:val="000000"/>
          <w:sz w:val="20"/>
          <w:szCs w:val="20"/>
          <w:bdr w:val="nil"/>
          <w:lang w:val="en-US"/>
        </w:rPr>
        <w:t xml:space="preserve">- Promoting technology development.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The issuance of digital currency by central banks can make monetary policy more efficient, and it can also transform the international monetary system and the payment system. However, currently, most central bank laws in many countries do not allow central banks to issue digital currencies to the public. The absence of regulations on issuing digital currencies in the Central Bank Laws of countries can cause legal, financial, and reputational risks for central banks, especially the identification of the “currency”</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Bossu, Wouter and Itatani, Masaru and Margulis, Catalina and Rossi, Arthur and Weenink, Hans and Yoshinaga, Akihiro</w:t>
      </w:r>
      <w:r w:rsidRPr="00881838">
        <w:rPr>
          <w:rStyle w:val="FootnoteReference"/>
          <w:rFonts w:ascii="Palatino Linotype" w:hAnsi="Palatino Linotype"/>
          <w:color w:val="000000"/>
          <w:sz w:val="20"/>
          <w:szCs w:val="20"/>
          <w:lang w:val="vi-VN"/>
        </w:rPr>
        <w:t xml:space="preserve"> </w:t>
      </w:r>
      <w:r w:rsidRPr="00881838">
        <w:rPr>
          <w:rFonts w:ascii="Palatino Linotype" w:hAnsi="Palatino Linotype"/>
          <w:color w:val="000000"/>
          <w:sz w:val="20"/>
          <w:szCs w:val="20"/>
          <w:lang w:val="vi-VN"/>
        </w:rPr>
        <w:t>2020)</w:t>
      </w:r>
      <w:r w:rsidRPr="00881838">
        <w:rPr>
          <w:rFonts w:ascii="Palatino Linotype" w:hAnsi="Palatino Linotype"/>
          <w:color w:val="000000"/>
          <w:sz w:val="20"/>
          <w:szCs w:val="20"/>
          <w:bdr w:val="nil"/>
          <w:lang w:val="en-US"/>
        </w:rPr>
        <w:t xml:space="preserve"> state of a digital currency is not the same as the currency in circulation, which exists in a certain physical form, but exists in the digital form. Moreover, regulations on central bank digital currency are related to the Treaty on European Union – a big challenge when the European central bank decides to issue digital currency</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Nabilou, Hossei</w:t>
      </w:r>
      <w:r w:rsidRPr="00881838">
        <w:rPr>
          <w:rFonts w:ascii="Palatino Linotype" w:hAnsi="Palatino Linotype"/>
          <w:color w:val="000000"/>
          <w:sz w:val="20"/>
          <w:szCs w:val="20"/>
          <w:bdr w:val="nil"/>
          <w:lang w:val="vi-VN"/>
        </w:rPr>
        <w:t xml:space="preserve">n, </w:t>
      </w:r>
      <w:r w:rsidRPr="00881838">
        <w:rPr>
          <w:rFonts w:ascii="Palatino Linotype" w:hAnsi="Palatino Linotype"/>
          <w:color w:val="000000"/>
          <w:sz w:val="20"/>
          <w:szCs w:val="20"/>
          <w:lang w:val="vi-VN"/>
        </w:rPr>
        <w:t>2019)</w:t>
      </w:r>
      <w:r w:rsidRPr="00881838">
        <w:rPr>
          <w:rFonts w:ascii="Palatino Linotype" w:hAnsi="Palatino Linotype"/>
          <w:color w:val="000000"/>
          <w:sz w:val="20"/>
          <w:szCs w:val="20"/>
          <w:bdr w:val="nil"/>
          <w:lang w:val="en-US"/>
        </w:rPr>
        <w:t>.</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xml:space="preserve">From the above analysis, it can be seen that digital currency is a new invention that recognizes a new state of existence of currency, and it will continue to develop based on scientific and technological advances. No matter how countries choose to treat digital currency, even in the case of banning or not recognizing it as an official means of payment in the economy, it still exists and is accepted as means of payment within a certain community. In fact, the prudent management approach to digital currency in recent times by central banks is considered to be slower than the progress and benefits of digital currency, especially the promotion of payment processes within the country as well as in international trade. The signal of acceptance and the research for the issuance of a central bank digital currency is a good sign for the formalization of a new form of currency. Depending on its level of development, legislative capacity and technology infrastructure system, each country will build for itself the most appropriate implementation roadmap. In other words, accepting the </w:t>
      </w:r>
      <w:r w:rsidRPr="00881838">
        <w:rPr>
          <w:rFonts w:ascii="Palatino Linotype" w:hAnsi="Palatino Linotype"/>
          <w:color w:val="000000"/>
          <w:sz w:val="20"/>
          <w:szCs w:val="20"/>
          <w:bdr w:val="nil"/>
          <w:lang w:val="en-US"/>
        </w:rPr>
        <w:lastRenderedPageBreak/>
        <w:t>issuance of central bank digital currency will provide a new existence form of currency. This is the right step to take advantage of the advancements of digital currencies issued by the private sector, and at the same time, overcome the gaps in security, the lack of a value guarantee mechanism (due to the lack of guarantee by the issuer and the market volatility); and an operating mechanism through intermediaries such as credit institutions will help the central bank keep up with technological developments and the current trend of building digital government.</w:t>
      </w:r>
    </w:p>
    <w:p w:rsidR="00AD1AC7" w:rsidRPr="00881838" w:rsidRDefault="00AD1AC7" w:rsidP="00AD1AC7">
      <w:pPr>
        <w:spacing w:line="240" w:lineRule="auto"/>
        <w:jc w:val="both"/>
        <w:rPr>
          <w:rFonts w:ascii="Palatino Linotype" w:hAnsi="Palatino Linotype"/>
          <w:b/>
          <w:bCs/>
          <w:i/>
          <w:iCs/>
          <w:color w:val="000000"/>
          <w:sz w:val="20"/>
          <w:szCs w:val="20"/>
          <w:lang w:val="vi-VN"/>
        </w:rPr>
      </w:pPr>
      <w:r w:rsidRPr="00881838">
        <w:rPr>
          <w:rFonts w:ascii="Palatino Linotype" w:hAnsi="Palatino Linotype"/>
          <w:b/>
          <w:bCs/>
          <w:i/>
          <w:iCs/>
          <w:color w:val="000000"/>
          <w:sz w:val="20"/>
          <w:szCs w:val="20"/>
          <w:bdr w:val="nil"/>
          <w:lang w:val="en-US"/>
        </w:rPr>
        <w:t xml:space="preserve">The premise for the issuance of a national digital currency by the State Bank of Vietnam </w:t>
      </w:r>
    </w:p>
    <w:p w:rsidR="00AD1AC7" w:rsidRPr="00881838" w:rsidRDefault="00AD1AC7" w:rsidP="00AD1AC7">
      <w:pPr>
        <w:spacing w:line="240" w:lineRule="auto"/>
        <w:jc w:val="both"/>
        <w:rPr>
          <w:rFonts w:ascii="Palatino Linotype" w:hAnsi="Palatino Linotype"/>
          <w:i/>
          <w:iCs/>
          <w:color w:val="000000"/>
          <w:sz w:val="20"/>
          <w:szCs w:val="20"/>
          <w:lang w:val="vi-VN"/>
        </w:rPr>
      </w:pPr>
      <w:r w:rsidRPr="00881838">
        <w:rPr>
          <w:rFonts w:ascii="Palatino Linotype" w:hAnsi="Palatino Linotype"/>
          <w:i/>
          <w:iCs/>
          <w:color w:val="000000"/>
          <w:sz w:val="20"/>
          <w:szCs w:val="20"/>
          <w:bdr w:val="nil"/>
          <w:lang w:val="vi-VN"/>
        </w:rPr>
        <w:t xml:space="preserve">3.2.1. </w:t>
      </w:r>
      <w:r w:rsidRPr="00881838">
        <w:rPr>
          <w:rFonts w:ascii="Palatino Linotype" w:hAnsi="Palatino Linotype"/>
          <w:i/>
          <w:iCs/>
          <w:color w:val="000000"/>
          <w:sz w:val="20"/>
          <w:szCs w:val="20"/>
          <w:bdr w:val="nil"/>
          <w:lang w:val="en-US"/>
        </w:rPr>
        <w:t>Digital currency transactions</w:t>
      </w:r>
    </w:p>
    <w:p w:rsidR="00AD1AC7" w:rsidRPr="00881838" w:rsidRDefault="00AD1AC7" w:rsidP="00AD1AC7">
      <w:pPr>
        <w:spacing w:line="240" w:lineRule="auto"/>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The issue of digital currency, in which, bitcoin is a new issue and is attracting the attention of the whole society, especially when the value of bitcoin constantly increases and continuously sets value records due to the limited quantity and “immunity” to national economic fluctuations or external influences (such as the Covid-19 epidemic) of “traditional” assets. In Vietnam, bitcoin first appeared in Vietnam in late 2013 and early 2014 in two major centers, Hanoi and Ho Chi Minh City. Digital currency transactions have been developing in the lives of people, but informal crypto-money transfer activities have not yet developed and are still widespread in rural areas, along with other activities of fraud, lack of transparency</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Dang, T. T. 2019), and the phenomenon of property appropriation fraud</w:t>
      </w:r>
      <w:r w:rsidRPr="00881838">
        <w:rPr>
          <w:rFonts w:ascii="Palatino Linotype" w:hAnsi="Palatino Linotype"/>
          <w:color w:val="000000"/>
          <w:sz w:val="20"/>
          <w:szCs w:val="20"/>
          <w:bdr w:val="nil"/>
          <w:lang w:val="vi-VN"/>
        </w:rPr>
        <w:t xml:space="preserve"> (Nguyen, 2019, p.</w:t>
      </w:r>
      <w:r w:rsidRPr="00881838">
        <w:rPr>
          <w:rFonts w:ascii="Palatino Linotype" w:hAnsi="Palatino Linotype"/>
          <w:color w:val="000000"/>
          <w:sz w:val="20"/>
          <w:szCs w:val="20"/>
          <w:bdr w:val="nil"/>
          <w:lang w:val="en-US"/>
        </w:rPr>
        <w:t>189-192</w:t>
      </w:r>
      <w:r w:rsidRPr="00881838">
        <w:rPr>
          <w:rFonts w:ascii="Palatino Linotype" w:hAnsi="Palatino Linotype"/>
          <w:color w:val="000000"/>
          <w:sz w:val="20"/>
          <w:szCs w:val="20"/>
          <w:bdr w:val="nil"/>
          <w:lang w:val="vi-VN"/>
        </w:rPr>
        <w:t>; Phan, Nguyen, 2019, p</w:t>
      </w:r>
      <w:r w:rsidRPr="00881838">
        <w:rPr>
          <w:rFonts w:ascii="Palatino Linotype" w:hAnsi="Palatino Linotype"/>
          <w:color w:val="000000"/>
          <w:sz w:val="20"/>
          <w:szCs w:val="20"/>
          <w:bdr w:val="nil"/>
          <w:lang w:val="en-US"/>
        </w:rPr>
        <w:t>223-234</w:t>
      </w:r>
      <w:r w:rsidRPr="00881838">
        <w:rPr>
          <w:rFonts w:ascii="Palatino Linotype" w:hAnsi="Palatino Linotype"/>
          <w:color w:val="000000"/>
          <w:sz w:val="20"/>
          <w:szCs w:val="20"/>
          <w:bdr w:val="nil"/>
          <w:lang w:val="vi-VN"/>
        </w:rPr>
        <w:t>)</w:t>
      </w:r>
      <w:r w:rsidRPr="00881838">
        <w:rPr>
          <w:rFonts w:ascii="Palatino Linotype" w:hAnsi="Palatino Linotype"/>
          <w:color w:val="000000"/>
          <w:sz w:val="20"/>
          <w:szCs w:val="20"/>
          <w:bdr w:val="nil"/>
          <w:lang w:val="en-US"/>
        </w:rPr>
        <w:t xml:space="preserve"> has occurred. It is worth noting that the digital currency transactions that have taken place in the past are mainly speculative in nature, so they have attracted a lot of participants. This is evidenced by the fact that the Vietnamese Dong is one of the eight most used fiat currencies in actual crypto-currency, crypto-asset transactions around the world</w:t>
      </w:r>
      <w:r w:rsidRPr="00881838">
        <w:rPr>
          <w:rFonts w:ascii="Palatino Linotype" w:hAnsi="Palatino Linotype"/>
          <w:color w:val="000000"/>
          <w:sz w:val="20"/>
          <w:szCs w:val="20"/>
          <w:bdr w:val="nil"/>
          <w:lang w:val="vi-VN"/>
        </w:rPr>
        <w:t xml:space="preserve"> (Phan, Nguyen, 2019, p.215-216)</w:t>
      </w:r>
      <w:r w:rsidRPr="00881838">
        <w:rPr>
          <w:rFonts w:ascii="Palatino Linotype" w:hAnsi="Palatino Linotype"/>
          <w:color w:val="000000"/>
          <w:sz w:val="20"/>
          <w:szCs w:val="20"/>
          <w:bdr w:val="nil"/>
          <w:lang w:val="en-US"/>
        </w:rPr>
        <w:t>.</w:t>
      </w:r>
    </w:p>
    <w:p w:rsidR="00AD1AC7" w:rsidRPr="00881838" w:rsidRDefault="00AD1AC7" w:rsidP="00AD1AC7">
      <w:pPr>
        <w:spacing w:line="240" w:lineRule="auto"/>
        <w:ind w:firstLine="567"/>
        <w:jc w:val="both"/>
        <w:rPr>
          <w:rFonts w:ascii="Palatino Linotype" w:hAnsi="Palatino Linotype"/>
          <w:color w:val="000000"/>
          <w:sz w:val="20"/>
          <w:szCs w:val="20"/>
        </w:rPr>
      </w:pPr>
      <w:r w:rsidRPr="00881838">
        <w:rPr>
          <w:rFonts w:ascii="Palatino Linotype" w:hAnsi="Palatino Linotype"/>
          <w:color w:val="000000"/>
          <w:sz w:val="20"/>
          <w:szCs w:val="20"/>
          <w:bdr w:val="nil"/>
          <w:lang w:val="en-US"/>
        </w:rPr>
        <w:t xml:space="preserve"> Legally, Bitcoin is allowed to transact but not recognized by the Government as a currency, a means of payment in the economy as well as there is no clear regulation to manage and control it. There are a few cases of accepting digital currency as a means of public payment, and there have also emerged the cryptocurrency exchanges</w:t>
      </w:r>
      <w:r w:rsidRPr="00881838">
        <w:rPr>
          <w:rFonts w:ascii="Palatino Linotype" w:hAnsi="Palatino Linotype"/>
          <w:color w:val="000000"/>
          <w:sz w:val="20"/>
          <w:szCs w:val="20"/>
          <w:bdr w:val="nil"/>
          <w:lang w:val="vi-VN"/>
        </w:rPr>
        <w:t xml:space="preserve"> Nguyen (2019, p.178-183)</w:t>
      </w:r>
      <w:r w:rsidRPr="00881838">
        <w:rPr>
          <w:rFonts w:ascii="Palatino Linotype" w:hAnsi="Palatino Linotype"/>
          <w:color w:val="000000"/>
          <w:sz w:val="20"/>
          <w:szCs w:val="20"/>
          <w:bdr w:val="nil"/>
          <w:lang w:val="en-US"/>
        </w:rPr>
        <w:t xml:space="preserve">.  Due to virtual currencies' anonymity, the distributed operation, not being subject to the management of any agency or organization, and to avoid risks for participants in digital currency transactions, the Government and state agencies has repeatedly warned of the risks as well as the risks of using virtual currencies for </w:t>
      </w:r>
      <w:r w:rsidRPr="00881838">
        <w:rPr>
          <w:rFonts w:ascii="Palatino Linotype" w:hAnsi="Palatino Linotype"/>
          <w:color w:val="000000"/>
          <w:sz w:val="20"/>
          <w:szCs w:val="20"/>
          <w:bdr w:val="nil"/>
          <w:lang w:val="en-US"/>
        </w:rPr>
        <w:lastRenderedPageBreak/>
        <w:t>criminal activities (money laundering, terrorist financing, illegal money transfers, tax evasion, fraud...) of the Government{ ut1} and the related government agencies</w:t>
      </w:r>
      <w:r w:rsidRPr="00881838">
        <w:rPr>
          <w:rFonts w:ascii="Palatino Linotype" w:hAnsi="Palatino Linotype"/>
          <w:color w:val="000000"/>
          <w:sz w:val="20"/>
          <w:szCs w:val="20"/>
          <w:bdr w:val="nil"/>
          <w:lang w:val="vi-VN"/>
        </w:rPr>
        <w:t xml:space="preserve"> (</w:t>
      </w:r>
      <w:r w:rsidRPr="00881838">
        <w:rPr>
          <w:rFonts w:ascii="Palatino Linotype" w:hAnsi="Palatino Linotype"/>
          <w:sz w:val="20"/>
          <w:szCs w:val="20"/>
          <w:bdr w:val="nil"/>
          <w:lang w:val="en-US"/>
        </w:rPr>
        <w:t>Directive No. 02/CT-NHNN dated April 13, 2018, of</w:t>
      </w:r>
      <w:r w:rsidRPr="00881838">
        <w:rPr>
          <w:rFonts w:ascii="Palatino Linotype" w:hAnsi="Palatino Linotype"/>
          <w:sz w:val="20"/>
          <w:szCs w:val="20"/>
          <w:bdr w:val="nil"/>
          <w:lang w:val="vi-VN"/>
        </w:rPr>
        <w:t xml:space="preserve"> the State Bank of Vietnam; </w:t>
      </w:r>
      <w:r w:rsidRPr="00881838">
        <w:rPr>
          <w:rFonts w:ascii="Palatino Linotype" w:hAnsi="Palatino Linotype"/>
          <w:sz w:val="20"/>
          <w:szCs w:val="20"/>
          <w:bdr w:val="nil"/>
          <w:lang w:val="en-US"/>
        </w:rPr>
        <w:t>Document No. 4486/UBCK-GSĐC dated July 20, 2018, of</w:t>
      </w:r>
      <w:r w:rsidRPr="00881838">
        <w:rPr>
          <w:rFonts w:ascii="Palatino Linotype" w:hAnsi="Palatino Linotype"/>
          <w:sz w:val="20"/>
          <w:szCs w:val="20"/>
          <w:bdr w:val="nil"/>
          <w:lang w:val="vi-VN"/>
        </w:rPr>
        <w:t xml:space="preserve"> the </w:t>
      </w:r>
      <w:r w:rsidRPr="00881838">
        <w:rPr>
          <w:rFonts w:ascii="Palatino Linotype" w:hAnsi="Palatino Linotype"/>
          <w:sz w:val="20"/>
          <w:szCs w:val="20"/>
          <w:bdr w:val="nil"/>
          <w:lang w:val="en-US"/>
        </w:rPr>
        <w:t>State Securities Commission</w:t>
      </w:r>
      <w:r w:rsidRPr="00881838">
        <w:rPr>
          <w:rFonts w:ascii="Palatino Linotype" w:hAnsi="Palatino Linotype"/>
          <w:sz w:val="20"/>
          <w:szCs w:val="20"/>
          <w:bdr w:val="nil"/>
          <w:lang w:val="vi-VN"/>
        </w:rPr>
        <w:t>)</w:t>
      </w:r>
      <w:r w:rsidRPr="00881838">
        <w:rPr>
          <w:rFonts w:ascii="Palatino Linotype" w:hAnsi="Palatino Linotype"/>
          <w:color w:val="000000"/>
          <w:sz w:val="20"/>
          <w:szCs w:val="20"/>
          <w:bdr w:val="nil"/>
          <w:lang w:val="en-US"/>
        </w:rPr>
        <w:t>. However, Bitcoin transactions go beyond national borders, and are directly affected by the international Bitcoin trading market. The consequence of this cross-border trade is that there is still a large amount of foreign currency being “run” abroad to pay for Bitcoin - an asset, an object of transactions on the international market. These payment transactions, in the form, can be completely paid through the banking system by the order of “paying for abroad property purchase”, and of course, income from bitcoin trading is also not considered as personal-income taxable income and is not subject to value added tax</w:t>
      </w:r>
      <w:r w:rsidRPr="00881838">
        <w:rPr>
          <w:rFonts w:ascii="Palatino Linotype" w:hAnsi="Palatino Linotype"/>
          <w:color w:val="000000"/>
          <w:sz w:val="20"/>
          <w:szCs w:val="20"/>
          <w:bdr w:val="nil"/>
          <w:lang w:val="vi-VN"/>
        </w:rPr>
        <w:t xml:space="preserve"> (</w:t>
      </w:r>
      <w:r w:rsidRPr="00881838">
        <w:rPr>
          <w:rFonts w:ascii="Palatino Linotype" w:hAnsi="Palatino Linotype"/>
          <w:sz w:val="20"/>
          <w:szCs w:val="20"/>
          <w:bdr w:val="nil"/>
          <w:lang w:val="en-US"/>
        </w:rPr>
        <w:t>Judgment No. 22/2017/HC-ST dated January 29, 2017,</w:t>
      </w:r>
      <w:r w:rsidRPr="00881838">
        <w:rPr>
          <w:rFonts w:ascii="Palatino Linotype" w:hAnsi="Palatino Linotype"/>
          <w:sz w:val="20"/>
          <w:szCs w:val="20"/>
          <w:bdr w:val="nil"/>
          <w:lang w:val="vi-VN"/>
        </w:rPr>
        <w:t xml:space="preserve"> of the </w:t>
      </w:r>
      <w:r w:rsidRPr="00881838">
        <w:rPr>
          <w:rFonts w:ascii="Palatino Linotype" w:hAnsi="Palatino Linotype"/>
          <w:sz w:val="20"/>
          <w:szCs w:val="20"/>
          <w:bdr w:val="nil"/>
          <w:lang w:val="en-US"/>
        </w:rPr>
        <w:t>People's Court of Ben Tre Province</w:t>
      </w:r>
      <w:r w:rsidRPr="00881838">
        <w:rPr>
          <w:rFonts w:ascii="Palatino Linotype" w:hAnsi="Palatino Linotype"/>
          <w:color w:val="000000"/>
          <w:sz w:val="20"/>
          <w:szCs w:val="20"/>
          <w:lang w:val="vi-VN"/>
        </w:rPr>
        <w:t>)</w:t>
      </w:r>
      <w:r w:rsidRPr="00881838">
        <w:rPr>
          <w:rFonts w:ascii="Palatino Linotype" w:hAnsi="Palatino Linotype"/>
          <w:color w:val="000000"/>
          <w:sz w:val="20"/>
          <w:szCs w:val="20"/>
          <w:bdr w:val="nil"/>
          <w:lang w:val="en-US"/>
        </w:rPr>
        <w:t xml:space="preserve">. It is worth noting that </w:t>
      </w:r>
      <w:bookmarkStart w:id="1" w:name="dieu_1_name"/>
      <w:r w:rsidRPr="00881838">
        <w:rPr>
          <w:rFonts w:ascii="Palatino Linotype" w:hAnsi="Palatino Linotype"/>
          <w:color w:val="000000"/>
          <w:sz w:val="20"/>
          <w:szCs w:val="20"/>
          <w:bdr w:val="nil"/>
          <w:lang w:val="en-US"/>
        </w:rPr>
        <w:t>E-Government Development Strategy towards Digital Government period 2021 - 2025, orientation to 2030</w:t>
      </w:r>
      <w:bookmarkEnd w:id="1"/>
      <w:r w:rsidRPr="00881838">
        <w:rPr>
          <w:rFonts w:ascii="Palatino Linotype" w:hAnsi="Palatino Linotype"/>
          <w:color w:val="000000"/>
          <w:sz w:val="20"/>
          <w:szCs w:val="20"/>
          <w:bdr w:val="nil"/>
          <w:lang w:val="en-US"/>
        </w:rPr>
        <w:t xml:space="preserve"> which is promulgated together with Decision No. 942/QD-TTg dated 15 June 2021 of the Prime Minister on the permission to research, build and pilot the use of virtual currency based on blockchain technology. This policy   promises to bring about positive changes in awareness and attitude from state agencies as well as society towards digital currency. Ministry of Information and Communications, Government Office, Ministry of Home Affairs, Ministry of Planning and Investment, Ministry of Finance and other ministries, ministerial-level agencies, Governmental agencies, the People's Committees of the provinces and cities will actively implement the assigned tasks to quickly establish a legal corridor to pilot the use of virtual currency based on blockchain technology in the activities of state agencies, economic activities as well as among all classes of people</w:t>
      </w:r>
      <w:r w:rsidRPr="00881838">
        <w:rPr>
          <w:rFonts w:ascii="Palatino Linotype" w:hAnsi="Palatino Linotype"/>
          <w:color w:val="000000"/>
          <w:sz w:val="20"/>
          <w:szCs w:val="20"/>
          <w:bdr w:val="nil"/>
          <w:lang w:val="vi-VN"/>
        </w:rPr>
        <w:t xml:space="preserve"> (</w:t>
      </w:r>
      <w:r w:rsidRPr="00881838">
        <w:rPr>
          <w:rFonts w:ascii="Palatino Linotype" w:hAnsi="Palatino Linotype"/>
          <w:sz w:val="20"/>
          <w:szCs w:val="20"/>
          <w:bdr w:val="nil"/>
          <w:lang w:val="en-US"/>
        </w:rPr>
        <w:t>Decision 1255/QD-TTg dated August 21, 2017</w:t>
      </w:r>
      <w:r w:rsidRPr="00881838">
        <w:rPr>
          <w:rFonts w:ascii="Palatino Linotype" w:hAnsi="Palatino Linotype"/>
          <w:sz w:val="20"/>
          <w:szCs w:val="20"/>
          <w:bdr w:val="nil"/>
          <w:lang w:val="vi-VN"/>
        </w:rPr>
        <w:t xml:space="preserve"> of the Prime Minister of Vietnam)</w:t>
      </w:r>
      <w:r w:rsidRPr="00881838">
        <w:rPr>
          <w:rFonts w:ascii="Palatino Linotype" w:hAnsi="Palatino Linotype"/>
          <w:color w:val="000000"/>
          <w:sz w:val="20"/>
          <w:szCs w:val="20"/>
          <w:bdr w:val="nil"/>
          <w:lang w:val="en-US"/>
        </w:rPr>
        <w:t>.</w:t>
      </w:r>
    </w:p>
    <w:p w:rsidR="00AD1AC7" w:rsidRPr="00881838" w:rsidRDefault="00AD1AC7" w:rsidP="00AD1AC7">
      <w:pPr>
        <w:spacing w:line="240" w:lineRule="auto"/>
        <w:jc w:val="both"/>
        <w:rPr>
          <w:rFonts w:ascii="Palatino Linotype" w:hAnsi="Palatino Linotype"/>
          <w:i/>
          <w:iCs/>
          <w:color w:val="000000"/>
          <w:sz w:val="20"/>
          <w:szCs w:val="20"/>
          <w:lang w:val="vi-VN"/>
        </w:rPr>
      </w:pPr>
      <w:r w:rsidRPr="00881838">
        <w:rPr>
          <w:rFonts w:ascii="Palatino Linotype" w:hAnsi="Palatino Linotype"/>
          <w:i/>
          <w:iCs/>
          <w:color w:val="000000"/>
          <w:sz w:val="20"/>
          <w:szCs w:val="20"/>
          <w:bdr w:val="nil"/>
          <w:lang w:val="en-US"/>
        </w:rPr>
        <w:t>Digitization of the banking operations</w:t>
      </w:r>
    </w:p>
    <w:p w:rsidR="00AD1AC7" w:rsidRPr="00881838" w:rsidRDefault="00AD1AC7" w:rsidP="00AD1AC7">
      <w:pPr>
        <w:spacing w:line="240" w:lineRule="auto"/>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In Vietnam, digital transformation is an irreversible trend. This is the transformation  from the traditional way of living and working with entities to a way of living and working with  entities and their connected digital versions</w:t>
      </w:r>
      <w:r w:rsidRPr="00881838">
        <w:rPr>
          <w:rFonts w:ascii="Palatino Linotype" w:hAnsi="Palatino Linotype"/>
          <w:color w:val="000000"/>
          <w:sz w:val="20"/>
          <w:szCs w:val="20"/>
          <w:bdr w:val="nil"/>
          <w:shd w:val="clear" w:color="auto" w:fill="FFFFFF"/>
          <w:lang w:val="en-US"/>
        </w:rPr>
        <w:t xml:space="preserve"> in digital space </w:t>
      </w:r>
      <w:r w:rsidRPr="00881838">
        <w:rPr>
          <w:rFonts w:ascii="Palatino Linotype" w:hAnsi="Palatino Linotype"/>
          <w:color w:val="000000"/>
          <w:sz w:val="20"/>
          <w:szCs w:val="20"/>
          <w:bdr w:val="nil"/>
          <w:shd w:val="clear" w:color="auto" w:fill="FFFFFF"/>
          <w:lang w:val="vi-VN"/>
        </w:rPr>
        <w:t>(Ho, 2020)</w:t>
      </w:r>
      <w:r w:rsidRPr="00881838">
        <w:rPr>
          <w:rFonts w:ascii="Palatino Linotype" w:hAnsi="Palatino Linotype"/>
          <w:color w:val="000000"/>
          <w:sz w:val="20"/>
          <w:szCs w:val="20"/>
          <w:bdr w:val="nil"/>
          <w:shd w:val="clear" w:color="auto" w:fill="FFFFFF"/>
          <w:lang w:val="en-US"/>
        </w:rPr>
        <w:t xml:space="preserve"> in order to toward a vision to become a digital, stable and prosperous country by 2030, and pioneer in testing new technologies and models; fundamentally and comprehensively renovate the management and administration activities of the Government, the production and business activities of enterprises, the way of living and working of people; </w:t>
      </w:r>
      <w:r w:rsidRPr="00881838">
        <w:rPr>
          <w:rFonts w:ascii="Palatino Linotype" w:hAnsi="Palatino Linotype"/>
          <w:color w:val="000000"/>
          <w:sz w:val="20"/>
          <w:szCs w:val="20"/>
          <w:bdr w:val="nil"/>
          <w:shd w:val="clear" w:color="auto" w:fill="FFFFFF"/>
          <w:lang w:val="en-US"/>
        </w:rPr>
        <w:lastRenderedPageBreak/>
        <w:t>develop a safe, humane, and wide digital environment</w:t>
      </w:r>
      <w:r w:rsidRPr="00881838">
        <w:rPr>
          <w:rFonts w:ascii="Palatino Linotype" w:hAnsi="Palatino Linotype"/>
          <w:color w:val="000000"/>
          <w:sz w:val="20"/>
          <w:szCs w:val="20"/>
          <w:bdr w:val="nil"/>
          <w:shd w:val="clear" w:color="auto" w:fill="FFFFFF"/>
          <w:lang w:val="vi-VN"/>
        </w:rPr>
        <w:t xml:space="preserve"> (</w:t>
      </w:r>
      <w:r w:rsidRPr="00881838">
        <w:rPr>
          <w:rFonts w:ascii="Palatino Linotype" w:hAnsi="Palatino Linotype"/>
          <w:sz w:val="20"/>
          <w:szCs w:val="20"/>
          <w:bdr w:val="nil"/>
          <w:lang w:val="en-US"/>
        </w:rPr>
        <w:t xml:space="preserve">Decision No. </w:t>
      </w:r>
      <w:r w:rsidRPr="00881838">
        <w:rPr>
          <w:rFonts w:ascii="Palatino Linotype" w:hAnsi="Palatino Linotype"/>
          <w:sz w:val="20"/>
          <w:szCs w:val="20"/>
          <w:bdr w:val="nil"/>
          <w:shd w:val="clear" w:color="auto" w:fill="FFFFFF"/>
          <w:lang w:val="en-US"/>
        </w:rPr>
        <w:t>74</w:t>
      </w:r>
      <w:r w:rsidRPr="00881838">
        <w:rPr>
          <w:rFonts w:ascii="Palatino Linotype" w:hAnsi="Palatino Linotype"/>
          <w:sz w:val="20"/>
          <w:szCs w:val="20"/>
          <w:bdr w:val="nil"/>
          <w:lang w:val="en-US"/>
        </w:rPr>
        <w:t>9/QD-TTg dated June 3, 2020</w:t>
      </w:r>
      <w:r w:rsidRPr="00881838">
        <w:rPr>
          <w:rFonts w:ascii="Palatino Linotype" w:hAnsi="Palatino Linotype"/>
          <w:sz w:val="20"/>
          <w:szCs w:val="20"/>
          <w:bdr w:val="nil"/>
          <w:lang w:val="vi-VN"/>
        </w:rPr>
        <w:t xml:space="preserve"> of the Prime Minister of Vietnam)</w:t>
      </w:r>
      <w:r w:rsidRPr="00881838">
        <w:rPr>
          <w:rFonts w:ascii="Palatino Linotype" w:hAnsi="Palatino Linotype"/>
          <w:color w:val="000000"/>
          <w:sz w:val="20"/>
          <w:szCs w:val="20"/>
          <w:bdr w:val="nil"/>
          <w:lang w:val="en-US"/>
        </w:rPr>
        <w:t xml:space="preserve">.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Digital transformation in the financial - banking sector is a priority area with the content of building electronic finance and establishing a modern and sustainable digital financial foundation. For commercial banks, digital transformation to provide digital banking services in the direction of diversifying distribution channels, innovation, process automation, promotion of cooperation with financial technology companies and payment intermediaries in building a banking and financial services ecosystem to promote the universalization of national finance, bring financial - banking services closer to those in remote areas who have not been able to access or have not been served by banks, based on technological innovations such as mobile payment, peer-to-peer lending and facilitate the loan accessibility with credit scoring solutions with a reliable customer database and the scoring model</w:t>
      </w:r>
      <w:r w:rsidRPr="00881838">
        <w:rPr>
          <w:rFonts w:ascii="Palatino Linotype" w:hAnsi="Palatino Linotype"/>
          <w:color w:val="000000"/>
          <w:sz w:val="20"/>
          <w:szCs w:val="20"/>
          <w:bdr w:val="nil"/>
          <w:lang w:val="vi-VN"/>
        </w:rPr>
        <w:t xml:space="preserve"> (</w:t>
      </w:r>
      <w:r w:rsidRPr="00881838">
        <w:rPr>
          <w:rFonts w:ascii="Palatino Linotype" w:hAnsi="Palatino Linotype"/>
          <w:sz w:val="20"/>
          <w:szCs w:val="20"/>
          <w:bdr w:val="nil"/>
          <w:lang w:val="en-US"/>
        </w:rPr>
        <w:t xml:space="preserve">Decision No. </w:t>
      </w:r>
      <w:r w:rsidRPr="00881838">
        <w:rPr>
          <w:rFonts w:ascii="Palatino Linotype" w:hAnsi="Palatino Linotype"/>
          <w:sz w:val="20"/>
          <w:szCs w:val="20"/>
          <w:bdr w:val="nil"/>
          <w:shd w:val="clear" w:color="auto" w:fill="FFFFFF"/>
          <w:lang w:val="en-US"/>
        </w:rPr>
        <w:t>74</w:t>
      </w:r>
      <w:r w:rsidRPr="00881838">
        <w:rPr>
          <w:rFonts w:ascii="Palatino Linotype" w:hAnsi="Palatino Linotype"/>
          <w:sz w:val="20"/>
          <w:szCs w:val="20"/>
          <w:bdr w:val="nil"/>
          <w:lang w:val="en-US"/>
        </w:rPr>
        <w:t>9/QD-TTg dated June 3, 2020</w:t>
      </w:r>
      <w:r w:rsidRPr="00881838">
        <w:rPr>
          <w:rFonts w:ascii="Palatino Linotype" w:hAnsi="Palatino Linotype"/>
          <w:sz w:val="20"/>
          <w:szCs w:val="20"/>
          <w:bdr w:val="nil"/>
          <w:lang w:val="vi-VN"/>
        </w:rPr>
        <w:t xml:space="preserve"> of the Minister of Vietnam)</w:t>
      </w:r>
      <w:r w:rsidRPr="00881838">
        <w:rPr>
          <w:rFonts w:ascii="Palatino Linotype" w:hAnsi="Palatino Linotype"/>
          <w:color w:val="000000"/>
          <w:sz w:val="20"/>
          <w:szCs w:val="20"/>
          <w:bdr w:val="nil"/>
          <w:lang w:val="en-US"/>
        </w:rPr>
        <w:t xml:space="preserve">. </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Regarding the contents, digital bank has full functions of a bank, from organizational structure to working processes, products and services, documents, and transaction methods with customers (including both digital in and digital out). Moreover, digital bank is a high demand for technology including innovation in financial services for customers around strategies on digital application, application of artificial intelligence (AI), payment, RegTech, big data, blockchain technology, APIs, distribution channels and technology</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Pham</w:t>
      </w:r>
      <w:r w:rsidRPr="00881838">
        <w:rPr>
          <w:rFonts w:ascii="Palatino Linotype" w:hAnsi="Palatino Linotype"/>
          <w:color w:val="000000"/>
          <w:sz w:val="20"/>
          <w:szCs w:val="20"/>
          <w:bdr w:val="nil"/>
          <w:lang w:val="vi-VN"/>
        </w:rPr>
        <w:t>, B.L.</w:t>
      </w:r>
      <w:r w:rsidRPr="00881838">
        <w:rPr>
          <w:rFonts w:ascii="Palatino Linotype" w:hAnsi="Palatino Linotype"/>
          <w:color w:val="000000"/>
          <w:sz w:val="20"/>
          <w:szCs w:val="20"/>
          <w:bdr w:val="nil"/>
          <w:lang w:val="en-US"/>
        </w:rPr>
        <w:t>, Nguyen</w:t>
      </w:r>
      <w:r w:rsidRPr="00881838">
        <w:rPr>
          <w:rFonts w:ascii="Palatino Linotype" w:hAnsi="Palatino Linotype"/>
          <w:color w:val="000000"/>
          <w:sz w:val="20"/>
          <w:szCs w:val="20"/>
          <w:bdr w:val="nil"/>
          <w:lang w:val="vi-VN"/>
        </w:rPr>
        <w:t>,</w:t>
      </w:r>
      <w:r w:rsidRPr="00881838">
        <w:rPr>
          <w:rFonts w:ascii="Palatino Linotype" w:hAnsi="Palatino Linotype"/>
          <w:color w:val="000000"/>
          <w:sz w:val="20"/>
          <w:szCs w:val="20"/>
          <w:bdr w:val="nil"/>
          <w:lang w:val="en-US"/>
        </w:rPr>
        <w:t xml:space="preserve"> To</w:t>
      </w:r>
      <w:r w:rsidRPr="00881838">
        <w:rPr>
          <w:rFonts w:ascii="Palatino Linotype" w:hAnsi="Palatino Linotype"/>
          <w:color w:val="000000"/>
          <w:sz w:val="20"/>
          <w:szCs w:val="20"/>
          <w:bdr w:val="nil"/>
          <w:lang w:val="vi-VN"/>
        </w:rPr>
        <w:t>,</w:t>
      </w:r>
      <w:r w:rsidRPr="00881838">
        <w:rPr>
          <w:rStyle w:val="FootnoteReference"/>
          <w:rFonts w:ascii="Palatino Linotype" w:hAnsi="Palatino Linotype"/>
          <w:color w:val="000000"/>
          <w:sz w:val="20"/>
          <w:szCs w:val="20"/>
          <w:lang w:val="vi-VN"/>
        </w:rPr>
        <w:t xml:space="preserve"> </w:t>
      </w:r>
      <w:r w:rsidRPr="00881838">
        <w:rPr>
          <w:rFonts w:ascii="Palatino Linotype" w:hAnsi="Palatino Linotype"/>
          <w:color w:val="000000"/>
          <w:sz w:val="20"/>
          <w:szCs w:val="20"/>
          <w:lang w:val="vi-VN"/>
        </w:rPr>
        <w:t>2020)</w:t>
      </w:r>
      <w:r w:rsidRPr="00881838">
        <w:rPr>
          <w:rFonts w:ascii="Palatino Linotype" w:hAnsi="Palatino Linotype"/>
          <w:color w:val="000000"/>
          <w:sz w:val="20"/>
          <w:szCs w:val="20"/>
          <w:bdr w:val="nil"/>
          <w:lang w:val="en-US"/>
        </w:rPr>
        <w:t>. Ensuring the safe and uninterrupted banking transactions, especially payment transactions, especially in the context of innovative models such as social media, mobile, big data, cloud computing, internet of things, artificial intelligence, fin technology, blockchain, virtual reality, and the requirements of actual customer needs</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shd w:val="clear" w:color="auto" w:fill="FCFCFC"/>
          <w:lang w:val="en-US"/>
        </w:rPr>
        <w:t>Naimi-Sadigh, Asgari, &amp; Rabiei,</w:t>
      </w:r>
      <w:r w:rsidRPr="00881838">
        <w:rPr>
          <w:rFonts w:ascii="Palatino Linotype" w:hAnsi="Palatino Linotype"/>
          <w:color w:val="000000"/>
          <w:sz w:val="20"/>
          <w:szCs w:val="20"/>
          <w:bdr w:val="nil"/>
          <w:shd w:val="clear" w:color="auto" w:fill="FCFCFC"/>
          <w:lang w:val="vi-VN"/>
        </w:rPr>
        <w:t xml:space="preserve"> 2021)</w:t>
      </w:r>
      <w:r w:rsidRPr="00881838">
        <w:rPr>
          <w:rFonts w:ascii="Palatino Linotype" w:hAnsi="Palatino Linotype"/>
          <w:color w:val="000000"/>
          <w:sz w:val="20"/>
          <w:szCs w:val="20"/>
          <w:bdr w:val="nil"/>
          <w:lang w:val="en-US"/>
        </w:rPr>
        <w:t xml:space="preserve"> are decisive factors for the success of digital transformation in banking operations. In the coming years, the wave of cloud-based digital-mobile banking transformation through strategic partnerships, joint ventures, mergers, and acquisitions between fintechs and the large technology companies, banks, and other financial institutions to create value and scale synergy is an inevitable trend. In that context, commercial banks will face the risk of losing revenue in the payments or remittance department, where the primary target of financial technology innovations with customer-centered services, where fintech cybersecurity will become a significant priority because banks or the banking applications with only digital are the standard</w:t>
      </w:r>
      <w:r w:rsidRPr="00881838">
        <w:rPr>
          <w:rFonts w:ascii="Palatino Linotype" w:hAnsi="Palatino Linotype"/>
          <w:color w:val="000000"/>
          <w:sz w:val="20"/>
          <w:szCs w:val="20"/>
          <w:bdr w:val="nil"/>
          <w:lang w:val="vi-VN"/>
        </w:rPr>
        <w:t xml:space="preserve"> (</w:t>
      </w:r>
      <w:r w:rsidRPr="00881838">
        <w:rPr>
          <w:rFonts w:ascii="Palatino Linotype" w:hAnsi="Palatino Linotype"/>
          <w:color w:val="000000"/>
          <w:sz w:val="20"/>
          <w:szCs w:val="20"/>
          <w:bdr w:val="nil"/>
          <w:lang w:val="en-US"/>
        </w:rPr>
        <w:t xml:space="preserve">Luigi </w:t>
      </w:r>
      <w:r w:rsidRPr="00881838">
        <w:rPr>
          <w:rFonts w:ascii="Palatino Linotype" w:hAnsi="Palatino Linotype"/>
          <w:color w:val="000000"/>
          <w:sz w:val="20"/>
          <w:szCs w:val="20"/>
          <w:bdr w:val="nil"/>
          <w:lang w:val="en-US"/>
        </w:rPr>
        <w:lastRenderedPageBreak/>
        <w:t>Wewege, Jeo Lee and Michael C. Thomsett</w:t>
      </w:r>
      <w:r w:rsidRPr="00881838">
        <w:rPr>
          <w:rFonts w:ascii="Palatino Linotype" w:hAnsi="Palatino Linotype"/>
          <w:color w:val="000000"/>
          <w:sz w:val="20"/>
          <w:szCs w:val="20"/>
          <w:lang w:val="vi-VN"/>
        </w:rPr>
        <w:t xml:space="preserve"> 2020)</w:t>
      </w:r>
      <w:r w:rsidRPr="00881838">
        <w:rPr>
          <w:rFonts w:ascii="Palatino Linotype" w:hAnsi="Palatino Linotype"/>
          <w:color w:val="000000"/>
          <w:sz w:val="20"/>
          <w:szCs w:val="20"/>
          <w:bdr w:val="nil"/>
          <w:lang w:val="en-US"/>
        </w:rPr>
        <w:t>. Thus, the physical state of money (paper money or coins) becomes an obstacle to the digitization of banking operations.</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xml:space="preserve">The development strategy of Vietnam's banking industry to 2025, orientation to 2030, issued together with the Prime Minister's Decision No. 986/QD-TTg dated August 8, 2018 which provides orientation{ut2} to improve the quality and diversify banking products and services now emphasizes the development of a large number of customers, especially in areas where people do not have access to banking services based on infrastructure; strongly develop electronic payment methods such as online banking, payment via Internet and mobile phone, the contactless payment and accept the contactless payment, the contactless payment via mobile phone, payment via QR Code, Tokenization... Ensuring the security, the new and advanced security standards in line with payment trends in the world; ensuring the fast payment with security, safety, convenience and the reasonable costs, as well as developing many value-added services on the banking service supplying channel from bank cards; developing a domestic chip card standard and implementing a plan to convert from the magnetic stripe cards to chip cards in Vietnam with an appropriate roadmap in order to ensure security and safety in card payment, and facilitate connection with other payments system are the main development directions of credit institutions. With the orientation of digital banking development, the continuation of the issuance of banknotes (also called the paper money) and coins needs to be reconsidered to create a driving force to promote the process of digitizing the banking activities, especially the provision of payment services through payment intermediaries in the economy. </w:t>
      </w:r>
    </w:p>
    <w:p w:rsidR="00AD1AC7" w:rsidRPr="00881838" w:rsidRDefault="00AD1AC7" w:rsidP="00AD1AC7">
      <w:pPr>
        <w:spacing w:line="240" w:lineRule="auto"/>
        <w:jc w:val="both"/>
        <w:rPr>
          <w:rFonts w:ascii="Palatino Linotype" w:hAnsi="Palatino Linotype"/>
          <w:b/>
          <w:bCs/>
          <w:i/>
          <w:iCs/>
          <w:color w:val="000000"/>
          <w:sz w:val="20"/>
          <w:szCs w:val="20"/>
          <w:lang w:val="vi-VN"/>
        </w:rPr>
      </w:pPr>
      <w:r w:rsidRPr="00881838">
        <w:rPr>
          <w:rFonts w:ascii="Palatino Linotype" w:hAnsi="Palatino Linotype"/>
          <w:b/>
          <w:bCs/>
          <w:i/>
          <w:iCs/>
          <w:sz w:val="20"/>
          <w:szCs w:val="20"/>
          <w:bdr w:val="nil"/>
          <w:lang w:val="en-US"/>
        </w:rPr>
        <w:t>Policies and laws for issuing Vietnam's national digital currency</w:t>
      </w:r>
      <w:r w:rsidRPr="00881838">
        <w:rPr>
          <w:rFonts w:ascii="Palatino Linotype" w:hAnsi="Palatino Linotype"/>
          <w:b/>
          <w:bCs/>
          <w:i/>
          <w:iCs/>
          <w:color w:val="000000"/>
          <w:sz w:val="20"/>
          <w:szCs w:val="20"/>
          <w:bdr w:val="nil"/>
          <w:lang w:val="en-US"/>
        </w:rPr>
        <w:t xml:space="preserve"> </w:t>
      </w:r>
    </w:p>
    <w:p w:rsidR="00AD1AC7" w:rsidRPr="00881838" w:rsidRDefault="00AD1AC7" w:rsidP="00AD1AC7">
      <w:pPr>
        <w:spacing w:line="240" w:lineRule="auto"/>
        <w:jc w:val="both"/>
        <w:rPr>
          <w:rFonts w:ascii="Palatino Linotype" w:hAnsi="Palatino Linotype"/>
          <w:i/>
          <w:iCs/>
          <w:color w:val="000000"/>
          <w:sz w:val="20"/>
          <w:szCs w:val="20"/>
          <w:lang w:val="vi-VN"/>
        </w:rPr>
      </w:pPr>
      <w:r w:rsidRPr="00881838">
        <w:rPr>
          <w:rFonts w:ascii="Palatino Linotype" w:hAnsi="Palatino Linotype"/>
          <w:i/>
          <w:iCs/>
          <w:color w:val="000000"/>
          <w:sz w:val="20"/>
          <w:szCs w:val="20"/>
          <w:bdr w:val="nil"/>
          <w:lang w:val="en-US"/>
        </w:rPr>
        <w:t>Law on the State Bank: only banknotes and coins are accepted</w:t>
      </w:r>
    </w:p>
    <w:p w:rsidR="00AD1AC7" w:rsidRPr="00881838" w:rsidRDefault="00AD1AC7" w:rsidP="00AD1AC7">
      <w:pPr>
        <w:spacing w:line="240" w:lineRule="auto"/>
        <w:jc w:val="both"/>
        <w:rPr>
          <w:rFonts w:ascii="Palatino Linotype" w:hAnsi="Palatino Linotype"/>
          <w:color w:val="000000"/>
          <w:sz w:val="20"/>
          <w:szCs w:val="20"/>
        </w:rPr>
      </w:pPr>
      <w:r w:rsidRPr="00881838">
        <w:rPr>
          <w:rFonts w:ascii="Palatino Linotype" w:hAnsi="Palatino Linotype"/>
          <w:color w:val="000000"/>
          <w:sz w:val="20"/>
          <w:szCs w:val="20"/>
          <w:bdr w:val="nil"/>
          <w:lang w:val="en-US"/>
        </w:rPr>
        <w:t xml:space="preserve">Law No. </w:t>
      </w:r>
      <w:r w:rsidRPr="00881838">
        <w:rPr>
          <w:rFonts w:ascii="Palatino Linotype" w:hAnsi="Palatino Linotype"/>
          <w:color w:val="000000"/>
          <w:sz w:val="20"/>
          <w:szCs w:val="20"/>
          <w:bdr w:val="nil"/>
          <w:shd w:val="clear" w:color="auto" w:fill="FFFFFF"/>
          <w:lang w:val="en-US"/>
        </w:rPr>
        <w:t>46/2010/QH12</w:t>
      </w:r>
      <w:r w:rsidRPr="00881838">
        <w:rPr>
          <w:rFonts w:ascii="Palatino Linotype" w:hAnsi="Palatino Linotype"/>
          <w:color w:val="000000"/>
          <w:sz w:val="20"/>
          <w:szCs w:val="20"/>
          <w:bdr w:val="nil"/>
          <w:lang w:val="en-US"/>
        </w:rPr>
        <w:t xml:space="preserve"> on the State Bank of Vietnam (hereinafter referred to as Law No. </w:t>
      </w:r>
      <w:r w:rsidRPr="00881838">
        <w:rPr>
          <w:rFonts w:ascii="Palatino Linotype" w:hAnsi="Palatino Linotype"/>
          <w:color w:val="000000"/>
          <w:sz w:val="20"/>
          <w:szCs w:val="20"/>
          <w:bdr w:val="nil"/>
          <w:shd w:val="clear" w:color="auto" w:fill="FFFFFF"/>
          <w:lang w:val="en-US"/>
        </w:rPr>
        <w:t>46/2010/QH12</w:t>
      </w:r>
      <w:r w:rsidRPr="00881838">
        <w:rPr>
          <w:rFonts w:ascii="Palatino Linotype" w:hAnsi="Palatino Linotype"/>
          <w:color w:val="000000"/>
          <w:sz w:val="20"/>
          <w:szCs w:val="20"/>
          <w:bdr w:val="nil"/>
          <w:lang w:val="en-US"/>
        </w:rPr>
        <w:t xml:space="preserve">) stipulates, </w:t>
      </w:r>
      <w:r w:rsidRPr="00881838">
        <w:rPr>
          <w:rFonts w:ascii="Palatino Linotype" w:hAnsi="Palatino Linotype"/>
          <w:color w:val="000000"/>
          <w:sz w:val="20"/>
          <w:szCs w:val="20"/>
          <w:bdr w:val="nil"/>
          <w:shd w:val="clear" w:color="auto" w:fill="FFFFFF"/>
          <w:lang w:val="en-US"/>
        </w:rPr>
        <w:t>the State Bank is the only agency that issues banknotes and coins of the Socialist Republic of Vietnam.</w:t>
      </w:r>
      <w:r w:rsidRPr="00881838">
        <w:rPr>
          <w:rFonts w:ascii="Palatino Linotype" w:hAnsi="Palatino Linotype"/>
          <w:color w:val="000000"/>
          <w:sz w:val="20"/>
          <w:szCs w:val="20"/>
          <w:bdr w:val="nil"/>
          <w:lang w:val="en-US"/>
        </w:rPr>
        <w:t xml:space="preserve"> Accordingly, </w:t>
      </w:r>
      <w:r w:rsidRPr="00881838">
        <w:rPr>
          <w:rFonts w:ascii="Palatino Linotype" w:hAnsi="Palatino Linotype"/>
          <w:color w:val="000000"/>
          <w:sz w:val="20"/>
          <w:szCs w:val="20"/>
          <w:bdr w:val="nil"/>
          <w:shd w:val="clear" w:color="auto" w:fill="FFFFFF"/>
          <w:lang w:val="en-US"/>
        </w:rPr>
        <w:t>the State Bank of Vietnam defines one of its principal roles as: prints, mints, preserves and transports banknotes and coins; perform the operation of issuing, withdrawing, replacing, and destroying banknotes and coins</w:t>
      </w:r>
      <w:r w:rsidRPr="00881838">
        <w:rPr>
          <w:rFonts w:ascii="Palatino Linotype" w:hAnsi="Palatino Linotype"/>
          <w:color w:val="000000"/>
          <w:sz w:val="20"/>
          <w:szCs w:val="20"/>
          <w:bdr w:val="nil"/>
          <w:shd w:val="clear" w:color="auto" w:fill="FFFFFF"/>
          <w:lang w:val="vi-VN"/>
        </w:rPr>
        <w:t xml:space="preserve"> (</w:t>
      </w:r>
      <w:r w:rsidRPr="00881838">
        <w:rPr>
          <w:rFonts w:ascii="Palatino Linotype" w:hAnsi="Palatino Linotype"/>
          <w:sz w:val="20"/>
          <w:szCs w:val="20"/>
          <w:bdr w:val="nil"/>
          <w:lang w:val="en-US"/>
        </w:rPr>
        <w:t xml:space="preserve">Law No. </w:t>
      </w:r>
      <w:r w:rsidRPr="00881838">
        <w:rPr>
          <w:rFonts w:ascii="Palatino Linotype" w:hAnsi="Palatino Linotype"/>
          <w:color w:val="000000"/>
          <w:sz w:val="20"/>
          <w:szCs w:val="20"/>
          <w:bdr w:val="nil"/>
          <w:shd w:val="clear" w:color="auto" w:fill="FFFFFF"/>
          <w:lang w:val="en-US"/>
        </w:rPr>
        <w:t xml:space="preserve">46/2010/QH12 </w:t>
      </w:r>
      <w:r w:rsidRPr="00881838">
        <w:rPr>
          <w:rFonts w:ascii="Palatino Linotype" w:hAnsi="Palatino Linotype"/>
          <w:sz w:val="20"/>
          <w:szCs w:val="20"/>
          <w:bdr w:val="nil"/>
          <w:lang w:val="en-US"/>
        </w:rPr>
        <w:t>dated June 6, 2010, Clause 4, Article 8</w:t>
      </w:r>
      <w:r w:rsidRPr="00881838">
        <w:rPr>
          <w:rFonts w:ascii="Palatino Linotype" w:hAnsi="Palatino Linotype"/>
          <w:sz w:val="20"/>
          <w:szCs w:val="20"/>
          <w:bdr w:val="nil"/>
          <w:lang w:val="vi-VN"/>
        </w:rPr>
        <w:t>)</w:t>
      </w:r>
      <w:r w:rsidRPr="00881838">
        <w:rPr>
          <w:rFonts w:ascii="Palatino Linotype" w:hAnsi="Palatino Linotype"/>
          <w:color w:val="000000"/>
          <w:sz w:val="20"/>
          <w:szCs w:val="20"/>
          <w:bdr w:val="nil"/>
          <w:shd w:val="clear" w:color="auto" w:fill="FFFFFF"/>
          <w:lang w:val="vi-VN"/>
        </w:rPr>
        <w:t>.</w:t>
      </w:r>
      <w:r w:rsidRPr="00881838">
        <w:rPr>
          <w:rFonts w:ascii="Palatino Linotype" w:hAnsi="Palatino Linotype"/>
          <w:color w:val="000000"/>
          <w:sz w:val="20"/>
          <w:szCs w:val="20"/>
          <w:bdr w:val="nil"/>
          <w:shd w:val="clear" w:color="auto" w:fill="FFFFFF"/>
          <w:lang w:val="en-US"/>
        </w:rPr>
        <w:t xml:space="preserve"> </w:t>
      </w:r>
      <w:r w:rsidRPr="00881838">
        <w:rPr>
          <w:rFonts w:ascii="Palatino Linotype" w:hAnsi="Palatino Linotype"/>
          <w:color w:val="000000"/>
          <w:sz w:val="20"/>
          <w:szCs w:val="20"/>
          <w:bdr w:val="nil"/>
          <w:lang w:val="en-US"/>
        </w:rPr>
        <w:t xml:space="preserve"> Based on Government's </w:t>
      </w:r>
      <w:bookmarkStart w:id="2" w:name="khoan_1_22"/>
      <w:r w:rsidRPr="00881838">
        <w:rPr>
          <w:rFonts w:ascii="Palatino Linotype" w:hAnsi="Palatino Linotype"/>
          <w:color w:val="000000"/>
          <w:sz w:val="20"/>
          <w:szCs w:val="20"/>
          <w:bdr w:val="nil"/>
          <w:lang w:val="en-US"/>
        </w:rPr>
        <w:t xml:space="preserve">regulations on currency issuance, including printing, minting, preserving, transporting, issuing, withdrawing, replacing, destroying money, the expenses </w:t>
      </w:r>
      <w:r w:rsidRPr="00881838">
        <w:rPr>
          <w:rFonts w:ascii="Palatino Linotype" w:hAnsi="Palatino Linotype"/>
          <w:color w:val="000000"/>
          <w:sz w:val="20"/>
          <w:szCs w:val="20"/>
          <w:bdr w:val="nil"/>
          <w:lang w:val="en-US"/>
        </w:rPr>
        <w:lastRenderedPageBreak/>
        <w:t>for money issuance operations</w:t>
      </w:r>
      <w:bookmarkEnd w:id="2"/>
      <w:r w:rsidRPr="00881838">
        <w:rPr>
          <w:rFonts w:ascii="Palatino Linotype" w:hAnsi="Palatino Linotype"/>
          <w:color w:val="000000"/>
          <w:sz w:val="20"/>
          <w:szCs w:val="20"/>
          <w:bdr w:val="nil"/>
          <w:lang w:val="vi-VN"/>
        </w:rPr>
        <w:t xml:space="preserve"> (</w:t>
      </w:r>
      <w:r w:rsidRPr="00881838">
        <w:rPr>
          <w:rFonts w:ascii="Palatino Linotype" w:hAnsi="Palatino Linotype"/>
          <w:sz w:val="20"/>
          <w:szCs w:val="20"/>
          <w:bdr w:val="nil"/>
          <w:lang w:val="en-US"/>
        </w:rPr>
        <w:t xml:space="preserve">Law No. </w:t>
      </w:r>
      <w:r w:rsidRPr="00881838">
        <w:rPr>
          <w:rFonts w:ascii="Palatino Linotype" w:hAnsi="Palatino Linotype"/>
          <w:color w:val="000000"/>
          <w:sz w:val="20"/>
          <w:szCs w:val="20"/>
          <w:bdr w:val="nil"/>
          <w:shd w:val="clear" w:color="auto" w:fill="FFFFFF"/>
          <w:lang w:val="en-US"/>
        </w:rPr>
        <w:t xml:space="preserve">46/2010/QH12 </w:t>
      </w:r>
      <w:r w:rsidRPr="00881838">
        <w:rPr>
          <w:rFonts w:ascii="Palatino Linotype" w:hAnsi="Palatino Linotype"/>
          <w:sz w:val="20"/>
          <w:szCs w:val="20"/>
          <w:bdr w:val="nil"/>
          <w:lang w:val="en-US"/>
        </w:rPr>
        <w:t>dated June 6, 2010, Clause 1, Article 22</w:t>
      </w:r>
      <w:r w:rsidRPr="00881838">
        <w:rPr>
          <w:rFonts w:ascii="Palatino Linotype" w:hAnsi="Palatino Linotype"/>
          <w:sz w:val="20"/>
          <w:szCs w:val="20"/>
          <w:bdr w:val="nil"/>
          <w:lang w:val="vi-VN"/>
        </w:rPr>
        <w:t>)</w:t>
      </w:r>
      <w:r w:rsidRPr="00881838">
        <w:rPr>
          <w:rFonts w:ascii="Palatino Linotype" w:hAnsi="Palatino Linotype"/>
          <w:color w:val="000000"/>
          <w:sz w:val="20"/>
          <w:szCs w:val="20"/>
          <w:bdr w:val="nil"/>
          <w:lang w:val="en-US"/>
        </w:rPr>
        <w:t xml:space="preserve">, the State Bank shall design the denominations, sizes, weights, drawings, patterns, and other characteristics of the money and then submit it to the Prime Minister for approval </w:t>
      </w:r>
      <w:bookmarkStart w:id="3" w:name="khoan_2_18"/>
      <w:r w:rsidRPr="00881838">
        <w:rPr>
          <w:rFonts w:ascii="Palatino Linotype" w:hAnsi="Palatino Linotype"/>
          <w:color w:val="000000"/>
          <w:sz w:val="20"/>
          <w:szCs w:val="20"/>
          <w:bdr w:val="nil"/>
          <w:lang w:val="en-US"/>
        </w:rPr>
        <w:t>before organizing the printing, minting, preserving, transporting and issuing money into circulation</w:t>
      </w:r>
      <w:bookmarkEnd w:id="3"/>
      <w:r w:rsidRPr="00881838">
        <w:rPr>
          <w:rFonts w:ascii="Palatino Linotype" w:hAnsi="Palatino Linotype"/>
          <w:color w:val="000000"/>
          <w:sz w:val="20"/>
          <w:szCs w:val="20"/>
          <w:bdr w:val="nil"/>
          <w:lang w:val="vi-VN"/>
        </w:rPr>
        <w:t xml:space="preserve"> (</w:t>
      </w:r>
      <w:r w:rsidRPr="00881838">
        <w:rPr>
          <w:rFonts w:ascii="Palatino Linotype" w:hAnsi="Palatino Linotype"/>
          <w:sz w:val="20"/>
          <w:szCs w:val="20"/>
          <w:bdr w:val="nil"/>
          <w:lang w:val="en-US"/>
        </w:rPr>
        <w:t xml:space="preserve">Law No. </w:t>
      </w:r>
      <w:r w:rsidRPr="00881838">
        <w:rPr>
          <w:rFonts w:ascii="Palatino Linotype" w:hAnsi="Palatino Linotype"/>
          <w:color w:val="000000"/>
          <w:sz w:val="20"/>
          <w:szCs w:val="20"/>
          <w:bdr w:val="nil"/>
          <w:shd w:val="clear" w:color="auto" w:fill="FFFFFF"/>
          <w:lang w:val="en-US"/>
        </w:rPr>
        <w:t xml:space="preserve">46/2010/QH12 </w:t>
      </w:r>
      <w:r w:rsidRPr="00881838">
        <w:rPr>
          <w:rFonts w:ascii="Palatino Linotype" w:hAnsi="Palatino Linotype"/>
          <w:sz w:val="20"/>
          <w:szCs w:val="20"/>
          <w:bdr w:val="nil"/>
          <w:lang w:val="en-US"/>
        </w:rPr>
        <w:t xml:space="preserve">dated June 6, 2010, Clause 1, Article </w:t>
      </w:r>
      <w:r w:rsidRPr="00881838">
        <w:rPr>
          <w:rFonts w:ascii="Palatino Linotype" w:hAnsi="Palatino Linotype"/>
          <w:sz w:val="20"/>
          <w:szCs w:val="20"/>
          <w:bdr w:val="nil"/>
          <w:lang w:val="vi-VN"/>
        </w:rPr>
        <w:t>18)</w:t>
      </w:r>
      <w:r w:rsidRPr="00881838">
        <w:rPr>
          <w:rFonts w:ascii="Palatino Linotype" w:hAnsi="Palatino Linotype"/>
          <w:color w:val="000000"/>
          <w:sz w:val="20"/>
          <w:szCs w:val="20"/>
          <w:bdr w:val="nil"/>
          <w:lang w:val="en-US"/>
        </w:rPr>
        <w:t>. Regarding currency materials, the current Law on the State Bank of Vietnam covers paper money and metal coins, which are legal means of payment in the territory of the Socialist Republic of Vietnam</w:t>
      </w:r>
      <w:r w:rsidRPr="00881838">
        <w:rPr>
          <w:rFonts w:ascii="Palatino Linotype" w:hAnsi="Palatino Linotype"/>
          <w:color w:val="000000"/>
          <w:sz w:val="20"/>
          <w:szCs w:val="20"/>
          <w:bdr w:val="nil"/>
          <w:lang w:val="vi-VN"/>
        </w:rPr>
        <w:t xml:space="preserve"> (</w:t>
      </w:r>
      <w:r w:rsidRPr="00881838">
        <w:rPr>
          <w:rFonts w:ascii="Palatino Linotype" w:hAnsi="Palatino Linotype"/>
          <w:sz w:val="20"/>
          <w:szCs w:val="20"/>
          <w:bdr w:val="nil"/>
          <w:lang w:val="en-US"/>
        </w:rPr>
        <w:t xml:space="preserve">Law No. </w:t>
      </w:r>
      <w:r w:rsidRPr="00881838">
        <w:rPr>
          <w:rFonts w:ascii="Palatino Linotype" w:hAnsi="Palatino Linotype"/>
          <w:color w:val="000000"/>
          <w:sz w:val="20"/>
          <w:szCs w:val="20"/>
          <w:bdr w:val="nil"/>
          <w:shd w:val="clear" w:color="auto" w:fill="FFFFFF"/>
          <w:lang w:val="en-US"/>
        </w:rPr>
        <w:t xml:space="preserve">46/2010/QH12 </w:t>
      </w:r>
      <w:r w:rsidRPr="00881838">
        <w:rPr>
          <w:rFonts w:ascii="Palatino Linotype" w:hAnsi="Palatino Linotype"/>
          <w:sz w:val="20"/>
          <w:szCs w:val="20"/>
          <w:bdr w:val="nil"/>
          <w:lang w:val="en-US"/>
        </w:rPr>
        <w:t xml:space="preserve">dated June 6, 2010, Clause 1, Article </w:t>
      </w:r>
      <w:r w:rsidRPr="00881838">
        <w:rPr>
          <w:rFonts w:ascii="Palatino Linotype" w:hAnsi="Palatino Linotype"/>
          <w:sz w:val="20"/>
          <w:szCs w:val="20"/>
          <w:bdr w:val="nil"/>
          <w:lang w:val="vi-VN"/>
        </w:rPr>
        <w:t xml:space="preserve">17, </w:t>
      </w:r>
      <w:r w:rsidRPr="00881838">
        <w:rPr>
          <w:rFonts w:ascii="Palatino Linotype" w:hAnsi="Palatino Linotype"/>
          <w:sz w:val="20"/>
          <w:szCs w:val="20"/>
          <w:bdr w:val="nil"/>
          <w:lang w:val="en-US"/>
        </w:rPr>
        <w:t>Clause 2</w:t>
      </w:r>
      <w:r w:rsidRPr="00881838">
        <w:rPr>
          <w:rFonts w:ascii="Palatino Linotype" w:hAnsi="Palatino Linotype"/>
          <w:sz w:val="20"/>
          <w:szCs w:val="20"/>
          <w:bdr w:val="nil"/>
          <w:lang w:val="vi-VN"/>
        </w:rPr>
        <w:t>)</w:t>
      </w:r>
      <w:r w:rsidRPr="00881838">
        <w:rPr>
          <w:rFonts w:ascii="Palatino Linotype" w:hAnsi="Palatino Linotype"/>
          <w:color w:val="000000"/>
          <w:sz w:val="20"/>
          <w:szCs w:val="20"/>
          <w:bdr w:val="nil"/>
          <w:lang w:val="en-US"/>
        </w:rPr>
        <w:t>. In order to well manage the amount of money in circulation, one of the tasks of the development strategy of Vietnam's banking industry to 2025, with orientation to 2030 is to manage cash and the vault safety, and at the same time, gradually organize a reasonable and efficient cash supply and continue to innovate and improve the quality and effectiveness of monetary statistics</w:t>
      </w:r>
      <w:r w:rsidRPr="00881838">
        <w:rPr>
          <w:rFonts w:ascii="Palatino Linotype" w:hAnsi="Palatino Linotype"/>
          <w:color w:val="000000"/>
          <w:sz w:val="20"/>
          <w:szCs w:val="20"/>
          <w:bdr w:val="nil"/>
          <w:lang w:val="vi-VN"/>
        </w:rPr>
        <w:t xml:space="preserve"> (</w:t>
      </w:r>
      <w:r w:rsidRPr="00881838">
        <w:rPr>
          <w:rFonts w:ascii="Palatino Linotype" w:hAnsi="Palatino Linotype"/>
          <w:sz w:val="20"/>
          <w:szCs w:val="20"/>
          <w:bdr w:val="nil"/>
          <w:lang w:val="en-US"/>
        </w:rPr>
        <w:t>Decision No. 986/QD-TTg dated August 8, 2018</w:t>
      </w:r>
      <w:r w:rsidRPr="00881838">
        <w:rPr>
          <w:rFonts w:ascii="Palatino Linotype" w:hAnsi="Palatino Linotype"/>
          <w:sz w:val="20"/>
          <w:szCs w:val="20"/>
          <w:bdr w:val="nil"/>
          <w:lang w:val="vi-VN"/>
        </w:rPr>
        <w:t xml:space="preserve"> of the Prime Minister of Vietnam)</w:t>
      </w:r>
      <w:r w:rsidRPr="00881838">
        <w:rPr>
          <w:rFonts w:ascii="Palatino Linotype" w:hAnsi="Palatino Linotype"/>
          <w:color w:val="000000"/>
          <w:sz w:val="20"/>
          <w:szCs w:val="20"/>
          <w:bdr w:val="nil"/>
          <w:lang w:val="en-US"/>
        </w:rPr>
        <w:t xml:space="preserve">. From a legal perspective on currency issuance, Vietnam has no regulations on issuing the central bank digital currency.  The absence of regulations on digital currency issuance in the current Vietnamese law can explain that, at the time of promulgation of the State Bank Law, the issue of digital currency in general, Central Bank digital currency has not yet become a matter of concern for Vietnamese legislators. </w:t>
      </w:r>
    </w:p>
    <w:p w:rsidR="00AD1AC7" w:rsidRPr="00881838" w:rsidRDefault="00AD1AC7" w:rsidP="00AD1AC7">
      <w:pPr>
        <w:spacing w:line="240" w:lineRule="auto"/>
        <w:jc w:val="both"/>
        <w:rPr>
          <w:rFonts w:ascii="Palatino Linotype" w:hAnsi="Palatino Linotype"/>
          <w:i/>
          <w:iCs/>
          <w:color w:val="000000"/>
          <w:sz w:val="20"/>
          <w:szCs w:val="20"/>
          <w:lang w:val="vi-VN"/>
        </w:rPr>
      </w:pPr>
      <w:r w:rsidRPr="00881838">
        <w:rPr>
          <w:rFonts w:ascii="Palatino Linotype" w:hAnsi="Palatino Linotype"/>
          <w:i/>
          <w:iCs/>
          <w:color w:val="000000"/>
          <w:sz w:val="20"/>
          <w:szCs w:val="20"/>
          <w:bdr w:val="nil"/>
          <w:lang w:val="en-US"/>
        </w:rPr>
        <w:t>Banking industry development strategy to 2025, with orientation to 2030: the digital currency of the State Bank of Vietnam has not been mentioned yet</w:t>
      </w:r>
    </w:p>
    <w:p w:rsidR="00AD1AC7" w:rsidRPr="00881838" w:rsidRDefault="00AD1AC7" w:rsidP="00AD1AC7">
      <w:pPr>
        <w:spacing w:line="240" w:lineRule="auto"/>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xml:space="preserve">The development strategy of Vietnam's banking industry to 2025, with orientation to 2030, issued together with Decision No. 986/QD-TTg dated August 8, 2018 of the Prime Minister, do not mention the digital currency issuance of the State Bank, however, the cross - cutting content of the Strategy is to promptly seize opportunities and challenges from the impacts of the fourth industrial revolution; to develop, manage and supervise important payment systems in the economy as well as develop modern banking products and services, create a basis for improving the access to banking services, and set important preconditions for the adoption of national digital currency issuance. Specifically, regarding the monetary policy, the core content is the requirement to ensure monetary stability and the legal mechanism to ensure that the State Bank has performed well both the central bank function, which is independent and proactive in operating monetary policy, and its role as a government agency. Accordingly, monetary policy aims at controlling inflation, stabilizing the money value, contributing to maintaining macroeconomic stability, creating </w:t>
      </w:r>
      <w:r w:rsidRPr="00881838">
        <w:rPr>
          <w:rFonts w:ascii="Palatino Linotype" w:hAnsi="Palatino Linotype"/>
          <w:color w:val="000000"/>
          <w:sz w:val="20"/>
          <w:szCs w:val="20"/>
          <w:bdr w:val="nil"/>
          <w:lang w:val="en-US"/>
        </w:rPr>
        <w:lastRenderedPageBreak/>
        <w:t>conditions to improve the efficiency of mobilization and the capital allocation in the economy, promoting sustainable economic growth. To control inflation, contribute to macroeconomic stability, promote the sustainable growth; ensure the safety and soundness of the  credit institutions system; play a key role in ensuring financial stability; perform the role of payment systems supervision; be the payment and settlement center for payment systems and the financial and monetary transaction systems in an economy; control the amount of money in circulation..., it requires the monetary policy management to gradually change from operating according to money volume to mainly operating based on price; use indirect tools, gradually remove administrative measures on interest rates when conditions permit; continue to run open market operations in the direction of being the main tool to regulate the available funds of credit institutions in order to achieve monetary policy objectives in each period. To achieve this goal, the national digital currency issuance is the optimal solution, helping the State Bank to control the amount of money in circulation, well-regulate capital sources, thereby achieving monetary policy effectiveness. This is even more important because Vietnam's economy is gradually shifting to the market mechanism, so administrative interventions can have immediate effects, but do not solve the root of the problem, that is controlling the amount of money circulating in the economy.</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b/>
          <w:bCs/>
          <w:i/>
          <w:iCs/>
          <w:color w:val="000000"/>
          <w:sz w:val="20"/>
          <w:szCs w:val="20"/>
          <w:bdr w:val="nil"/>
          <w:lang w:val="en-US"/>
        </w:rPr>
        <w:t>Secondly</w:t>
      </w:r>
      <w:r w:rsidRPr="00881838">
        <w:rPr>
          <w:rFonts w:ascii="Palatino Linotype" w:hAnsi="Palatino Linotype"/>
          <w:color w:val="000000"/>
          <w:sz w:val="20"/>
          <w:szCs w:val="20"/>
          <w:bdr w:val="nil"/>
          <w:lang w:val="en-US"/>
        </w:rPr>
        <w:t xml:space="preserve">, developing, managing, and supervising important payment systems in the economy in the direction of restructuring the interbank electronic payment system towards centralization, modernity, acting as the national backbone payment system, performing the role of the payment center of the State Bank, serving the high-value payment system, inter-bank multi-currency payment... and connecting with other payment systems in the economy. In addition, the construction and development of an automatic electronic clearing system for retail payment transactions and card transactions to provide electronic clearing and switching services through different payment means, payment services and payment channels, making payments in batches and in real time, operating 24/7, serving many different objects...are also solutions that needs to be implemented in association with building and promulgating the development strategy of Vietnam National Payment Joint Stock Company to 2025, with orientation to 2030. In addition, the State Bank needs to perform a good supervisory role for important payment systems in the economy, in accordance with supervision standards according to the principles set forth by the Bank for International Settlements (BIS) and The International Organization of Securities Commissions (IOSCO), ensure national payment systems to operate safely, efficiently and smoothly; effectively supervise cross-border </w:t>
      </w:r>
      <w:r w:rsidRPr="00881838">
        <w:rPr>
          <w:rFonts w:ascii="Palatino Linotype" w:hAnsi="Palatino Linotype"/>
          <w:color w:val="000000"/>
          <w:sz w:val="20"/>
          <w:szCs w:val="20"/>
          <w:bdr w:val="nil"/>
          <w:lang w:val="en-US"/>
        </w:rPr>
        <w:lastRenderedPageBreak/>
        <w:t>payment activities and international payments; supervise the supply of new payment facilities and services; research and develop a strategy for the development of payment and settlement systems to 2025, with a vision to 2030.</w:t>
      </w:r>
    </w:p>
    <w:p w:rsidR="00AD1AC7" w:rsidRPr="00881838" w:rsidRDefault="00AD1AC7" w:rsidP="00AD1AC7">
      <w:pPr>
        <w:spacing w:line="240" w:lineRule="auto"/>
        <w:jc w:val="both"/>
        <w:rPr>
          <w:rFonts w:ascii="Palatino Linotype" w:hAnsi="Palatino Linotype"/>
          <w:color w:val="000000"/>
          <w:sz w:val="20"/>
          <w:szCs w:val="20"/>
        </w:rPr>
      </w:pPr>
      <w:r w:rsidRPr="00881838">
        <w:rPr>
          <w:rFonts w:ascii="Palatino Linotype" w:hAnsi="Palatino Linotype"/>
          <w:i/>
          <w:iCs/>
          <w:color w:val="000000"/>
          <w:sz w:val="20"/>
          <w:szCs w:val="20"/>
          <w:bdr w:val="nil"/>
          <w:shd w:val="clear" w:color="auto" w:fill="FFFFFF"/>
          <w:lang w:val="en-US"/>
        </w:rPr>
        <w:t xml:space="preserve">Development of non-cash payment </w:t>
      </w:r>
      <w:r w:rsidRPr="00881838">
        <w:rPr>
          <w:rFonts w:ascii="Palatino Linotype" w:hAnsi="Palatino Linotype"/>
          <w:i/>
          <w:iCs/>
          <w:color w:val="000000"/>
          <w:sz w:val="20"/>
          <w:szCs w:val="20"/>
          <w:bdr w:val="nil"/>
          <w:lang w:val="en-US"/>
        </w:rPr>
        <w:t xml:space="preserve">for the period of 2021 – 2025: Request </w:t>
      </w:r>
      <w:r w:rsidRPr="00881838">
        <w:rPr>
          <w:rFonts w:ascii="Palatino Linotype" w:hAnsi="Palatino Linotype"/>
          <w:i/>
          <w:iCs/>
          <w:color w:val="000000"/>
          <w:sz w:val="20"/>
          <w:szCs w:val="20"/>
          <w:bdr w:val="nil"/>
          <w:shd w:val="clear" w:color="auto" w:fill="FFFFFF"/>
          <w:lang w:val="en-US"/>
        </w:rPr>
        <w:t xml:space="preserve">to complete the legal framework and mechanisms and policies on national digital currency </w:t>
      </w:r>
    </w:p>
    <w:p w:rsidR="00AD1AC7" w:rsidRPr="00881838" w:rsidRDefault="00AD1AC7" w:rsidP="00AD1AC7">
      <w:pPr>
        <w:spacing w:line="240" w:lineRule="auto"/>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The current Vietnamese law stipulates that non-cash payment means used in payment transactions only include checks, payment orders, collection of Payment, collection orders, bank cards and other means of payment according to regulations of the State Bank</w:t>
      </w:r>
      <w:r w:rsidRPr="00881838">
        <w:rPr>
          <w:rFonts w:ascii="Palatino Linotype" w:hAnsi="Palatino Linotype"/>
          <w:color w:val="000000"/>
          <w:sz w:val="20"/>
          <w:szCs w:val="20"/>
          <w:bdr w:val="nil"/>
          <w:lang w:val="vi-VN"/>
        </w:rPr>
        <w:t xml:space="preserve"> (</w:t>
      </w:r>
      <w:r w:rsidRPr="00881838">
        <w:rPr>
          <w:rFonts w:ascii="Palatino Linotype" w:hAnsi="Palatino Linotype"/>
          <w:sz w:val="20"/>
          <w:szCs w:val="20"/>
          <w:bdr w:val="nil"/>
          <w:lang w:val="en-US"/>
        </w:rPr>
        <w:t>Decree No. 80/2016/ND-CP dated July 1, 2016,</w:t>
      </w:r>
      <w:r w:rsidRPr="00881838">
        <w:rPr>
          <w:rFonts w:ascii="Palatino Linotype" w:hAnsi="Palatino Linotype"/>
          <w:sz w:val="20"/>
          <w:szCs w:val="20"/>
          <w:bdr w:val="nil"/>
          <w:lang w:val="vi-VN"/>
        </w:rPr>
        <w:t xml:space="preserve"> of Vietnam Government, Article 1 Clause 1)</w:t>
      </w:r>
      <w:r w:rsidRPr="00881838">
        <w:rPr>
          <w:rFonts w:ascii="Palatino Linotype" w:hAnsi="Palatino Linotype"/>
          <w:color w:val="000000"/>
          <w:sz w:val="20"/>
          <w:szCs w:val="20"/>
          <w:bdr w:val="nil"/>
          <w:lang w:val="en-US"/>
        </w:rPr>
        <w:t>. The development strategy of Vietnam's banking industry to 2025, with a vision to 2030, requires a reasonable expansion of the traditional channel network in combination with promoting the development of modern banking transaction channels (E-banking, mobile banking, internet banking...) through the application of technical advances and continuing to develop and arrange properly the nationwide ATM and POS network to ensure efficiency and meet the better needs of the market; encourages banks and other organizations to invest in and expand their ATM network to rural areas that are difficult to access to the bank's transaction points; researches and applies a number of modern ATMs with features; builds and implements a plan to develop bank card payment via the card-accepting devices in the period of 2018 - 2020.</w:t>
      </w:r>
    </w:p>
    <w:p w:rsidR="00AD1AC7" w:rsidRPr="00881838" w:rsidRDefault="00AD1AC7" w:rsidP="00AD1AC7">
      <w:pPr>
        <w:spacing w:line="240" w:lineRule="auto"/>
        <w:ind w:firstLine="567"/>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 xml:space="preserve">The project to develop non-cash payment in Vietnam for the period of 2021 - 2025 emphasizes the development of modern payment services, applying the achievements of the fourth industrial revolution for the development of various payment products and services on a digitized platform, ensuring safety, security, and convenience for users, including the content </w:t>
      </w:r>
      <w:r w:rsidRPr="00881838">
        <w:rPr>
          <w:rFonts w:ascii="Palatino Linotype" w:hAnsi="Palatino Linotype"/>
          <w:color w:val="000000"/>
          <w:sz w:val="20"/>
          <w:szCs w:val="20"/>
          <w:bdr w:val="nil"/>
          <w:shd w:val="clear" w:color="auto" w:fill="FFFFFF"/>
          <w:lang w:val="en-US"/>
        </w:rPr>
        <w:t>to complete the legal corridor and mechanism, policy of national digital currency</w:t>
      </w:r>
      <w:r w:rsidRPr="00881838">
        <w:rPr>
          <w:rFonts w:ascii="Palatino Linotype" w:hAnsi="Palatino Linotype"/>
          <w:color w:val="000000"/>
          <w:sz w:val="20"/>
          <w:szCs w:val="20"/>
          <w:bdr w:val="nil"/>
          <w:shd w:val="clear" w:color="auto" w:fill="FFFFFF"/>
          <w:lang w:val="vi-VN"/>
        </w:rPr>
        <w:t xml:space="preserve"> (</w:t>
      </w:r>
      <w:r w:rsidRPr="00881838">
        <w:rPr>
          <w:rFonts w:ascii="Palatino Linotype" w:hAnsi="Palatino Linotype"/>
          <w:sz w:val="20"/>
          <w:szCs w:val="20"/>
          <w:bdr w:val="nil"/>
          <w:lang w:val="en-US"/>
        </w:rPr>
        <w:t>Decision No. 1813/QD-TTg dated October 28, 2021</w:t>
      </w:r>
      <w:r w:rsidRPr="00881838">
        <w:rPr>
          <w:rFonts w:ascii="Palatino Linotype" w:hAnsi="Palatino Linotype"/>
          <w:sz w:val="20"/>
          <w:szCs w:val="20"/>
          <w:bdr w:val="nil"/>
          <w:lang w:val="vi-VN"/>
        </w:rPr>
        <w:t xml:space="preserve"> of the Prime Minister of Vietnam)</w:t>
      </w:r>
      <w:r w:rsidRPr="00881838">
        <w:rPr>
          <w:rFonts w:ascii="Palatino Linotype" w:hAnsi="Palatino Linotype"/>
          <w:color w:val="000000"/>
          <w:sz w:val="20"/>
          <w:szCs w:val="20"/>
          <w:bdr w:val="nil"/>
          <w:shd w:val="clear" w:color="auto" w:fill="FFFFFF"/>
          <w:lang w:val="en-US"/>
        </w:rPr>
        <w:t xml:space="preserve">. Accordingly, </w:t>
      </w:r>
      <w:r w:rsidRPr="00881838">
        <w:rPr>
          <w:rFonts w:ascii="Palatino Linotype" w:hAnsi="Palatino Linotype"/>
          <w:color w:val="000000"/>
          <w:sz w:val="20"/>
          <w:szCs w:val="20"/>
          <w:bdr w:val="nil"/>
          <w:lang w:val="en-US"/>
        </w:rPr>
        <w:t xml:space="preserve"> developing the non-cash payment based on new and modern payment products and services, based on application of core technologies such as open application programming interface platform (Open API), artificial intelligence and big data analysis (AI, Big Data, Data Analytics), Cloud Computing, Biometrics; promoting the application of payment products and services on mobile devices, such as: payment via QR Code, encryption of card information (Tokenization), Mobile Payment, contactless payment, E-wallet and encourage cooperation and connection between banks and Fintech companies to innovate, create, develop solutions, new payment models, and invest in </w:t>
      </w:r>
      <w:r w:rsidRPr="00881838">
        <w:rPr>
          <w:rFonts w:ascii="Palatino Linotype" w:hAnsi="Palatino Linotype"/>
          <w:color w:val="000000"/>
          <w:sz w:val="20"/>
          <w:szCs w:val="20"/>
          <w:bdr w:val="nil"/>
          <w:lang w:val="en-US"/>
        </w:rPr>
        <w:lastRenderedPageBreak/>
        <w:t>development, arranging and increasing the functions and utilities on card payment acceptance devices with appropriate and effective forms.</w:t>
      </w:r>
    </w:p>
    <w:p w:rsidR="00AD1AC7" w:rsidRPr="00881838" w:rsidRDefault="00F4498A" w:rsidP="00AD1AC7">
      <w:pPr>
        <w:spacing w:line="240" w:lineRule="auto"/>
        <w:jc w:val="both"/>
        <w:rPr>
          <w:rFonts w:ascii="Palatino Linotype" w:hAnsi="Palatino Linotype"/>
          <w:b/>
          <w:bCs/>
          <w:color w:val="000000"/>
          <w:sz w:val="20"/>
          <w:szCs w:val="20"/>
          <w:lang w:val="vi-VN"/>
        </w:rPr>
      </w:pPr>
      <w:r>
        <w:rPr>
          <w:rFonts w:ascii="Palatino Linotype" w:hAnsi="Palatino Linotype"/>
          <w:b/>
          <w:bCs/>
          <w:color w:val="000000"/>
          <w:sz w:val="20"/>
          <w:szCs w:val="20"/>
          <w:bdr w:val="nil"/>
          <w:lang w:val="en-US"/>
        </w:rPr>
        <w:t>D</w:t>
      </w:r>
      <w:r w:rsidRPr="00881838">
        <w:rPr>
          <w:rFonts w:ascii="Palatino Linotype" w:hAnsi="Palatino Linotype"/>
          <w:b/>
          <w:bCs/>
          <w:color w:val="000000"/>
          <w:sz w:val="20"/>
          <w:szCs w:val="20"/>
          <w:bdr w:val="nil"/>
          <w:lang w:val="en-US"/>
        </w:rPr>
        <w:t>. CONCLUSION</w:t>
      </w:r>
    </w:p>
    <w:p w:rsidR="00AD1AC7" w:rsidRPr="00881838" w:rsidRDefault="00AD1AC7" w:rsidP="00AD1AC7">
      <w:pPr>
        <w:spacing w:line="240" w:lineRule="auto"/>
        <w:jc w:val="both"/>
        <w:rPr>
          <w:rFonts w:ascii="Palatino Linotype" w:hAnsi="Palatino Linotype"/>
          <w:color w:val="000000"/>
          <w:sz w:val="20"/>
          <w:szCs w:val="20"/>
          <w:lang w:val="vi-VN"/>
        </w:rPr>
      </w:pPr>
      <w:r w:rsidRPr="00881838">
        <w:rPr>
          <w:rFonts w:ascii="Palatino Linotype" w:hAnsi="Palatino Linotype"/>
          <w:color w:val="000000"/>
          <w:sz w:val="20"/>
          <w:szCs w:val="20"/>
          <w:bdr w:val="nil"/>
          <w:lang w:val="en-US"/>
        </w:rPr>
        <w:t>In the world, digital currency, and digital currency transactions have become popular and have been gradually introduced into Vietnam not only in the communication system but also in transaction practices. The recognition of digital currency - a private currency in payment transactions, even within a small community, has been putting pressure on central banks to ensure the effectiveness of monetary policy as well as protect the value of national currency. Concerns about the ability of central bank digital currencies to compete with digital currencies issued by private institutions have been reinforced by state guarantees of the new form of currency. It is based on a system of security, stability of value and convenience in transactions because it can be implemented directly from the central bank (in the case of financial intermediaries) and through credit institutions. At the same time, the central bank's digital currency is circulated in parallel with banknotes and coins, which will be more convenient for users.</w:t>
      </w:r>
    </w:p>
    <w:p w:rsidR="00AD1AC7" w:rsidRPr="00881838" w:rsidRDefault="00AD1AC7" w:rsidP="00AD1AC7">
      <w:pPr>
        <w:spacing w:line="240" w:lineRule="auto"/>
        <w:ind w:firstLine="567"/>
        <w:jc w:val="both"/>
        <w:rPr>
          <w:rFonts w:ascii="Palatino Linotype" w:hAnsi="Palatino Linotype"/>
          <w:color w:val="000000"/>
          <w:sz w:val="20"/>
          <w:szCs w:val="20"/>
          <w:bdr w:val="nil"/>
          <w:shd w:val="clear" w:color="auto" w:fill="FFFFFF"/>
          <w:lang w:val="en-US"/>
        </w:rPr>
      </w:pPr>
      <w:r w:rsidRPr="00881838">
        <w:rPr>
          <w:rFonts w:ascii="Palatino Linotype" w:hAnsi="Palatino Linotype"/>
          <w:color w:val="000000"/>
          <w:sz w:val="20"/>
          <w:szCs w:val="20"/>
          <w:bdr w:val="nil"/>
          <w:lang w:val="en-US"/>
        </w:rPr>
        <w:t xml:space="preserve">In the context that Vietnam is promoting the construction of a digital government, digital economy, and digital society, two important policies have been mentioned related to digital currency, namely: i) allowing the research, building, and piloting the use of virtual currency based on blockchain technology (blockchain) and ii) </w:t>
      </w:r>
      <w:r w:rsidRPr="00881838">
        <w:rPr>
          <w:rFonts w:ascii="Palatino Linotype" w:hAnsi="Palatino Linotype"/>
          <w:color w:val="000000"/>
          <w:sz w:val="20"/>
          <w:szCs w:val="20"/>
          <w:bdr w:val="nil"/>
          <w:shd w:val="clear" w:color="auto" w:fill="FFFFFF"/>
          <w:lang w:val="en-US"/>
        </w:rPr>
        <w:t>perfecting the legal corridor, mechanisms, and policies on national digital currency. This is considered a timely decision in line with the global general trend.</w:t>
      </w:r>
      <w:r w:rsidRPr="00881838">
        <w:rPr>
          <w:rFonts w:ascii="Palatino Linotype" w:hAnsi="Palatino Linotype"/>
          <w:color w:val="000000"/>
          <w:sz w:val="20"/>
          <w:szCs w:val="20"/>
          <w:bdr w:val="nil"/>
          <w:lang w:val="en-US"/>
        </w:rPr>
        <w:t xml:space="preserve"> Requirements </w:t>
      </w:r>
      <w:r w:rsidRPr="00881838">
        <w:rPr>
          <w:rFonts w:ascii="Palatino Linotype" w:hAnsi="Palatino Linotype"/>
          <w:color w:val="000000"/>
          <w:sz w:val="20"/>
          <w:szCs w:val="20"/>
          <w:bdr w:val="nil"/>
          <w:shd w:val="clear" w:color="auto" w:fill="FFFFFF"/>
          <w:lang w:val="en-US"/>
        </w:rPr>
        <w:t>to complete the legal corridor and mechanisms and policies on national digital currency to create a legal basis for research and determine the content of the national digital currency are the main tasks that need to be implemented immediately. The most important thing now is to determine the nature of the national digital currency, the mechanism for its formation, management, use and the necessary technology platform to operate. The results of research and actual testing will help the State shape the contents that need to be amended and supplemented to the Law on the State Bank of Vietnam - that regulates the issuance of money by central banks of Vietnam.</w:t>
      </w:r>
    </w:p>
    <w:p w:rsidR="00AD1AC7" w:rsidRPr="00881838" w:rsidRDefault="00F4498A" w:rsidP="00AD1AC7">
      <w:pPr>
        <w:spacing w:line="240" w:lineRule="auto"/>
        <w:jc w:val="both"/>
        <w:rPr>
          <w:rFonts w:ascii="Palatino Linotype" w:hAnsi="Palatino Linotype"/>
          <w:b/>
          <w:color w:val="000000"/>
          <w:sz w:val="20"/>
          <w:szCs w:val="20"/>
          <w:lang w:val="vi-VN"/>
        </w:rPr>
      </w:pPr>
      <w:r w:rsidRPr="00881838">
        <w:rPr>
          <w:rFonts w:ascii="Palatino Linotype" w:hAnsi="Palatino Linotype"/>
          <w:b/>
          <w:color w:val="000000"/>
          <w:sz w:val="20"/>
          <w:szCs w:val="20"/>
          <w:lang w:val="vi-VN"/>
        </w:rPr>
        <w:t>REFERENCES</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shd w:val="clear" w:color="auto" w:fill="FFFFFF"/>
          <w:lang w:val="en-US"/>
        </w:rPr>
        <w:t xml:space="preserve">Amstad, Marlene; Huang, Bihong; Morgan, Peter J.; Shirai, Sayuri. </w:t>
      </w:r>
      <w:r w:rsidRPr="00AD1AC7">
        <w:rPr>
          <w:rFonts w:ascii="Palatino Linotype" w:hAnsi="Palatino Linotype"/>
          <w:color w:val="000000"/>
          <w:sz w:val="20"/>
          <w:szCs w:val="20"/>
          <w:bdr w:val="nil"/>
          <w:shd w:val="clear" w:color="auto" w:fill="FFFFFF"/>
          <w:lang w:val="vi-VN"/>
        </w:rPr>
        <w:t>(</w:t>
      </w:r>
      <w:r w:rsidRPr="00AD1AC7">
        <w:rPr>
          <w:rFonts w:ascii="Palatino Linotype" w:hAnsi="Palatino Linotype"/>
          <w:color w:val="000000"/>
          <w:sz w:val="20"/>
          <w:szCs w:val="20"/>
          <w:bdr w:val="nil"/>
          <w:shd w:val="clear" w:color="auto" w:fill="FFFFFF"/>
          <w:lang w:val="en-US"/>
        </w:rPr>
        <w:t>2019</w:t>
      </w:r>
      <w:r w:rsidRPr="00AD1AC7">
        <w:rPr>
          <w:rFonts w:ascii="Palatino Linotype" w:hAnsi="Palatino Linotype"/>
          <w:color w:val="000000"/>
          <w:sz w:val="20"/>
          <w:szCs w:val="20"/>
          <w:bdr w:val="nil"/>
          <w:shd w:val="clear" w:color="auto" w:fill="FFFFFF"/>
          <w:lang w:val="vi-VN"/>
        </w:rPr>
        <w:t>)</w:t>
      </w:r>
      <w:r w:rsidRPr="00AD1AC7">
        <w:rPr>
          <w:rFonts w:ascii="Palatino Linotype" w:hAnsi="Palatino Linotype"/>
          <w:color w:val="000000"/>
          <w:sz w:val="20"/>
          <w:szCs w:val="20"/>
          <w:bdr w:val="nil"/>
          <w:shd w:val="clear" w:color="auto" w:fill="FFFFFF"/>
          <w:lang w:val="en-US"/>
        </w:rPr>
        <w:t>. </w:t>
      </w:r>
      <w:r w:rsidRPr="00AD1AC7">
        <w:rPr>
          <w:rFonts w:ascii="Palatino Linotype" w:hAnsi="Palatino Linotype"/>
          <w:i/>
          <w:iCs/>
          <w:color w:val="000000"/>
          <w:sz w:val="20"/>
          <w:szCs w:val="20"/>
          <w:bdr w:val="nil"/>
          <w:lang w:val="en-US"/>
        </w:rPr>
        <w:t>Central Bank Digital Currency and Fintech in Asia</w:t>
      </w:r>
      <w:r w:rsidRPr="00AD1AC7">
        <w:rPr>
          <w:rFonts w:ascii="Palatino Linotype" w:hAnsi="Palatino Linotype"/>
          <w:color w:val="000000"/>
          <w:sz w:val="20"/>
          <w:szCs w:val="20"/>
          <w:bdr w:val="nil"/>
          <w:shd w:val="clear" w:color="auto" w:fill="FFFFFF"/>
          <w:lang w:val="en-US"/>
        </w:rPr>
        <w:t xml:space="preserve">. © Asian </w:t>
      </w:r>
      <w:r w:rsidRPr="00AD1AC7">
        <w:rPr>
          <w:rFonts w:ascii="Palatino Linotype" w:hAnsi="Palatino Linotype"/>
          <w:color w:val="000000"/>
          <w:sz w:val="20"/>
          <w:szCs w:val="20"/>
          <w:bdr w:val="nil"/>
          <w:shd w:val="clear" w:color="auto" w:fill="FFFFFF"/>
          <w:lang w:val="en-US"/>
        </w:rPr>
        <w:lastRenderedPageBreak/>
        <w:t>Development Bank Institute, tr. 28-31, available at:</w:t>
      </w:r>
      <w:hyperlink r:id="rId11" w:history="1">
        <w:r w:rsidRPr="00AD1AC7">
          <w:rPr>
            <w:rFonts w:ascii="Palatino Linotype" w:hAnsi="Palatino Linotype"/>
            <w:color w:val="000000"/>
            <w:sz w:val="20"/>
            <w:szCs w:val="20"/>
            <w:bdr w:val="nil"/>
            <w:shd w:val="clear" w:color="auto" w:fill="FFFFFF"/>
            <w:lang w:val="en-US"/>
          </w:rPr>
          <w:t>http://hdl.handle.net/11540/11577</w:t>
        </w:r>
      </w:hyperlink>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en-US"/>
        </w:rPr>
        <w:t>Bank for International Settlements</w:t>
      </w:r>
      <w:r w:rsidRPr="00AD1AC7">
        <w:rPr>
          <w:rFonts w:ascii="Palatino Linotype" w:hAnsi="Palatino Linotype"/>
          <w:color w:val="000000"/>
          <w:sz w:val="20"/>
          <w:szCs w:val="20"/>
          <w:bdr w:val="nil"/>
          <w:lang w:val="vi-VN"/>
        </w:rPr>
        <w:t>. (2020).</w:t>
      </w:r>
      <w:r w:rsidRPr="00AD1AC7">
        <w:rPr>
          <w:rFonts w:ascii="Palatino Linotype" w:hAnsi="Palatino Linotype"/>
          <w:color w:val="000000"/>
          <w:sz w:val="20"/>
          <w:szCs w:val="20"/>
          <w:bdr w:val="nil"/>
          <w:lang w:val="en-US"/>
        </w:rPr>
        <w:t xml:space="preserve"> Central bank digital currencies: foundational principles and core features</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xml:space="preserve"> Report No. 1, in a series of collaborations from a group of central banks</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xml:space="preserve"> </w:t>
      </w:r>
      <w:r w:rsidRPr="00AD1AC7">
        <w:rPr>
          <w:rFonts w:ascii="Palatino Linotype" w:hAnsi="Palatino Linotype"/>
          <w:color w:val="000000"/>
          <w:sz w:val="20"/>
          <w:szCs w:val="20"/>
          <w:bdr w:val="nil"/>
          <w:lang w:val="vi-VN"/>
        </w:rPr>
        <w:t>A</w:t>
      </w:r>
      <w:r w:rsidRPr="00AD1AC7">
        <w:rPr>
          <w:rFonts w:ascii="Palatino Linotype" w:hAnsi="Palatino Linotype"/>
          <w:color w:val="000000"/>
          <w:sz w:val="20"/>
          <w:szCs w:val="20"/>
          <w:bdr w:val="nil"/>
          <w:lang w:val="en-US"/>
        </w:rPr>
        <w:t xml:space="preserve">vailable at: </w:t>
      </w:r>
      <w:hyperlink r:id="rId12" w:history="1">
        <w:r w:rsidRPr="00AD1AC7">
          <w:rPr>
            <w:rStyle w:val="Hyperlink"/>
            <w:rFonts w:ascii="Palatino Linotype" w:hAnsi="Palatino Linotype"/>
            <w:color w:val="000000"/>
            <w:sz w:val="20"/>
            <w:szCs w:val="20"/>
            <w:u w:val="none"/>
            <w:bdr w:val="nil"/>
            <w:lang w:val="en-US"/>
          </w:rPr>
          <w:t>https://www.bis.org/publ/othp33.pdf</w:t>
        </w:r>
      </w:hyperlink>
      <w:r w:rsidRPr="00AD1AC7">
        <w:rPr>
          <w:rFonts w:ascii="Palatino Linotype" w:hAnsi="Palatino Linotype"/>
          <w:color w:val="000000"/>
          <w:sz w:val="20"/>
          <w:szCs w:val="20"/>
          <w:bdr w:val="nil"/>
          <w:lang w:val="en-US"/>
        </w:rPr>
        <w: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lang w:val="vi-VN"/>
        </w:rPr>
      </w:pPr>
      <w:r w:rsidRPr="00AD1AC7">
        <w:rPr>
          <w:rFonts w:ascii="Palatino Linotype" w:hAnsi="Palatino Linotype"/>
          <w:color w:val="000000"/>
          <w:sz w:val="20"/>
          <w:szCs w:val="20"/>
          <w:bdr w:val="nil"/>
          <w:lang w:val="en-US"/>
        </w:rPr>
        <w:t>Bossu, Wouter and Itatani, Masaru and Margulis, Catalina and Rossi, Arthur and Weenink, Hans and Yoshinaga, Akihiro</w:t>
      </w:r>
      <w:r w:rsidRPr="00AD1AC7">
        <w:rPr>
          <w:rFonts w:ascii="Palatino Linotype" w:hAnsi="Palatino Linotype"/>
          <w:color w:val="000000"/>
          <w:sz w:val="20"/>
          <w:szCs w:val="20"/>
          <w:bdr w:val="nil"/>
          <w:lang w:val="vi-VN"/>
        </w:rPr>
        <w:t>. (2020).</w:t>
      </w:r>
      <w:r w:rsidRPr="00AD1AC7">
        <w:rPr>
          <w:rFonts w:ascii="Palatino Linotype" w:hAnsi="Palatino Linotype"/>
          <w:color w:val="000000"/>
          <w:sz w:val="20"/>
          <w:szCs w:val="20"/>
          <w:bdr w:val="nil"/>
          <w:lang w:val="en-US"/>
        </w:rPr>
        <w:t xml:space="preserve"> Legal Aspects of Central Bank Digital Currency: Central Bank and Monetary Law Considerations</w:t>
      </w:r>
      <w:r w:rsidRPr="00AD1AC7">
        <w:rPr>
          <w:rFonts w:ascii="Palatino Linotype" w:hAnsi="Palatino Linotype"/>
          <w:color w:val="000000"/>
          <w:sz w:val="20"/>
          <w:szCs w:val="20"/>
          <w:bdr w:val="nil"/>
          <w:lang w:val="vi-VN"/>
        </w:rPr>
        <w:t xml:space="preserve">. </w:t>
      </w:r>
      <w:r w:rsidRPr="00AD1AC7">
        <w:rPr>
          <w:rFonts w:ascii="Palatino Linotype" w:hAnsi="Palatino Linotype"/>
          <w:color w:val="000000"/>
          <w:sz w:val="20"/>
          <w:szCs w:val="20"/>
          <w:bdr w:val="nil"/>
          <w:lang w:val="en-US"/>
        </w:rPr>
        <w:t>IMF Working Paper No. 20/254</w:t>
      </w:r>
      <w:r w:rsidRPr="00AD1AC7">
        <w:rPr>
          <w:rFonts w:ascii="Palatino Linotype" w:hAnsi="Palatino Linotype"/>
          <w:color w:val="000000"/>
          <w:sz w:val="20"/>
          <w:szCs w:val="20"/>
          <w:bdr w:val="nil"/>
          <w:lang w:val="vi-VN"/>
        </w:rPr>
        <w:t>, November 2020.</w:t>
      </w:r>
      <w:r w:rsidRPr="00AD1AC7">
        <w:rPr>
          <w:rFonts w:ascii="Palatino Linotype" w:hAnsi="Palatino Linotype"/>
          <w:color w:val="000000"/>
          <w:sz w:val="20"/>
          <w:szCs w:val="20"/>
          <w:bdr w:val="nil"/>
          <w:lang w:val="en-US"/>
        </w:rPr>
        <w:t xml:space="preserve"> Available at SSRN: </w:t>
      </w:r>
      <w:hyperlink r:id="rId13" w:tgtFrame="_blank" w:history="1">
        <w:r w:rsidRPr="00AD1AC7">
          <w:rPr>
            <w:rFonts w:ascii="Palatino Linotype" w:hAnsi="Palatino Linotype"/>
            <w:color w:val="000000"/>
            <w:sz w:val="20"/>
            <w:szCs w:val="20"/>
            <w:bdr w:val="nil"/>
            <w:lang w:val="en-US"/>
          </w:rPr>
          <w:t>https://ssrn.com/abstract=3758088</w:t>
        </w:r>
      </w:hyperlink>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en-US"/>
        </w:rPr>
        <w:t>Can</w:t>
      </w:r>
      <w:r w:rsidRPr="00AD1AC7">
        <w:rPr>
          <w:rFonts w:ascii="Palatino Linotype" w:hAnsi="Palatino Linotype"/>
          <w:color w:val="000000"/>
          <w:sz w:val="20"/>
          <w:szCs w:val="20"/>
          <w:bdr w:val="nil"/>
          <w:lang w:val="vi-VN"/>
        </w:rPr>
        <w:t>, V.L. (2020).</w:t>
      </w:r>
      <w:r w:rsidRPr="00AD1AC7">
        <w:rPr>
          <w:rFonts w:ascii="Palatino Linotype" w:hAnsi="Palatino Linotype"/>
          <w:color w:val="000000"/>
          <w:sz w:val="20"/>
          <w:szCs w:val="20"/>
          <w:bdr w:val="nil"/>
          <w:lang w:val="en-US"/>
        </w:rPr>
        <w:t xml:space="preserve"> Digital currency management, international experience and policy implications for Vietnam</w:t>
      </w:r>
      <w:r w:rsidRPr="00AD1AC7">
        <w:rPr>
          <w:rFonts w:ascii="Palatino Linotype" w:hAnsi="Palatino Linotype"/>
          <w:color w:val="000000"/>
          <w:sz w:val="20"/>
          <w:szCs w:val="20"/>
          <w:bdr w:val="nil"/>
          <w:lang w:val="vi-VN"/>
        </w:rPr>
        <w:t xml:space="preserve">. </w:t>
      </w:r>
      <w:r w:rsidRPr="00AD1AC7">
        <w:rPr>
          <w:rFonts w:ascii="Palatino Linotype" w:hAnsi="Palatino Linotype"/>
          <w:color w:val="000000"/>
          <w:sz w:val="20"/>
          <w:szCs w:val="20"/>
          <w:bdr w:val="nil"/>
          <w:lang w:val="en-US"/>
        </w:rPr>
        <w:t xml:space="preserve"> Available at https://tinnhanhchungkhoan.vn/quan-ly-tien-ky-thuat-so-kinh-nghiem-quoc-te-va-ham-y-chinh-sach-voi-viet-nam-post240707.html dated</w:t>
      </w:r>
      <w:r w:rsidRPr="00AD1AC7">
        <w:rPr>
          <w:rFonts w:ascii="Palatino Linotype" w:hAnsi="Palatino Linotype"/>
          <w:color w:val="000000"/>
          <w:sz w:val="20"/>
          <w:szCs w:val="20"/>
          <w:bdr w:val="nil"/>
          <w:lang w:val="vi-VN"/>
        </w:rPr>
        <w:t xml:space="preserve"> May </w:t>
      </w:r>
      <w:r w:rsidRPr="00AD1AC7">
        <w:rPr>
          <w:rFonts w:ascii="Palatino Linotype" w:hAnsi="Palatino Linotype"/>
          <w:color w:val="000000"/>
          <w:sz w:val="20"/>
          <w:szCs w:val="20"/>
          <w:bdr w:val="nil"/>
          <w:lang w:val="en-US"/>
        </w:rPr>
        <w:t>31</w:t>
      </w:r>
      <w:r w:rsidRPr="00AD1AC7">
        <w:rPr>
          <w:rFonts w:ascii="Palatino Linotype" w:hAnsi="Palatino Linotype"/>
          <w:color w:val="000000"/>
          <w:sz w:val="20"/>
          <w:szCs w:val="20"/>
          <w:bdr w:val="nil"/>
          <w:lang w:val="vi-VN"/>
        </w:rPr>
        <w:t xml:space="preserve">, </w:t>
      </w:r>
      <w:r w:rsidRPr="00AD1AC7">
        <w:rPr>
          <w:rFonts w:ascii="Palatino Linotype" w:hAnsi="Palatino Linotype"/>
          <w:color w:val="000000"/>
          <w:sz w:val="20"/>
          <w:szCs w:val="20"/>
          <w:bdr w:val="nil"/>
          <w:lang w:val="en-US"/>
        </w:rPr>
        <w:t>2020.</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en-US"/>
        </w:rPr>
        <w:t>Chu</w:t>
      </w:r>
      <w:r w:rsidRPr="00AD1AC7">
        <w:rPr>
          <w:rFonts w:ascii="Palatino Linotype" w:hAnsi="Palatino Linotype"/>
          <w:color w:val="000000"/>
          <w:sz w:val="20"/>
          <w:szCs w:val="20"/>
          <w:bdr w:val="nil"/>
          <w:lang w:val="vi-VN"/>
        </w:rPr>
        <w:t>, T.A. (2021).</w:t>
      </w:r>
      <w:r w:rsidRPr="00AD1AC7">
        <w:rPr>
          <w:rFonts w:ascii="Palatino Linotype" w:hAnsi="Palatino Linotype"/>
          <w:color w:val="000000"/>
          <w:sz w:val="20"/>
          <w:szCs w:val="20"/>
          <w:bdr w:val="nil"/>
          <w:lang w:val="en-US"/>
        </w:rPr>
        <w:t xml:space="preserve"> Impacts of central banks' digital currency development trends on Vietnam's financial system, E-Banking Journal, available at </w:t>
      </w:r>
      <w:hyperlink r:id="rId14" w:history="1">
        <w:r w:rsidRPr="00AD1AC7">
          <w:rPr>
            <w:rFonts w:ascii="Palatino Linotype" w:hAnsi="Palatino Linotype"/>
            <w:color w:val="000000"/>
            <w:sz w:val="20"/>
            <w:szCs w:val="20"/>
            <w:bdr w:val="nil"/>
            <w:lang w:val="en-US"/>
          </w:rPr>
          <w:t>http://tapchinganhang.com.vn/tac-dong-cua-xu-huong-phat-trien-tien-ky-thuat-so-cua-ngan-hang-trung-uong-cac-nuoc-den-he-thong-tai.htm</w:t>
        </w:r>
      </w:hyperlink>
      <w:r w:rsidRPr="00AD1AC7">
        <w:rPr>
          <w:rFonts w:ascii="Palatino Linotype" w:hAnsi="Palatino Linotype"/>
          <w:color w:val="000000"/>
          <w:sz w:val="20"/>
          <w:szCs w:val="20"/>
          <w:bdr w:val="nil"/>
          <w:lang w:val="en-US"/>
        </w:rPr>
        <w:t xml:space="preserve"> on October 20, 2021.</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en-US"/>
        </w:rPr>
        <w:t xml:space="preserve">Dang, T. T. </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2019</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Current Situation of Cryptocurrency in Vietnam. </w:t>
      </w:r>
      <w:r w:rsidRPr="00AD1AC7">
        <w:rPr>
          <w:rFonts w:ascii="Palatino Linotype" w:hAnsi="Palatino Linotype"/>
          <w:i/>
          <w:iCs/>
          <w:color w:val="000000"/>
          <w:sz w:val="20"/>
          <w:szCs w:val="20"/>
          <w:bdr w:val="nil"/>
          <w:lang w:val="en-US"/>
        </w:rPr>
        <w:t>The Journal of Business Economics and Environmental Studies</w:t>
      </w:r>
      <w:r w:rsidRPr="00AD1AC7">
        <w:rPr>
          <w:rFonts w:ascii="Palatino Linotype" w:hAnsi="Palatino Linotype"/>
          <w:color w:val="000000"/>
          <w:sz w:val="20"/>
          <w:szCs w:val="20"/>
          <w:bdr w:val="nil"/>
          <w:lang w:val="en-US"/>
        </w:rPr>
        <w:t xml:space="preserve">, 9(4), 29–34. </w:t>
      </w:r>
      <w:hyperlink r:id="rId15" w:history="1">
        <w:r w:rsidRPr="00AD1AC7">
          <w:rPr>
            <w:rStyle w:val="Hyperlink"/>
            <w:rFonts w:ascii="Palatino Linotype" w:hAnsi="Palatino Linotype"/>
            <w:color w:val="000000"/>
            <w:sz w:val="20"/>
            <w:szCs w:val="20"/>
            <w:u w:val="none"/>
            <w:bdr w:val="nil"/>
            <w:lang w:val="en-US"/>
          </w:rPr>
          <w:t>https://doi.org/10.13106/JBEES.2019.VOL9.NO4.29</w:t>
        </w:r>
      </w:hyperlink>
      <w:r w:rsidRPr="00AD1AC7">
        <w:rPr>
          <w:rFonts w:ascii="Palatino Linotype" w:hAnsi="Palatino Linotype"/>
          <w:color w:val="000000"/>
          <w:sz w:val="20"/>
          <w:szCs w:val="20"/>
          <w:bdr w:val="nil"/>
          <w:lang w:val="en-US"/>
        </w:rPr>
        <w: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en-US"/>
        </w:rPr>
        <w:t>David Chaum, Christian Grothoff, Thomas Moser</w:t>
      </w:r>
      <w:r w:rsidRPr="00AD1AC7">
        <w:rPr>
          <w:rFonts w:ascii="Palatino Linotype" w:hAnsi="Palatino Linotype"/>
          <w:color w:val="000000"/>
          <w:sz w:val="20"/>
          <w:szCs w:val="20"/>
          <w:bdr w:val="nil"/>
          <w:lang w:val="vi-VN"/>
        </w:rPr>
        <w:t xml:space="preserve">. (2021). </w:t>
      </w:r>
      <w:r w:rsidRPr="00AD1AC7">
        <w:rPr>
          <w:rFonts w:ascii="Palatino Linotype" w:hAnsi="Palatino Linotype"/>
          <w:color w:val="000000"/>
          <w:sz w:val="20"/>
          <w:szCs w:val="20"/>
          <w:bdr w:val="nil"/>
          <w:lang w:val="en-US"/>
        </w:rPr>
        <w:t>How to Issue a Central Bank Digital Currency</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xml:space="preserve"> </w:t>
      </w:r>
      <w:r w:rsidRPr="00AD1AC7">
        <w:rPr>
          <w:rFonts w:ascii="Palatino Linotype" w:hAnsi="Palatino Linotype"/>
          <w:i/>
          <w:iCs/>
          <w:color w:val="000000"/>
          <w:sz w:val="20"/>
          <w:szCs w:val="20"/>
          <w:bdr w:val="nil"/>
          <w:lang w:val="en-US"/>
        </w:rPr>
        <w:t>SNB Working Paper</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xml:space="preserve"> pp. 1-2, 5.</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en-US"/>
        </w:rPr>
        <w:t>Decree No. 80/2016/ND-CP dated July 1, 2016, of the Government on amending and supplementing a number of articles of Decree No. 101/2012/ND-CP dated November 22, 2012, of the Government on non-cash payment.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vi-VN"/>
        </w:rPr>
      </w:pPr>
      <w:r w:rsidRPr="00AD1AC7">
        <w:rPr>
          <w:rFonts w:ascii="Palatino Linotype" w:hAnsi="Palatino Linotype"/>
          <w:color w:val="000000"/>
          <w:sz w:val="20"/>
          <w:szCs w:val="20"/>
          <w:bdr w:val="nil"/>
          <w:lang w:val="en-US"/>
        </w:rPr>
        <w:t>Ho</w:t>
      </w:r>
      <w:r w:rsidRPr="00AD1AC7">
        <w:rPr>
          <w:rFonts w:ascii="Palatino Linotype" w:hAnsi="Palatino Linotype"/>
          <w:color w:val="000000"/>
          <w:sz w:val="20"/>
          <w:szCs w:val="20"/>
          <w:bdr w:val="nil"/>
          <w:lang w:val="vi-VN"/>
        </w:rPr>
        <w:t>, B.T. (2020).</w:t>
      </w:r>
      <w:r w:rsidRPr="00AD1AC7">
        <w:rPr>
          <w:rFonts w:ascii="Palatino Linotype" w:hAnsi="Palatino Linotype"/>
          <w:color w:val="000000"/>
          <w:sz w:val="20"/>
          <w:szCs w:val="20"/>
          <w:bdr w:val="nil"/>
          <w:lang w:val="en-US"/>
        </w:rPr>
        <w:t xml:space="preserve"> Digital transformation during Covid 19, </w:t>
      </w:r>
      <w:r w:rsidRPr="00AD1AC7">
        <w:rPr>
          <w:rFonts w:ascii="Palatino Linotype" w:hAnsi="Palatino Linotype"/>
          <w:i/>
          <w:iCs/>
          <w:color w:val="000000"/>
          <w:sz w:val="20"/>
          <w:szCs w:val="20"/>
          <w:bdr w:val="nil"/>
          <w:lang w:val="en-US"/>
        </w:rPr>
        <w:t>Light Online Magazine</w:t>
      </w:r>
      <w:r w:rsidRPr="00AD1AC7">
        <w:rPr>
          <w:rFonts w:ascii="Palatino Linotype" w:hAnsi="Palatino Linotype"/>
          <w:color w:val="000000"/>
          <w:sz w:val="20"/>
          <w:szCs w:val="20"/>
          <w:bdr w:val="nil"/>
          <w:lang w:val="en-US"/>
        </w:rPr>
        <w:t xml:space="preserve">, accessed on April 16, 2020, at: </w:t>
      </w:r>
      <w:hyperlink r:id="rId16" w:history="1">
        <w:r w:rsidRPr="00AD1AC7">
          <w:rPr>
            <w:rStyle w:val="Hyperlink"/>
            <w:rFonts w:ascii="Palatino Linotype" w:hAnsi="Palatino Linotype"/>
            <w:color w:val="000000"/>
            <w:sz w:val="20"/>
            <w:szCs w:val="20"/>
            <w:u w:val="none"/>
            <w:bdr w:val="nil"/>
            <w:lang w:val="en-US"/>
          </w:rPr>
          <w:t>https://www.tiasang.com.vn/khoa-hoc-cong-nghe/Chuyen-doi-so-thoi-Covid19-23135</w:t>
        </w:r>
      </w:hyperlink>
      <w:r w:rsidRPr="00AD1AC7">
        <w:rPr>
          <w:rFonts w:ascii="Palatino Linotype" w:hAnsi="Palatino Linotype"/>
          <w:color w:val="000000"/>
          <w:sz w:val="20"/>
          <w:szCs w:val="20"/>
          <w:bdr w:val="nil"/>
          <w:lang w:val="vi-VN"/>
        </w:rPr>
        <w: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en-US"/>
        </w:rPr>
        <w:t>Jamie Evans and Steve Browning</w:t>
      </w:r>
      <w:r w:rsidRPr="00AD1AC7">
        <w:rPr>
          <w:rFonts w:ascii="Palatino Linotype" w:hAnsi="Palatino Linotype"/>
          <w:color w:val="000000"/>
          <w:sz w:val="20"/>
          <w:szCs w:val="20"/>
          <w:bdr w:val="nil"/>
          <w:lang w:val="vi-VN"/>
        </w:rPr>
        <w:t xml:space="preserve">. (2021). </w:t>
      </w:r>
      <w:r w:rsidRPr="00AD1AC7">
        <w:rPr>
          <w:rFonts w:ascii="Palatino Linotype" w:hAnsi="Palatino Linotype"/>
          <w:color w:val="000000"/>
          <w:sz w:val="20"/>
          <w:szCs w:val="20"/>
          <w:bdr w:val="nil"/>
          <w:lang w:val="en-US"/>
        </w:rPr>
        <w:t>Central bank digital currencies</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xml:space="preserve"> </w:t>
      </w:r>
      <w:r w:rsidRPr="00AD1AC7">
        <w:rPr>
          <w:rFonts w:ascii="Palatino Linotype" w:hAnsi="Palatino Linotype"/>
          <w:i/>
          <w:iCs/>
          <w:color w:val="000000"/>
          <w:sz w:val="20"/>
          <w:szCs w:val="20"/>
          <w:bdr w:val="nil"/>
          <w:lang w:val="en-US"/>
        </w:rPr>
        <w:t>Research Briefing Number 9191</w:t>
      </w:r>
      <w:r w:rsidRPr="00AD1AC7">
        <w:rPr>
          <w:rFonts w:ascii="Palatino Linotype" w:hAnsi="Palatino Linotype"/>
          <w:color w:val="000000"/>
          <w:sz w:val="20"/>
          <w:szCs w:val="20"/>
          <w:bdr w:val="nil"/>
          <w:lang w:val="en-US"/>
        </w:rPr>
        <w:t xml:space="preserve">, 9 June 2021, p.1, available at: </w:t>
      </w:r>
      <w:hyperlink r:id="rId17" w:history="1">
        <w:r w:rsidRPr="00AD1AC7">
          <w:rPr>
            <w:rStyle w:val="Hyperlink"/>
            <w:rFonts w:ascii="Palatino Linotype" w:hAnsi="Palatino Linotype"/>
            <w:color w:val="000000"/>
            <w:sz w:val="20"/>
            <w:szCs w:val="20"/>
            <w:u w:val="none"/>
            <w:bdr w:val="nil"/>
            <w:lang w:val="en-US"/>
          </w:rPr>
          <w:t>https://researchbriefings.files.parliament.uk/documents/CBP-9191/CBP-9191.pdf</w:t>
        </w:r>
      </w:hyperlink>
      <w:r w:rsidRPr="00AD1AC7">
        <w:rPr>
          <w:rFonts w:ascii="Palatino Linotype" w:hAnsi="Palatino Linotype"/>
          <w:color w:val="000000"/>
          <w:sz w:val="20"/>
          <w:szCs w:val="20"/>
          <w:bdr w:val="nil"/>
          <w:lang w:val="en-US"/>
        </w:rPr>
        <w: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en-US"/>
        </w:rPr>
        <w:lastRenderedPageBreak/>
        <w:t>Khanh Ly (</w:t>
      </w:r>
      <w:r w:rsidRPr="00AD1AC7">
        <w:rPr>
          <w:rFonts w:ascii="Palatino Linotype" w:hAnsi="Palatino Linotype"/>
          <w:color w:val="000000"/>
          <w:sz w:val="20"/>
          <w:szCs w:val="20"/>
          <w:bdr w:val="nil"/>
          <w:lang w:val="vi-VN"/>
        </w:rPr>
        <w:t>2021. S</w:t>
      </w:r>
      <w:r w:rsidRPr="00AD1AC7">
        <w:rPr>
          <w:rFonts w:ascii="Palatino Linotype" w:hAnsi="Palatino Linotype"/>
          <w:color w:val="000000"/>
          <w:sz w:val="20"/>
          <w:szCs w:val="20"/>
          <w:bdr w:val="nil"/>
          <w:lang w:val="en-US"/>
        </w:rPr>
        <w:t>ynthesize), International opinions on "digital currency" issued by central banks, available at: https://bnews.vn/du-luan-quoc-te-ve-tien-so-do-cac-ngan-hang-trung-uong-phat-hanh/203546.html dated</w:t>
      </w:r>
      <w:r w:rsidRPr="00AD1AC7">
        <w:rPr>
          <w:rFonts w:ascii="Palatino Linotype" w:hAnsi="Palatino Linotype"/>
          <w:color w:val="000000"/>
          <w:sz w:val="20"/>
          <w:szCs w:val="20"/>
          <w:bdr w:val="nil"/>
          <w:lang w:val="vi-VN"/>
        </w:rPr>
        <w:t xml:space="preserve"> July </w:t>
      </w:r>
      <w:r w:rsidRPr="00AD1AC7">
        <w:rPr>
          <w:rFonts w:ascii="Palatino Linotype" w:hAnsi="Palatino Linotype"/>
          <w:color w:val="000000"/>
          <w:sz w:val="20"/>
          <w:szCs w:val="20"/>
          <w:bdr w:val="nil"/>
          <w:lang w:val="en-US"/>
        </w:rPr>
        <w:t>19</w:t>
      </w:r>
      <w:r w:rsidRPr="00AD1AC7">
        <w:rPr>
          <w:rFonts w:ascii="Palatino Linotype" w:hAnsi="Palatino Linotype"/>
          <w:color w:val="000000"/>
          <w:sz w:val="20"/>
          <w:szCs w:val="20"/>
          <w:bdr w:val="nil"/>
          <w:lang w:val="vi-VN"/>
        </w:rPr>
        <w:t xml:space="preserve"> </w:t>
      </w:r>
      <w:r w:rsidRPr="00AD1AC7">
        <w:rPr>
          <w:rFonts w:ascii="Palatino Linotype" w:hAnsi="Palatino Linotype"/>
          <w:color w:val="000000"/>
          <w:sz w:val="20"/>
          <w:szCs w:val="20"/>
          <w:bdr w:val="nil"/>
          <w:lang w:val="en-US"/>
        </w:rPr>
        <w:t>2021.</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vi-VN"/>
        </w:rPr>
      </w:pPr>
      <w:r w:rsidRPr="00AD1AC7">
        <w:rPr>
          <w:rFonts w:ascii="Palatino Linotype" w:hAnsi="Palatino Linotype"/>
          <w:color w:val="000000"/>
          <w:sz w:val="20"/>
          <w:szCs w:val="20"/>
          <w:bdr w:val="nil"/>
          <w:lang w:val="en-US"/>
        </w:rPr>
        <w:t xml:space="preserve">Law No. </w:t>
      </w:r>
      <w:r w:rsidRPr="00AD1AC7">
        <w:rPr>
          <w:rFonts w:ascii="Palatino Linotype" w:hAnsi="Palatino Linotype"/>
          <w:color w:val="000000"/>
          <w:sz w:val="20"/>
          <w:szCs w:val="20"/>
          <w:bdr w:val="nil"/>
          <w:shd w:val="clear" w:color="auto" w:fill="FFFFFF"/>
          <w:lang w:val="en-US"/>
        </w:rPr>
        <w:t>46/2010/QH12</w:t>
      </w:r>
      <w:r w:rsidRPr="00AD1AC7">
        <w:rPr>
          <w:rFonts w:ascii="Palatino Linotype" w:hAnsi="Palatino Linotype"/>
          <w:color w:val="000000"/>
          <w:sz w:val="20"/>
          <w:szCs w:val="20"/>
          <w:bdr w:val="nil"/>
          <w:lang w:val="en-US"/>
        </w:rPr>
        <w:t xml:space="preserve"> on the State Bank of Vietnam</w:t>
      </w:r>
      <w:r w:rsidRPr="00AD1AC7">
        <w:rPr>
          <w:rFonts w:ascii="Palatino Linotype" w:hAnsi="Palatino Linotype"/>
          <w:color w:val="000000"/>
          <w:sz w:val="20"/>
          <w:szCs w:val="20"/>
          <w:bdr w:val="nil"/>
          <w:lang w:val="vi-VN"/>
        </w:rPr>
        <w: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vi-VN"/>
        </w:rPr>
      </w:pPr>
      <w:r w:rsidRPr="00AD1AC7">
        <w:rPr>
          <w:rFonts w:ascii="Palatino Linotype" w:hAnsi="Palatino Linotype"/>
          <w:color w:val="000000"/>
          <w:sz w:val="20"/>
          <w:szCs w:val="20"/>
          <w:bdr w:val="nil"/>
          <w:lang w:val="en-US"/>
        </w:rPr>
        <w:t>Luigi Wewege, Jeo Lee and Michael C. Thomsett</w:t>
      </w:r>
      <w:r w:rsidRPr="00AD1AC7">
        <w:rPr>
          <w:rFonts w:ascii="Palatino Linotype" w:hAnsi="Palatino Linotype"/>
          <w:color w:val="000000"/>
          <w:sz w:val="20"/>
          <w:szCs w:val="20"/>
          <w:bdr w:val="nil"/>
          <w:lang w:val="vi-VN"/>
        </w:rPr>
        <w:t>. (2020).</w:t>
      </w:r>
      <w:r w:rsidRPr="00AD1AC7">
        <w:rPr>
          <w:rFonts w:ascii="Palatino Linotype" w:hAnsi="Palatino Linotype"/>
          <w:color w:val="000000"/>
          <w:sz w:val="20"/>
          <w:szCs w:val="20"/>
          <w:bdr w:val="nil"/>
          <w:lang w:val="en-US"/>
        </w:rPr>
        <w:t xml:space="preserve"> Disruptions and Digital Banking Trends</w:t>
      </w:r>
      <w:r w:rsidRPr="00AD1AC7">
        <w:rPr>
          <w:rFonts w:ascii="Palatino Linotype" w:hAnsi="Palatino Linotype"/>
          <w:color w:val="000000"/>
          <w:sz w:val="20"/>
          <w:szCs w:val="20"/>
          <w:bdr w:val="nil"/>
          <w:lang w:val="vi-VN"/>
        </w:rPr>
        <w:t>.</w:t>
      </w:r>
      <w:r w:rsidRPr="00AD1AC7">
        <w:rPr>
          <w:rFonts w:ascii="Palatino Linotype" w:hAnsi="Palatino Linotype"/>
          <w:b/>
          <w:bCs/>
          <w:color w:val="000000"/>
          <w:sz w:val="20"/>
          <w:szCs w:val="20"/>
          <w:bdr w:val="nil"/>
          <w:lang w:val="en-US"/>
        </w:rPr>
        <w:t xml:space="preserve"> </w:t>
      </w:r>
      <w:r w:rsidRPr="00AD1AC7">
        <w:rPr>
          <w:rFonts w:ascii="Palatino Linotype" w:hAnsi="Palatino Linotype"/>
          <w:i/>
          <w:iCs/>
          <w:color w:val="000000"/>
          <w:sz w:val="20"/>
          <w:szCs w:val="20"/>
          <w:bdr w:val="nil"/>
          <w:lang w:val="en-US"/>
        </w:rPr>
        <w:t>Journal of Applied Finance &amp; Banking</w:t>
      </w:r>
      <w:r w:rsidRPr="00AD1AC7">
        <w:rPr>
          <w:rFonts w:ascii="Palatino Linotype" w:hAnsi="Palatino Linotype"/>
          <w:i/>
          <w:iCs/>
          <w:color w:val="000000"/>
          <w:sz w:val="20"/>
          <w:szCs w:val="20"/>
          <w:bdr w:val="nil"/>
          <w:lang w:val="vi-VN"/>
        </w:rPr>
        <w:t>.</w:t>
      </w:r>
      <w:r w:rsidRPr="00AD1AC7">
        <w:rPr>
          <w:rFonts w:ascii="Palatino Linotype" w:hAnsi="Palatino Linotype"/>
          <w:i/>
          <w:iCs/>
          <w:color w:val="000000"/>
          <w:sz w:val="20"/>
          <w:szCs w:val="20"/>
          <w:bdr w:val="nil"/>
          <w:lang w:val="en-US"/>
        </w:rPr>
        <w:t xml:space="preserve"> </w:t>
      </w:r>
      <w:r w:rsidRPr="00AD1AC7">
        <w:rPr>
          <w:rFonts w:ascii="Palatino Linotype" w:hAnsi="Palatino Linotype"/>
          <w:color w:val="000000"/>
          <w:sz w:val="20"/>
          <w:szCs w:val="20"/>
          <w:bdr w:val="nil"/>
          <w:lang w:val="en-US"/>
        </w:rPr>
        <w:t>Vol. 10, No. 6, 2020, pp.45</w:t>
      </w:r>
      <w:r w:rsidRPr="00AD1AC7">
        <w:rPr>
          <w:rFonts w:ascii="Palatino Linotype" w:hAnsi="Palatino Linotype"/>
          <w:color w:val="000000"/>
          <w:sz w:val="20"/>
          <w:szCs w:val="20"/>
          <w:bdr w:val="nil"/>
          <w:lang w:val="vi-VN"/>
        </w:rPr>
        <w: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hyperlink r:id="rId18" w:history="1">
        <w:r w:rsidRPr="00AD1AC7">
          <w:rPr>
            <w:rFonts w:ascii="Palatino Linotype" w:hAnsi="Palatino Linotype"/>
            <w:color w:val="000000"/>
            <w:sz w:val="20"/>
            <w:szCs w:val="20"/>
            <w:bdr w:val="nil"/>
            <w:lang w:val="en-US"/>
          </w:rPr>
          <w:t>Michael D. Bordo</w:t>
        </w:r>
      </w:hyperlink>
      <w:r w:rsidRPr="00AD1AC7">
        <w:rPr>
          <w:rFonts w:ascii="Palatino Linotype" w:hAnsi="Palatino Linotype"/>
          <w:color w:val="000000"/>
          <w:sz w:val="20"/>
          <w:szCs w:val="20"/>
          <w:bdr w:val="nil"/>
          <w:lang w:val="vi-VN"/>
        </w:rPr>
        <w:t>. (2021).</w:t>
      </w:r>
      <w:r w:rsidRPr="00AD1AC7">
        <w:rPr>
          <w:rFonts w:ascii="Palatino Linotype" w:hAnsi="Palatino Linotype"/>
          <w:color w:val="000000"/>
          <w:sz w:val="20"/>
          <w:szCs w:val="20"/>
          <w:bdr w:val="nil"/>
          <w:lang w:val="en-US"/>
        </w:rPr>
        <w:t xml:space="preserve"> Central Bank Digital Currency in Historical Perspective: Another Crossroad in Monetary History</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xml:space="preserve"> </w:t>
      </w:r>
      <w:r w:rsidRPr="00AD1AC7">
        <w:rPr>
          <w:rFonts w:ascii="Palatino Linotype" w:hAnsi="Palatino Linotype"/>
          <w:i/>
          <w:iCs/>
          <w:color w:val="000000"/>
          <w:sz w:val="20"/>
          <w:szCs w:val="20"/>
          <w:bdr w:val="nil"/>
          <w:lang w:val="en-US"/>
        </w:rPr>
        <w:t>National Bureau of Economic Research, Working Paper N0.29171</w:t>
      </w:r>
      <w:r w:rsidRPr="00AD1AC7">
        <w:rPr>
          <w:rFonts w:ascii="Palatino Linotype" w:hAnsi="Palatino Linotype"/>
          <w:color w:val="000000"/>
          <w:sz w:val="20"/>
          <w:szCs w:val="20"/>
          <w:bdr w:val="nil"/>
          <w:lang w:val="en-US"/>
        </w:rPr>
        <w:t>, Issue Date: August 2021</w:t>
      </w:r>
      <w:r w:rsidRPr="00AD1AC7">
        <w:rPr>
          <w:rFonts w:ascii="Palatino Linotype" w:hAnsi="Palatino Linotype"/>
          <w:color w:val="000000"/>
          <w:sz w:val="20"/>
          <w:szCs w:val="20"/>
          <w:bdr w:val="nil"/>
          <w:lang w:val="vi-VN"/>
        </w:rPr>
        <w:t>. A</w:t>
      </w:r>
      <w:r w:rsidRPr="00AD1AC7">
        <w:rPr>
          <w:rFonts w:ascii="Palatino Linotype" w:hAnsi="Palatino Linotype"/>
          <w:color w:val="000000"/>
          <w:sz w:val="20"/>
          <w:szCs w:val="20"/>
          <w:bdr w:val="nil"/>
          <w:lang w:val="en-US"/>
        </w:rPr>
        <w:t xml:space="preserve">vailable at: </w:t>
      </w:r>
      <w:hyperlink r:id="rId19" w:history="1">
        <w:r w:rsidRPr="00AD1AC7">
          <w:rPr>
            <w:rStyle w:val="Hyperlink"/>
            <w:rFonts w:ascii="Palatino Linotype" w:hAnsi="Palatino Linotype"/>
            <w:color w:val="000000"/>
            <w:sz w:val="20"/>
            <w:szCs w:val="20"/>
            <w:u w:val="none"/>
            <w:bdr w:val="nil"/>
            <w:lang w:val="en-US"/>
          </w:rPr>
          <w:t>https://www.nber.org/papers/w29171</w:t>
        </w:r>
      </w:hyperlink>
      <w:r w:rsidRPr="00AD1AC7">
        <w:rPr>
          <w:rFonts w:ascii="Palatino Linotype" w:hAnsi="Palatino Linotype"/>
          <w:color w:val="000000"/>
          <w:sz w:val="20"/>
          <w:szCs w:val="20"/>
          <w:bdr w:val="nil"/>
          <w:lang w:val="en-US"/>
        </w:rPr>
        <w:t>.</w:t>
      </w:r>
    </w:p>
    <w:p w:rsidR="00AD1AC7" w:rsidRPr="00AD1AC7" w:rsidRDefault="00AD1AC7" w:rsidP="00AD1AC7">
      <w:pPr>
        <w:pStyle w:val="ListParagraph"/>
        <w:numPr>
          <w:ilvl w:val="0"/>
          <w:numId w:val="5"/>
        </w:numPr>
        <w:spacing w:line="240" w:lineRule="auto"/>
        <w:jc w:val="both"/>
        <w:rPr>
          <w:rFonts w:ascii="Palatino Linotype" w:eastAsia="Calibri" w:hAnsi="Palatino Linotype"/>
          <w:color w:val="000000"/>
          <w:sz w:val="20"/>
          <w:szCs w:val="20"/>
          <w:lang w:val="vi-VN"/>
        </w:rPr>
      </w:pPr>
      <w:r w:rsidRPr="00AD1AC7">
        <w:rPr>
          <w:rFonts w:ascii="Palatino Linotype" w:hAnsi="Palatino Linotype"/>
          <w:color w:val="000000"/>
          <w:sz w:val="20"/>
          <w:szCs w:val="20"/>
          <w:bdr w:val="nil"/>
          <w:lang w:val="en-US"/>
        </w:rPr>
        <w:t>Nabilou, Hossein</w:t>
      </w:r>
      <w:r w:rsidRPr="00AD1AC7">
        <w:rPr>
          <w:rFonts w:ascii="Palatino Linotype" w:hAnsi="Palatino Linotype"/>
          <w:color w:val="000000"/>
          <w:sz w:val="20"/>
          <w:szCs w:val="20"/>
          <w:bdr w:val="nil"/>
          <w:lang w:val="vi-VN"/>
        </w:rPr>
        <w:t>. (2019).</w:t>
      </w:r>
      <w:r w:rsidRPr="00AD1AC7">
        <w:rPr>
          <w:rFonts w:ascii="Palatino Linotype" w:hAnsi="Palatino Linotype"/>
          <w:color w:val="000000"/>
          <w:sz w:val="20"/>
          <w:szCs w:val="20"/>
          <w:bdr w:val="nil"/>
          <w:lang w:val="en-US"/>
        </w:rPr>
        <w:t xml:space="preserve"> Central Bank Digital Currencies: Preliminary Legal Observations. </w:t>
      </w:r>
      <w:r w:rsidRPr="00AD1AC7">
        <w:rPr>
          <w:rFonts w:ascii="Palatino Linotype" w:hAnsi="Palatino Linotype"/>
          <w:i/>
          <w:iCs/>
          <w:color w:val="000000"/>
          <w:sz w:val="20"/>
          <w:szCs w:val="20"/>
          <w:bdr w:val="nil"/>
          <w:lang w:val="en-US"/>
        </w:rPr>
        <w:t>Journal of Banking Regulation</w:t>
      </w:r>
      <w:r w:rsidRPr="00AD1AC7">
        <w:rPr>
          <w:rFonts w:ascii="Palatino Linotype" w:hAnsi="Palatino Linotype"/>
          <w:color w:val="000000"/>
          <w:sz w:val="20"/>
          <w:szCs w:val="20"/>
          <w:bdr w:val="nil"/>
          <w:lang w:val="vi-VN"/>
        </w:rPr>
        <w:t xml:space="preserve">, </w:t>
      </w:r>
      <w:r w:rsidRPr="00AD1AC7">
        <w:rPr>
          <w:rFonts w:ascii="Palatino Linotype" w:hAnsi="Palatino Linotype"/>
          <w:color w:val="000000"/>
          <w:sz w:val="20"/>
          <w:szCs w:val="20"/>
          <w:bdr w:val="nil"/>
          <w:lang w:val="en-US"/>
        </w:rPr>
        <w:t>February 6, 2019</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xml:space="preserve"> Available at: </w:t>
      </w:r>
      <w:hyperlink r:id="rId20" w:tgtFrame="_blank" w:history="1">
        <w:r w:rsidRPr="00AD1AC7">
          <w:rPr>
            <w:rFonts w:ascii="Palatino Linotype" w:hAnsi="Palatino Linotype"/>
            <w:color w:val="000000"/>
            <w:sz w:val="20"/>
            <w:szCs w:val="20"/>
            <w:bdr w:val="nil"/>
            <w:lang w:val="en-US"/>
          </w:rPr>
          <w:t>http://dx.doi.org/10.2139/ssrn.3329993</w:t>
        </w:r>
      </w:hyperlink>
      <w:r w:rsidRPr="00AD1AC7">
        <w:rPr>
          <w:rFonts w:ascii="Palatino Linotype" w:eastAsia="Calibri" w:hAnsi="Palatino Linotype"/>
          <w:color w:val="000000"/>
          <w:sz w:val="20"/>
          <w:szCs w:val="20"/>
          <w:lang w:val="vi-VN"/>
        </w:rPr>
        <w:t>.</w:t>
      </w:r>
    </w:p>
    <w:p w:rsidR="00AD1AC7" w:rsidRPr="00AD1AC7" w:rsidRDefault="00AD1AC7" w:rsidP="00AD1AC7">
      <w:pPr>
        <w:pStyle w:val="ListParagraph"/>
        <w:numPr>
          <w:ilvl w:val="0"/>
          <w:numId w:val="5"/>
        </w:numPr>
        <w:spacing w:line="240" w:lineRule="auto"/>
        <w:jc w:val="both"/>
        <w:rPr>
          <w:rFonts w:ascii="Palatino Linotype" w:eastAsia="Calibri" w:hAnsi="Palatino Linotype"/>
          <w:color w:val="000000"/>
          <w:sz w:val="20"/>
          <w:szCs w:val="20"/>
          <w:lang w:val="vi-VN"/>
        </w:rPr>
      </w:pPr>
      <w:r w:rsidRPr="00AD1AC7">
        <w:rPr>
          <w:rFonts w:ascii="Palatino Linotype" w:hAnsi="Palatino Linotype"/>
          <w:color w:val="000000"/>
          <w:sz w:val="20"/>
          <w:szCs w:val="20"/>
          <w:bdr w:val="nil"/>
          <w:shd w:val="clear" w:color="auto" w:fill="FCFCFC"/>
          <w:lang w:val="en-US"/>
        </w:rPr>
        <w:t xml:space="preserve">Naimi-Sadigh, A., Asgari, T. &amp; Rabiei, M. </w:t>
      </w:r>
      <w:r w:rsidRPr="00AD1AC7">
        <w:rPr>
          <w:rFonts w:ascii="Palatino Linotype" w:hAnsi="Palatino Linotype"/>
          <w:color w:val="000000"/>
          <w:sz w:val="20"/>
          <w:szCs w:val="20"/>
          <w:bdr w:val="nil"/>
          <w:shd w:val="clear" w:color="auto" w:fill="FCFCFC"/>
          <w:lang w:val="vi-VN"/>
        </w:rPr>
        <w:t xml:space="preserve">(2021). </w:t>
      </w:r>
      <w:r w:rsidRPr="00AD1AC7">
        <w:rPr>
          <w:rFonts w:ascii="Palatino Linotype" w:hAnsi="Palatino Linotype"/>
          <w:color w:val="000000"/>
          <w:sz w:val="20"/>
          <w:szCs w:val="20"/>
          <w:bdr w:val="nil"/>
          <w:shd w:val="clear" w:color="auto" w:fill="FCFCFC"/>
          <w:lang w:val="en-US"/>
        </w:rPr>
        <w:t>Digital Transformation in the Value Chain Disruption of Banking Services. </w:t>
      </w:r>
      <w:r w:rsidRPr="00AD1AC7">
        <w:rPr>
          <w:rFonts w:ascii="Palatino Linotype" w:hAnsi="Palatino Linotype"/>
          <w:i/>
          <w:iCs/>
          <w:color w:val="000000"/>
          <w:sz w:val="20"/>
          <w:szCs w:val="20"/>
          <w:bdr w:val="nil"/>
          <w:lang w:val="en-US"/>
        </w:rPr>
        <w:t>J Knowl Econ</w:t>
      </w:r>
      <w:r w:rsidRPr="00AD1AC7">
        <w:rPr>
          <w:rFonts w:ascii="Palatino Linotype" w:hAnsi="Palatino Linotype"/>
          <w:color w:val="000000"/>
          <w:sz w:val="20"/>
          <w:szCs w:val="20"/>
          <w:bdr w:val="nil"/>
          <w:shd w:val="clear" w:color="auto" w:fill="FCFCFC"/>
          <w:lang w:val="en-US"/>
        </w:rPr>
        <w:t>. https://doi.org/10.1007/s13132-021-00759-0</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shd w:val="clear" w:color="auto" w:fill="FFFFFF"/>
          <w:lang w:val="vi-VN"/>
        </w:rPr>
      </w:pPr>
      <w:r w:rsidRPr="00AD1AC7">
        <w:rPr>
          <w:rFonts w:ascii="Palatino Linotype" w:hAnsi="Palatino Linotype"/>
          <w:color w:val="000000"/>
          <w:sz w:val="20"/>
          <w:szCs w:val="20"/>
          <w:bdr w:val="nil"/>
          <w:shd w:val="clear" w:color="auto" w:fill="FFFFFF"/>
          <w:lang w:val="en-US"/>
        </w:rPr>
        <w:t xml:space="preserve">Náñez Alonso, Sergio L., Miguel Á. Echarte Fernández, David Sanz Bas, and Jarosław Kaczmarek. </w:t>
      </w:r>
      <w:r w:rsidRPr="00AD1AC7">
        <w:rPr>
          <w:rFonts w:ascii="Palatino Linotype" w:hAnsi="Palatino Linotype"/>
          <w:color w:val="000000"/>
          <w:sz w:val="20"/>
          <w:szCs w:val="20"/>
          <w:bdr w:val="nil"/>
          <w:shd w:val="clear" w:color="auto" w:fill="FFFFFF"/>
          <w:lang w:val="vi-VN"/>
        </w:rPr>
        <w:t>(</w:t>
      </w:r>
      <w:r w:rsidRPr="00AD1AC7">
        <w:rPr>
          <w:rFonts w:ascii="Palatino Linotype" w:hAnsi="Palatino Linotype"/>
          <w:color w:val="000000"/>
          <w:sz w:val="20"/>
          <w:szCs w:val="20"/>
          <w:bdr w:val="nil"/>
          <w:shd w:val="clear" w:color="auto" w:fill="FFFFFF"/>
          <w:lang w:val="en-US"/>
        </w:rPr>
        <w:t>2020</w:t>
      </w:r>
      <w:r w:rsidRPr="00AD1AC7">
        <w:rPr>
          <w:rFonts w:ascii="Palatino Linotype" w:hAnsi="Palatino Linotype"/>
          <w:color w:val="000000"/>
          <w:sz w:val="20"/>
          <w:szCs w:val="20"/>
          <w:bdr w:val="nil"/>
          <w:shd w:val="clear" w:color="auto" w:fill="FFFFFF"/>
          <w:lang w:val="vi-VN"/>
        </w:rPr>
        <w:t>)</w:t>
      </w:r>
      <w:r w:rsidRPr="00AD1AC7">
        <w:rPr>
          <w:rFonts w:ascii="Palatino Linotype" w:hAnsi="Palatino Linotype"/>
          <w:color w:val="000000"/>
          <w:sz w:val="20"/>
          <w:szCs w:val="20"/>
          <w:bdr w:val="nil"/>
          <w:shd w:val="clear" w:color="auto" w:fill="FFFFFF"/>
          <w:lang w:val="en-US"/>
        </w:rPr>
        <w:t>. Reasons Fostering or Discouraging the Implementation of Central Bank-Backed Digital Currency: A Review</w:t>
      </w:r>
      <w:r w:rsidRPr="00AD1AC7">
        <w:rPr>
          <w:rFonts w:ascii="Palatino Linotype" w:hAnsi="Palatino Linotype"/>
          <w:color w:val="000000"/>
          <w:sz w:val="20"/>
          <w:szCs w:val="20"/>
          <w:bdr w:val="nil"/>
          <w:shd w:val="clear" w:color="auto" w:fill="FFFFFF"/>
          <w:lang w:val="vi-VN"/>
        </w:rPr>
        <w:t xml:space="preserve">. </w:t>
      </w:r>
      <w:r w:rsidRPr="00AD1AC7">
        <w:rPr>
          <w:rFonts w:ascii="Palatino Linotype" w:hAnsi="Palatino Linotype"/>
          <w:i/>
          <w:iCs/>
          <w:color w:val="000000"/>
          <w:sz w:val="20"/>
          <w:szCs w:val="20"/>
          <w:bdr w:val="nil"/>
          <w:lang w:val="en-US"/>
        </w:rPr>
        <w:t>Economies</w:t>
      </w:r>
      <w:r w:rsidRPr="00AD1AC7">
        <w:rPr>
          <w:rFonts w:ascii="Palatino Linotype" w:hAnsi="Palatino Linotype"/>
          <w:color w:val="000000"/>
          <w:sz w:val="20"/>
          <w:szCs w:val="20"/>
          <w:bdr w:val="nil"/>
          <w:shd w:val="clear" w:color="auto" w:fill="FFFFFF"/>
          <w:lang w:val="en-US"/>
        </w:rPr>
        <w:t xml:space="preserve"> 8, no. 2: 41. </w:t>
      </w:r>
      <w:hyperlink r:id="rId21" w:history="1">
        <w:r w:rsidRPr="00AD1AC7">
          <w:rPr>
            <w:rStyle w:val="Hyperlink"/>
            <w:rFonts w:ascii="Palatino Linotype" w:hAnsi="Palatino Linotype"/>
            <w:color w:val="000000"/>
            <w:sz w:val="20"/>
            <w:szCs w:val="20"/>
            <w:u w:val="none"/>
            <w:bdr w:val="nil"/>
            <w:shd w:val="clear" w:color="auto" w:fill="FFFFFF"/>
            <w:lang w:val="en-US"/>
          </w:rPr>
          <w:t>https://doi.org/10.3390/economies8020041</w:t>
        </w:r>
      </w:hyperlink>
      <w:r w:rsidRPr="00AD1AC7">
        <w:rPr>
          <w:rFonts w:ascii="Palatino Linotype" w:hAnsi="Palatino Linotype"/>
          <w:color w:val="000000"/>
          <w:sz w:val="20"/>
          <w:szCs w:val="20"/>
          <w:bdr w:val="nil"/>
          <w:shd w:val="clear" w:color="auto" w:fill="FFFFFF"/>
          <w:lang w:val="vi-VN"/>
        </w:rPr>
        <w: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en-US"/>
        </w:rPr>
        <w:t>Náñez</w:t>
      </w:r>
      <w:r w:rsidRPr="00AD1AC7">
        <w:rPr>
          <w:rFonts w:ascii="Palatino Linotype" w:hAnsi="Palatino Linotype"/>
          <w:color w:val="000000"/>
          <w:sz w:val="20"/>
          <w:szCs w:val="20"/>
          <w:bdr w:val="nil"/>
          <w:lang w:val="vi-VN"/>
        </w:rPr>
        <w:t xml:space="preserve"> </w:t>
      </w:r>
      <w:r w:rsidRPr="00AD1AC7">
        <w:rPr>
          <w:rFonts w:ascii="Palatino Linotype" w:hAnsi="Palatino Linotype"/>
          <w:color w:val="000000"/>
          <w:sz w:val="20"/>
          <w:szCs w:val="20"/>
          <w:bdr w:val="nil"/>
          <w:lang w:val="en-US"/>
        </w:rPr>
        <w:t>Alonso,S.L.</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xml:space="preserve"> Jorge-Vazquez, J.</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xml:space="preserve"> Reier Forradellas, R.F. </w:t>
      </w:r>
      <w:r w:rsidRPr="00AD1AC7">
        <w:rPr>
          <w:rFonts w:ascii="Palatino Linotype" w:hAnsi="Palatino Linotype"/>
          <w:color w:val="000000"/>
          <w:sz w:val="20"/>
          <w:szCs w:val="20"/>
          <w:bdr w:val="nil"/>
          <w:lang w:val="vi-VN"/>
        </w:rPr>
        <w:t xml:space="preserve">(2021). </w:t>
      </w:r>
      <w:r w:rsidRPr="00AD1AC7">
        <w:rPr>
          <w:rFonts w:ascii="Palatino Linotype" w:hAnsi="Palatino Linotype"/>
          <w:color w:val="000000"/>
          <w:sz w:val="20"/>
          <w:szCs w:val="20"/>
          <w:bdr w:val="nil"/>
          <w:lang w:val="en-US"/>
        </w:rPr>
        <w:t xml:space="preserve">Central Banks Digital Currency: Detection of Optimal Countries for the Implementation of a Central Banks Digital Currency and the Implication for Payment Industry Open Innovation. </w:t>
      </w:r>
      <w:r w:rsidRPr="00AD1AC7">
        <w:rPr>
          <w:rFonts w:ascii="Palatino Linotype" w:hAnsi="Palatino Linotype"/>
          <w:i/>
          <w:iCs/>
          <w:color w:val="000000"/>
          <w:sz w:val="20"/>
          <w:szCs w:val="20"/>
          <w:bdr w:val="nil"/>
          <w:lang w:val="en-US"/>
        </w:rPr>
        <w:t xml:space="preserve">J. Open Innov. Technol. Mark. Complex. </w:t>
      </w:r>
      <w:r w:rsidRPr="00AD1AC7">
        <w:rPr>
          <w:rFonts w:ascii="Palatino Linotype" w:hAnsi="Palatino Linotype"/>
          <w:color w:val="000000"/>
          <w:sz w:val="20"/>
          <w:szCs w:val="20"/>
          <w:bdr w:val="nil"/>
          <w:lang w:val="en-US"/>
        </w:rPr>
        <w:t>7, 72, pp.2. https://doi.org/10.3390/ joitmc7010072.</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vi-VN"/>
        </w:rPr>
      </w:pPr>
      <w:r w:rsidRPr="00AD1AC7">
        <w:rPr>
          <w:rFonts w:ascii="Palatino Linotype" w:hAnsi="Palatino Linotype"/>
          <w:color w:val="000000"/>
          <w:sz w:val="20"/>
          <w:szCs w:val="20"/>
          <w:bdr w:val="nil"/>
          <w:lang w:val="en-US"/>
        </w:rPr>
        <w:t>Nguyen</w:t>
      </w:r>
      <w:r w:rsidRPr="00AD1AC7">
        <w:rPr>
          <w:rFonts w:ascii="Palatino Linotype" w:hAnsi="Palatino Linotype"/>
          <w:color w:val="000000"/>
          <w:sz w:val="20"/>
          <w:szCs w:val="20"/>
          <w:bdr w:val="nil"/>
          <w:lang w:val="vi-VN"/>
        </w:rPr>
        <w:t>, M.O.</w:t>
      </w:r>
      <w:r w:rsidRPr="00AD1AC7">
        <w:rPr>
          <w:rFonts w:ascii="Palatino Linotype" w:hAnsi="Palatino Linotype"/>
          <w:color w:val="000000"/>
          <w:sz w:val="20"/>
          <w:szCs w:val="20"/>
          <w:bdr w:val="nil"/>
          <w:lang w:val="en-US"/>
        </w:rPr>
        <w:t xml:space="preserve"> (Editor</w:t>
      </w:r>
      <w:r w:rsidRPr="00AD1AC7">
        <w:rPr>
          <w:rFonts w:ascii="Palatino Linotype" w:hAnsi="Palatino Linotype"/>
          <w:color w:val="000000"/>
          <w:sz w:val="20"/>
          <w:szCs w:val="20"/>
          <w:bdr w:val="nil"/>
          <w:lang w:val="vi-VN"/>
        </w:rPr>
        <w:t>, 2019).</w:t>
      </w:r>
      <w:r w:rsidRPr="00AD1AC7">
        <w:rPr>
          <w:rFonts w:ascii="Palatino Linotype" w:hAnsi="Palatino Linotype"/>
          <w:color w:val="000000"/>
          <w:sz w:val="20"/>
          <w:szCs w:val="20"/>
          <w:bdr w:val="nil"/>
          <w:lang w:val="en-US"/>
        </w:rPr>
        <w:t xml:space="preserve"> </w:t>
      </w:r>
      <w:r w:rsidRPr="00AD1AC7">
        <w:rPr>
          <w:rFonts w:ascii="Palatino Linotype" w:hAnsi="Palatino Linotype"/>
          <w:i/>
          <w:iCs/>
          <w:color w:val="000000"/>
          <w:sz w:val="20"/>
          <w:szCs w:val="20"/>
          <w:bdr w:val="nil"/>
          <w:lang w:val="en-US"/>
        </w:rPr>
        <w:t>Building and perfecting the legal framework for virtual currencies in the context of integration and development</w:t>
      </w:r>
      <w:r w:rsidRPr="00AD1AC7">
        <w:rPr>
          <w:rFonts w:ascii="Palatino Linotype" w:hAnsi="Palatino Linotype"/>
          <w:color w:val="000000"/>
          <w:sz w:val="20"/>
          <w:szCs w:val="20"/>
          <w:bdr w:val="nil"/>
          <w:lang w:val="en-US"/>
        </w:rPr>
        <w:t>, monograph, Judicial Publishing House, Hanoi</w:t>
      </w:r>
      <w:r w:rsidRPr="00AD1AC7">
        <w:rPr>
          <w:rFonts w:ascii="Palatino Linotype" w:hAnsi="Palatino Linotype"/>
          <w:color w:val="000000"/>
          <w:sz w:val="20"/>
          <w:szCs w:val="20"/>
          <w:bdr w:val="nil"/>
          <w:lang w:val="vi-VN"/>
        </w:rPr>
        <w: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vi-VN"/>
        </w:rPr>
      </w:pPr>
      <w:r w:rsidRPr="00AD1AC7">
        <w:rPr>
          <w:rFonts w:ascii="Palatino Linotype" w:hAnsi="Palatino Linotype"/>
          <w:color w:val="000000"/>
          <w:sz w:val="20"/>
          <w:szCs w:val="20"/>
          <w:bdr w:val="nil"/>
          <w:lang w:val="en-US"/>
        </w:rPr>
        <w:t>People's Court of Ben Tre Province</w:t>
      </w:r>
      <w:r w:rsidRPr="00AD1AC7">
        <w:rPr>
          <w:rFonts w:ascii="Palatino Linotype" w:hAnsi="Palatino Linotype"/>
          <w:color w:val="000000"/>
          <w:sz w:val="20"/>
          <w:szCs w:val="20"/>
          <w:bdr w:val="nil"/>
          <w:lang w:val="vi-VN"/>
        </w:rPr>
        <w:t xml:space="preserve">. (2017). </w:t>
      </w:r>
      <w:r w:rsidRPr="00AD1AC7">
        <w:rPr>
          <w:rFonts w:ascii="Palatino Linotype" w:hAnsi="Palatino Linotype"/>
          <w:color w:val="000000"/>
          <w:sz w:val="20"/>
          <w:szCs w:val="20"/>
          <w:bdr w:val="nil"/>
          <w:lang w:val="en-US"/>
        </w:rPr>
        <w:t>Judgment No. 22/2017/HC-ST dated January 29, 2017,</w:t>
      </w:r>
      <w:r w:rsidRPr="00AD1AC7">
        <w:rPr>
          <w:rFonts w:ascii="Palatino Linotype" w:hAnsi="Palatino Linotype"/>
          <w:color w:val="000000"/>
          <w:sz w:val="20"/>
          <w:szCs w:val="20"/>
          <w:bdr w:val="nil"/>
          <w:lang w:val="vi-VN"/>
        </w:rPr>
        <w:t xml:space="preserve"> </w:t>
      </w:r>
      <w:r w:rsidRPr="00AD1AC7">
        <w:rPr>
          <w:rFonts w:ascii="Palatino Linotype" w:hAnsi="Palatino Linotype"/>
          <w:color w:val="000000"/>
          <w:sz w:val="20"/>
          <w:szCs w:val="20"/>
          <w:bdr w:val="nil"/>
          <w:lang w:val="en-US"/>
        </w:rPr>
        <w:t xml:space="preserve">on the lawsuit against “the decision on tax arrears”. Access at: </w:t>
      </w:r>
      <w:hyperlink r:id="rId22" w:history="1">
        <w:r w:rsidRPr="00AD1AC7">
          <w:rPr>
            <w:rFonts w:ascii="Palatino Linotype" w:hAnsi="Palatino Linotype"/>
            <w:color w:val="000000"/>
            <w:sz w:val="20"/>
            <w:szCs w:val="20"/>
            <w:bdr w:val="nil"/>
            <w:lang w:val="en-US"/>
          </w:rPr>
          <w:t>https://congbobanan.toaan.gov.vn/2ta51734t1cvn/chi-tiet-ban-an</w:t>
        </w:r>
      </w:hyperlink>
      <w:r w:rsidRPr="00AD1AC7">
        <w:rPr>
          <w:rFonts w:ascii="Palatino Linotype" w:hAnsi="Palatino Linotype"/>
          <w:color w:val="000000"/>
          <w:sz w:val="20"/>
          <w:szCs w:val="20"/>
          <w:bdr w:val="nil"/>
          <w:lang w:val="en-US"/>
        </w:rPr>
        <w: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vi-VN"/>
        </w:rPr>
      </w:pPr>
      <w:r w:rsidRPr="00AD1AC7">
        <w:rPr>
          <w:rFonts w:ascii="Palatino Linotype" w:hAnsi="Palatino Linotype"/>
          <w:color w:val="000000"/>
          <w:sz w:val="20"/>
          <w:szCs w:val="20"/>
          <w:bdr w:val="nil"/>
          <w:lang w:val="en-US"/>
        </w:rPr>
        <w:t>Pham</w:t>
      </w:r>
      <w:r w:rsidRPr="00AD1AC7">
        <w:rPr>
          <w:rFonts w:ascii="Palatino Linotype" w:hAnsi="Palatino Linotype"/>
          <w:color w:val="000000"/>
          <w:sz w:val="20"/>
          <w:szCs w:val="20"/>
          <w:bdr w:val="nil"/>
          <w:lang w:val="vi-VN"/>
        </w:rPr>
        <w:t>, B.L.</w:t>
      </w:r>
      <w:r w:rsidRPr="00AD1AC7">
        <w:rPr>
          <w:rFonts w:ascii="Palatino Linotype" w:hAnsi="Palatino Linotype"/>
          <w:color w:val="000000"/>
          <w:sz w:val="20"/>
          <w:szCs w:val="20"/>
          <w:bdr w:val="nil"/>
          <w:lang w:val="en-US"/>
        </w:rPr>
        <w:t>, Nguyen</w:t>
      </w:r>
      <w:r w:rsidRPr="00AD1AC7">
        <w:rPr>
          <w:rFonts w:ascii="Palatino Linotype" w:hAnsi="Palatino Linotype"/>
          <w:color w:val="000000"/>
          <w:sz w:val="20"/>
          <w:szCs w:val="20"/>
          <w:bdr w:val="nil"/>
          <w:lang w:val="vi-VN"/>
        </w:rPr>
        <w:t>, N.D.</w:t>
      </w:r>
      <w:r w:rsidRPr="00AD1AC7">
        <w:rPr>
          <w:rFonts w:ascii="Palatino Linotype" w:hAnsi="Palatino Linotype"/>
          <w:color w:val="000000"/>
          <w:sz w:val="20"/>
          <w:szCs w:val="20"/>
          <w:bdr w:val="nil"/>
          <w:lang w:val="en-US"/>
        </w:rPr>
        <w:t>, To</w:t>
      </w:r>
      <w:r w:rsidRPr="00AD1AC7">
        <w:rPr>
          <w:rFonts w:ascii="Palatino Linotype" w:hAnsi="Palatino Linotype"/>
          <w:color w:val="000000"/>
          <w:sz w:val="20"/>
          <w:szCs w:val="20"/>
          <w:bdr w:val="nil"/>
          <w:lang w:val="vi-VN"/>
        </w:rPr>
        <w:t>, T.D.L. (2020).</w:t>
      </w:r>
      <w:r w:rsidRPr="00AD1AC7">
        <w:rPr>
          <w:rFonts w:ascii="Palatino Linotype" w:hAnsi="Palatino Linotype"/>
          <w:color w:val="000000"/>
          <w:sz w:val="20"/>
          <w:szCs w:val="20"/>
          <w:bdr w:val="nil"/>
          <w:lang w:val="en-US"/>
        </w:rPr>
        <w:t xml:space="preserve"> Development of digital banking in Vietnam</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xml:space="preserve"> </w:t>
      </w:r>
      <w:r w:rsidRPr="00AD1AC7">
        <w:rPr>
          <w:rFonts w:ascii="Palatino Linotype" w:hAnsi="Palatino Linotype"/>
          <w:i/>
          <w:iCs/>
          <w:color w:val="000000"/>
          <w:sz w:val="20"/>
          <w:szCs w:val="20"/>
          <w:bdr w:val="nil"/>
          <w:lang w:val="en-US"/>
        </w:rPr>
        <w:t>Banking Magazine</w:t>
      </w:r>
      <w:r w:rsidRPr="00AD1AC7">
        <w:rPr>
          <w:rFonts w:ascii="Palatino Linotype" w:hAnsi="Palatino Linotype"/>
          <w:color w:val="000000"/>
          <w:sz w:val="20"/>
          <w:szCs w:val="20"/>
          <w:bdr w:val="nil"/>
          <w:lang w:val="en-US"/>
        </w:rPr>
        <w:t xml:space="preserve"> issue 4/2020, available at: </w:t>
      </w:r>
      <w:hyperlink r:id="rId23" w:history="1">
        <w:r w:rsidRPr="00AD1AC7">
          <w:rPr>
            <w:rFonts w:ascii="Palatino Linotype" w:hAnsi="Palatino Linotype"/>
            <w:color w:val="000000"/>
            <w:sz w:val="20"/>
            <w:szCs w:val="20"/>
            <w:bdr w:val="nil"/>
            <w:lang w:val="en-US"/>
          </w:rPr>
          <w:t>http ://tapchinganhang.gov.vn/phat-trien-ngan-hang-so-tai-viet-nam.htm</w:t>
        </w:r>
      </w:hyperlink>
      <w:r w:rsidRPr="00AD1AC7">
        <w:rPr>
          <w:rFonts w:ascii="Palatino Linotype" w:hAnsi="Palatino Linotype"/>
          <w:color w:val="000000"/>
          <w:sz w:val="20"/>
          <w:szCs w:val="20"/>
          <w:bdr w:val="nil"/>
          <w:lang w:val="en-US"/>
        </w:rPr>
        <w:t xml:space="preserve"> on September 23, 2020.</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vi-VN"/>
        </w:rPr>
      </w:pPr>
      <w:r w:rsidRPr="00AD1AC7">
        <w:rPr>
          <w:rFonts w:ascii="Palatino Linotype" w:hAnsi="Palatino Linotype"/>
          <w:color w:val="000000"/>
          <w:sz w:val="20"/>
          <w:szCs w:val="20"/>
          <w:bdr w:val="nil"/>
          <w:lang w:val="en-US"/>
        </w:rPr>
        <w:lastRenderedPageBreak/>
        <w:t>Pha</w:t>
      </w:r>
      <w:r w:rsidRPr="00AD1AC7">
        <w:rPr>
          <w:rFonts w:ascii="Palatino Linotype" w:hAnsi="Palatino Linotype"/>
          <w:color w:val="000000"/>
          <w:sz w:val="20"/>
          <w:szCs w:val="20"/>
          <w:bdr w:val="nil"/>
          <w:lang w:val="vi-VN"/>
        </w:rPr>
        <w:t>n, C.H.</w:t>
      </w:r>
      <w:r w:rsidRPr="00AD1AC7">
        <w:rPr>
          <w:rFonts w:ascii="Palatino Linotype" w:hAnsi="Palatino Linotype"/>
          <w:color w:val="000000"/>
          <w:sz w:val="20"/>
          <w:szCs w:val="20"/>
          <w:bdr w:val="nil"/>
          <w:lang w:val="en-US"/>
        </w:rPr>
        <w:t>, Nguyen</w:t>
      </w:r>
      <w:r w:rsidRPr="00AD1AC7">
        <w:rPr>
          <w:rFonts w:ascii="Palatino Linotype" w:hAnsi="Palatino Linotype"/>
          <w:color w:val="000000"/>
          <w:sz w:val="20"/>
          <w:szCs w:val="20"/>
          <w:bdr w:val="nil"/>
          <w:lang w:val="vi-VN"/>
        </w:rPr>
        <w:t>, T.T.</w:t>
      </w:r>
      <w:r w:rsidRPr="00AD1AC7">
        <w:rPr>
          <w:rFonts w:ascii="Palatino Linotype" w:hAnsi="Palatino Linotype"/>
          <w:color w:val="000000"/>
          <w:sz w:val="20"/>
          <w:szCs w:val="20"/>
          <w:bdr w:val="nil"/>
          <w:lang w:val="en-US"/>
        </w:rPr>
        <w:t xml:space="preserve"> (Editor</w:t>
      </w:r>
      <w:r w:rsidRPr="00AD1AC7">
        <w:rPr>
          <w:rFonts w:ascii="Palatino Linotype" w:hAnsi="Palatino Linotype"/>
          <w:color w:val="000000"/>
          <w:sz w:val="20"/>
          <w:szCs w:val="20"/>
          <w:bdr w:val="nil"/>
          <w:lang w:val="vi-VN"/>
        </w:rPr>
        <w:t>, 2019).</w:t>
      </w:r>
      <w:r w:rsidRPr="00AD1AC7">
        <w:rPr>
          <w:rFonts w:ascii="Palatino Linotype" w:hAnsi="Palatino Linotype"/>
          <w:color w:val="000000"/>
          <w:sz w:val="20"/>
          <w:szCs w:val="20"/>
          <w:bdr w:val="nil"/>
          <w:lang w:val="en-US"/>
        </w:rPr>
        <w:t xml:space="preserve"> </w:t>
      </w:r>
      <w:r w:rsidRPr="00AD1AC7">
        <w:rPr>
          <w:rFonts w:ascii="Palatino Linotype" w:hAnsi="Palatino Linotype"/>
          <w:i/>
          <w:iCs/>
          <w:color w:val="000000"/>
          <w:sz w:val="20"/>
          <w:szCs w:val="20"/>
          <w:bdr w:val="nil"/>
          <w:lang w:val="en-US"/>
        </w:rPr>
        <w:t>Some legal issues on crypto-assets, crypto-currencies</w:t>
      </w:r>
      <w:r w:rsidRPr="00AD1AC7">
        <w:rPr>
          <w:rFonts w:ascii="Palatino Linotype" w:hAnsi="Palatino Linotype"/>
          <w:color w:val="000000"/>
          <w:sz w:val="20"/>
          <w:szCs w:val="20"/>
          <w:bdr w:val="nil"/>
          <w:lang w:val="en-US"/>
        </w:rPr>
        <w:t>, National Political Publishing House, Hanoi</w:t>
      </w:r>
      <w:r w:rsidRPr="00AD1AC7">
        <w:rPr>
          <w:rFonts w:ascii="Palatino Linotype" w:hAnsi="Palatino Linotype"/>
          <w:color w:val="000000"/>
          <w:sz w:val="20"/>
          <w:szCs w:val="20"/>
          <w:bdr w:val="nil"/>
          <w:lang w:val="vi-VN"/>
        </w:rPr>
        <w: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en-US"/>
        </w:rPr>
        <w:t>Shirai, Sayuri</w:t>
      </w:r>
      <w:r w:rsidRPr="00AD1AC7">
        <w:rPr>
          <w:rFonts w:ascii="Palatino Linotype" w:hAnsi="Palatino Linotype"/>
          <w:color w:val="000000"/>
          <w:sz w:val="20"/>
          <w:szCs w:val="20"/>
          <w:bdr w:val="nil"/>
          <w:lang w:val="vi-VN"/>
        </w:rPr>
        <w:t>. (2019).</w:t>
      </w:r>
      <w:r w:rsidRPr="00AD1AC7">
        <w:rPr>
          <w:rFonts w:ascii="Palatino Linotype" w:hAnsi="Palatino Linotype"/>
          <w:color w:val="000000"/>
          <w:sz w:val="20"/>
          <w:szCs w:val="20"/>
          <w:bdr w:val="nil"/>
          <w:lang w:val="en-US"/>
        </w:rPr>
        <w:t xml:space="preserve"> Money and Central Bank Digital Currency. </w:t>
      </w:r>
      <w:r w:rsidRPr="00AD1AC7">
        <w:rPr>
          <w:rFonts w:ascii="Palatino Linotype" w:hAnsi="Palatino Linotype"/>
          <w:i/>
          <w:iCs/>
          <w:color w:val="000000"/>
          <w:sz w:val="20"/>
          <w:szCs w:val="20"/>
          <w:bdr w:val="nil"/>
          <w:lang w:val="en-US"/>
        </w:rPr>
        <w:t>ADBI Working Paper 922</w:t>
      </w:r>
      <w:r w:rsidRPr="00AD1AC7">
        <w:rPr>
          <w:rFonts w:ascii="Palatino Linotype" w:hAnsi="Palatino Linotype"/>
          <w:color w:val="000000"/>
          <w:sz w:val="20"/>
          <w:szCs w:val="20"/>
          <w:bdr w:val="nil"/>
          <w:lang w:val="vi-VN"/>
        </w:rPr>
        <w:t xml:space="preserve">, </w:t>
      </w:r>
      <w:r w:rsidRPr="00AD1AC7">
        <w:rPr>
          <w:rFonts w:ascii="Palatino Linotype" w:hAnsi="Palatino Linotype"/>
          <w:color w:val="000000"/>
          <w:sz w:val="20"/>
          <w:szCs w:val="20"/>
          <w:bdr w:val="nil"/>
          <w:lang w:val="en-US"/>
        </w:rPr>
        <w:t>February 13, 2019</w:t>
      </w:r>
      <w:r w:rsidRPr="00AD1AC7">
        <w:rPr>
          <w:rFonts w:ascii="Palatino Linotype" w:hAnsi="Palatino Linotype"/>
          <w:color w:val="000000"/>
          <w:sz w:val="20"/>
          <w:szCs w:val="20"/>
          <w:bdr w:val="nil"/>
          <w:lang w:val="vi-VN"/>
        </w:rPr>
        <w:t xml:space="preserve">. </w:t>
      </w:r>
      <w:r w:rsidRPr="00AD1AC7">
        <w:rPr>
          <w:rFonts w:ascii="Palatino Linotype" w:hAnsi="Palatino Linotype"/>
          <w:color w:val="000000"/>
          <w:sz w:val="20"/>
          <w:szCs w:val="20"/>
          <w:bdr w:val="nil"/>
          <w:lang w:val="en-US"/>
        </w:rPr>
        <w:t>Available at SSRN: </w:t>
      </w:r>
      <w:hyperlink r:id="rId24" w:tgtFrame="_blank" w:history="1">
        <w:r w:rsidRPr="00AD1AC7">
          <w:rPr>
            <w:rFonts w:ascii="Palatino Linotype" w:hAnsi="Palatino Linotype"/>
            <w:color w:val="000000"/>
            <w:sz w:val="20"/>
            <w:szCs w:val="20"/>
            <w:bdr w:val="nil"/>
            <w:lang w:val="en-US"/>
          </w:rPr>
          <w:t>https://ssrn.com/abstract=3362952</w:t>
        </w:r>
      </w:hyperlink>
      <w:r w:rsidRPr="00AD1AC7">
        <w:rPr>
          <w:rFonts w:ascii="Palatino Linotype" w:hAnsi="Palatino Linotype"/>
          <w:color w:val="000000"/>
          <w:sz w:val="20"/>
          <w:szCs w:val="20"/>
          <w:bdr w:val="nil"/>
          <w:lang w:val="en-US"/>
        </w:rPr>
        <w:t> or </w:t>
      </w:r>
      <w:hyperlink r:id="rId25" w:tgtFrame="_blank" w:history="1">
        <w:r w:rsidRPr="00AD1AC7">
          <w:rPr>
            <w:rFonts w:ascii="Palatino Linotype" w:hAnsi="Palatino Linotype"/>
            <w:color w:val="000000"/>
            <w:sz w:val="20"/>
            <w:szCs w:val="20"/>
            <w:bdr w:val="nil"/>
            <w:lang w:val="en-US"/>
          </w:rPr>
          <w:t>http://dx.doi.org/10.2139/ssrn.3362952</w:t>
        </w:r>
      </w:hyperlink>
      <w:r w:rsidRPr="00AD1AC7">
        <w:rPr>
          <w:rFonts w:ascii="Palatino Linotype" w:hAnsi="Palatino Linotype"/>
          <w:color w:val="000000"/>
          <w:sz w:val="20"/>
          <w:szCs w:val="20"/>
          <w:bdr w:val="nil"/>
          <w:lang w:val="en-US"/>
        </w:rPr>
        <w:t>.</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vi-VN"/>
        </w:rPr>
        <w:t xml:space="preserve">The </w:t>
      </w:r>
      <w:r w:rsidRPr="00AD1AC7">
        <w:rPr>
          <w:rFonts w:ascii="Palatino Linotype" w:hAnsi="Palatino Linotype"/>
          <w:color w:val="000000"/>
          <w:sz w:val="20"/>
          <w:szCs w:val="20"/>
          <w:bdr w:val="nil"/>
          <w:lang w:val="en-US"/>
        </w:rPr>
        <w:t>Prime Minister</w:t>
      </w:r>
      <w:r w:rsidRPr="00AD1AC7">
        <w:rPr>
          <w:rFonts w:ascii="Palatino Linotype" w:hAnsi="Palatino Linotype"/>
          <w:color w:val="000000"/>
          <w:sz w:val="20"/>
          <w:szCs w:val="20"/>
          <w:bdr w:val="nil"/>
          <w:lang w:val="vi-VN"/>
        </w:rPr>
        <w:t>. (2017).</w:t>
      </w:r>
      <w:r w:rsidRPr="00AD1AC7">
        <w:rPr>
          <w:rFonts w:ascii="Palatino Linotype" w:hAnsi="Palatino Linotype"/>
          <w:color w:val="000000"/>
          <w:sz w:val="20"/>
          <w:szCs w:val="20"/>
          <w:bdr w:val="nil"/>
          <w:lang w:val="en-US"/>
        </w:rPr>
        <w:t xml:space="preserve"> Decision 1255/QD-TTg dated August 21, 2017, Approving the Project on Completing the legal framework for the management and handling of virtual assets, cryptocurrencies, and virtual currencies.</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en-US"/>
        </w:rPr>
        <w:t>The</w:t>
      </w:r>
      <w:r w:rsidRPr="00AD1AC7">
        <w:rPr>
          <w:rFonts w:ascii="Palatino Linotype" w:hAnsi="Palatino Linotype"/>
          <w:color w:val="000000"/>
          <w:sz w:val="20"/>
          <w:szCs w:val="20"/>
          <w:bdr w:val="nil"/>
          <w:lang w:val="vi-VN"/>
        </w:rPr>
        <w:t xml:space="preserve"> </w:t>
      </w:r>
      <w:r w:rsidRPr="00AD1AC7">
        <w:rPr>
          <w:rFonts w:ascii="Palatino Linotype" w:hAnsi="Palatino Linotype"/>
          <w:color w:val="000000"/>
          <w:sz w:val="20"/>
          <w:szCs w:val="20"/>
          <w:bdr w:val="nil"/>
          <w:lang w:val="en-US"/>
        </w:rPr>
        <w:t>Prime Minister</w:t>
      </w:r>
      <w:r w:rsidRPr="00AD1AC7">
        <w:rPr>
          <w:rFonts w:ascii="Palatino Linotype" w:hAnsi="Palatino Linotype"/>
          <w:color w:val="000000"/>
          <w:sz w:val="20"/>
          <w:szCs w:val="20"/>
          <w:bdr w:val="nil"/>
          <w:lang w:val="vi-VN"/>
        </w:rPr>
        <w:t xml:space="preserve">. (2020). </w:t>
      </w:r>
      <w:r w:rsidRPr="00AD1AC7">
        <w:rPr>
          <w:rFonts w:ascii="Palatino Linotype" w:hAnsi="Palatino Linotype"/>
          <w:color w:val="000000"/>
          <w:sz w:val="20"/>
          <w:szCs w:val="20"/>
          <w:bdr w:val="nil"/>
          <w:lang w:val="en-US"/>
        </w:rPr>
        <w:t xml:space="preserve">Decision No. </w:t>
      </w:r>
      <w:r w:rsidRPr="00AD1AC7">
        <w:rPr>
          <w:rFonts w:ascii="Palatino Linotype" w:hAnsi="Palatino Linotype"/>
          <w:color w:val="000000"/>
          <w:sz w:val="20"/>
          <w:szCs w:val="20"/>
          <w:bdr w:val="nil"/>
          <w:shd w:val="clear" w:color="auto" w:fill="FFFFFF"/>
          <w:lang w:val="en-US"/>
        </w:rPr>
        <w:t>74</w:t>
      </w:r>
      <w:r w:rsidRPr="00AD1AC7">
        <w:rPr>
          <w:rFonts w:ascii="Palatino Linotype" w:hAnsi="Palatino Linotype"/>
          <w:color w:val="000000"/>
          <w:sz w:val="20"/>
          <w:szCs w:val="20"/>
          <w:bdr w:val="nil"/>
          <w:lang w:val="en-US"/>
        </w:rPr>
        <w:t>9/QD-TTg dated June 3, 2020, on Approval of the National Digital Transformation Program to 2025, with orientation to 2030.</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vi-VN"/>
        </w:rPr>
      </w:pPr>
      <w:r w:rsidRPr="00AD1AC7">
        <w:rPr>
          <w:rFonts w:ascii="Palatino Linotype" w:hAnsi="Palatino Linotype"/>
          <w:color w:val="000000"/>
          <w:sz w:val="20"/>
          <w:szCs w:val="20"/>
          <w:bdr w:val="nil"/>
          <w:lang w:val="en-US"/>
        </w:rPr>
        <w:t>The</w:t>
      </w:r>
      <w:r w:rsidRPr="00AD1AC7">
        <w:rPr>
          <w:rFonts w:ascii="Palatino Linotype" w:hAnsi="Palatino Linotype"/>
          <w:color w:val="000000"/>
          <w:sz w:val="20"/>
          <w:szCs w:val="20"/>
          <w:bdr w:val="nil"/>
          <w:lang w:val="vi-VN"/>
        </w:rPr>
        <w:t xml:space="preserve"> </w:t>
      </w:r>
      <w:r w:rsidRPr="00AD1AC7">
        <w:rPr>
          <w:rFonts w:ascii="Palatino Linotype" w:hAnsi="Palatino Linotype"/>
          <w:color w:val="000000"/>
          <w:sz w:val="20"/>
          <w:szCs w:val="20"/>
          <w:bdr w:val="nil"/>
          <w:lang w:val="en-US"/>
        </w:rPr>
        <w:t>Prime Minister</w:t>
      </w:r>
      <w:r w:rsidRPr="00AD1AC7">
        <w:rPr>
          <w:rFonts w:ascii="Palatino Linotype" w:hAnsi="Palatino Linotype"/>
          <w:color w:val="000000"/>
          <w:sz w:val="20"/>
          <w:szCs w:val="20"/>
          <w:bdr w:val="nil"/>
          <w:lang w:val="vi-VN"/>
        </w:rPr>
        <w:t>. (2021).</w:t>
      </w:r>
      <w:r w:rsidRPr="00AD1AC7">
        <w:rPr>
          <w:rFonts w:ascii="Palatino Linotype" w:hAnsi="Palatino Linotype"/>
          <w:color w:val="000000"/>
          <w:sz w:val="20"/>
          <w:szCs w:val="20"/>
          <w:bdr w:val="nil"/>
          <w:lang w:val="en-US"/>
        </w:rPr>
        <w:t xml:space="preserve"> Decision No. 1813/QD-TTg dated October 28, 2021, on approving the project of developing non-cash payment in Vietnam for the period of 2021 - 2025.</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vi-VN"/>
        </w:rPr>
        <w:t xml:space="preserve">The </w:t>
      </w:r>
      <w:r w:rsidRPr="00AD1AC7">
        <w:rPr>
          <w:rFonts w:ascii="Palatino Linotype" w:hAnsi="Palatino Linotype"/>
          <w:color w:val="000000"/>
          <w:sz w:val="20"/>
          <w:szCs w:val="20"/>
          <w:bdr w:val="nil"/>
          <w:lang w:val="en-US"/>
        </w:rPr>
        <w:t>Prime Minister</w:t>
      </w:r>
      <w:r w:rsidRPr="00AD1AC7">
        <w:rPr>
          <w:rFonts w:ascii="Palatino Linotype" w:hAnsi="Palatino Linotype"/>
          <w:color w:val="000000"/>
          <w:sz w:val="20"/>
          <w:szCs w:val="20"/>
          <w:bdr w:val="nil"/>
          <w:lang w:val="vi-VN"/>
        </w:rPr>
        <w:t xml:space="preserve">. (2021). </w:t>
      </w:r>
      <w:r w:rsidRPr="00AD1AC7">
        <w:rPr>
          <w:rFonts w:ascii="Palatino Linotype" w:hAnsi="Palatino Linotype"/>
          <w:color w:val="000000"/>
          <w:sz w:val="20"/>
          <w:szCs w:val="20"/>
          <w:bdr w:val="nil"/>
          <w:lang w:val="en-US"/>
        </w:rPr>
        <w:t>Decision No. 942/QD-TTg dated June 15, 2021, Approval of the Strategy for E-Government Development towards Digital Government in the 2021 - 2025 period, orientation to 2030.</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en-US"/>
        </w:rPr>
      </w:pPr>
      <w:r w:rsidRPr="00AD1AC7">
        <w:rPr>
          <w:rFonts w:ascii="Palatino Linotype" w:hAnsi="Palatino Linotype"/>
          <w:color w:val="000000"/>
          <w:sz w:val="20"/>
          <w:szCs w:val="20"/>
          <w:bdr w:val="nil"/>
          <w:lang w:val="vi-VN"/>
        </w:rPr>
        <w:t xml:space="preserve">The </w:t>
      </w:r>
      <w:r w:rsidRPr="00AD1AC7">
        <w:rPr>
          <w:rFonts w:ascii="Palatino Linotype" w:hAnsi="Palatino Linotype"/>
          <w:color w:val="000000"/>
          <w:sz w:val="20"/>
          <w:szCs w:val="20"/>
          <w:bdr w:val="nil"/>
          <w:lang w:val="en-US"/>
        </w:rPr>
        <w:t>State Bank of Vietnam</w:t>
      </w:r>
      <w:r w:rsidRPr="00AD1AC7">
        <w:rPr>
          <w:rFonts w:ascii="Palatino Linotype" w:hAnsi="Palatino Linotype"/>
          <w:color w:val="000000"/>
          <w:sz w:val="20"/>
          <w:szCs w:val="20"/>
          <w:bdr w:val="nil"/>
          <w:lang w:val="vi-VN"/>
        </w:rPr>
        <w:t xml:space="preserve">. (2018). </w:t>
      </w:r>
      <w:r w:rsidRPr="00AD1AC7">
        <w:rPr>
          <w:rFonts w:ascii="Palatino Linotype" w:hAnsi="Palatino Linotype"/>
          <w:color w:val="000000"/>
          <w:sz w:val="20"/>
          <w:szCs w:val="20"/>
          <w:bdr w:val="nil"/>
          <w:lang w:val="en-US"/>
        </w:rPr>
        <w:t>Directive No. 02/CT-NHNN dated April 13, 2018, on measures to strengthen the control of transactions and activities related to virtual currencies.</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bdr w:val="nil"/>
          <w:lang w:val="vi-VN"/>
        </w:rPr>
      </w:pPr>
      <w:r w:rsidRPr="00AD1AC7">
        <w:rPr>
          <w:rFonts w:ascii="Palatino Linotype" w:hAnsi="Palatino Linotype"/>
          <w:color w:val="000000"/>
          <w:sz w:val="20"/>
          <w:szCs w:val="20"/>
          <w:bdr w:val="nil"/>
          <w:lang w:val="vi-VN"/>
        </w:rPr>
        <w:t xml:space="preserve">The </w:t>
      </w:r>
      <w:r w:rsidRPr="00AD1AC7">
        <w:rPr>
          <w:rFonts w:ascii="Palatino Linotype" w:hAnsi="Palatino Linotype"/>
          <w:color w:val="000000"/>
          <w:sz w:val="20"/>
          <w:szCs w:val="20"/>
          <w:bdr w:val="nil"/>
          <w:lang w:val="en-US"/>
        </w:rPr>
        <w:t>State Securities Commission</w:t>
      </w:r>
      <w:r w:rsidRPr="00AD1AC7">
        <w:rPr>
          <w:rFonts w:ascii="Palatino Linotype" w:hAnsi="Palatino Linotype"/>
          <w:color w:val="000000"/>
          <w:sz w:val="20"/>
          <w:szCs w:val="20"/>
          <w:bdr w:val="nil"/>
          <w:lang w:val="vi-VN"/>
        </w:rPr>
        <w:t>. (2018).</w:t>
      </w:r>
      <w:r w:rsidRPr="00AD1AC7">
        <w:rPr>
          <w:rFonts w:ascii="Palatino Linotype" w:hAnsi="Palatino Linotype"/>
          <w:color w:val="000000"/>
          <w:sz w:val="20"/>
          <w:szCs w:val="20"/>
          <w:bdr w:val="nil"/>
          <w:lang w:val="en-US"/>
        </w:rPr>
        <w:t xml:space="preserve"> Document No. 4486/UBCK-GSĐC dated July 20, 2018, on the management of issuance, trading and brokerage activities related to virtual currency.</w:t>
      </w:r>
    </w:p>
    <w:p w:rsidR="00AD1AC7" w:rsidRPr="00AD1AC7" w:rsidRDefault="00AD1AC7" w:rsidP="00AD1AC7">
      <w:pPr>
        <w:pStyle w:val="ListParagraph"/>
        <w:numPr>
          <w:ilvl w:val="0"/>
          <w:numId w:val="5"/>
        </w:numPr>
        <w:spacing w:line="240" w:lineRule="auto"/>
        <w:jc w:val="both"/>
        <w:rPr>
          <w:rFonts w:ascii="Palatino Linotype" w:hAnsi="Palatino Linotype"/>
          <w:color w:val="000000"/>
          <w:sz w:val="20"/>
          <w:szCs w:val="20"/>
          <w:lang w:val="vi-VN"/>
        </w:rPr>
      </w:pPr>
      <w:r w:rsidRPr="00AD1AC7">
        <w:rPr>
          <w:rFonts w:ascii="Palatino Linotype" w:hAnsi="Palatino Linotype"/>
          <w:color w:val="000000"/>
          <w:sz w:val="20"/>
          <w:szCs w:val="20"/>
          <w:bdr w:val="nil"/>
          <w:lang w:val="en-US"/>
        </w:rPr>
        <w:t>Tran</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xml:space="preserve"> </w:t>
      </w:r>
      <w:r w:rsidRPr="00AD1AC7">
        <w:rPr>
          <w:rFonts w:ascii="Palatino Linotype" w:hAnsi="Palatino Linotype"/>
          <w:color w:val="000000"/>
          <w:sz w:val="20"/>
          <w:szCs w:val="20"/>
          <w:bdr w:val="nil"/>
          <w:lang w:val="vi-VN"/>
        </w:rPr>
        <w:t>H.S.</w:t>
      </w:r>
      <w:r w:rsidRPr="00AD1AC7">
        <w:rPr>
          <w:rFonts w:ascii="Palatino Linotype" w:hAnsi="Palatino Linotype"/>
          <w:color w:val="000000"/>
          <w:sz w:val="20"/>
          <w:szCs w:val="20"/>
          <w:bdr w:val="nil"/>
          <w:lang w:val="en-US"/>
        </w:rPr>
        <w:t>, Hoang</w:t>
      </w:r>
      <w:r w:rsidRPr="00AD1AC7">
        <w:rPr>
          <w:rFonts w:ascii="Palatino Linotype" w:hAnsi="Palatino Linotype"/>
          <w:color w:val="000000"/>
          <w:sz w:val="20"/>
          <w:szCs w:val="20"/>
          <w:bdr w:val="nil"/>
          <w:lang w:val="vi-VN"/>
        </w:rPr>
        <w:t>, T.N. (2019). “</w:t>
      </w:r>
      <w:r w:rsidRPr="00AD1AC7">
        <w:rPr>
          <w:rFonts w:ascii="Palatino Linotype" w:hAnsi="Palatino Linotype"/>
          <w:color w:val="000000"/>
          <w:sz w:val="20"/>
          <w:szCs w:val="20"/>
          <w:bdr w:val="nil"/>
          <w:lang w:val="en-US"/>
        </w:rPr>
        <w:t>Central banks and the future of digital currencies</w:t>
      </w:r>
      <w:r w:rsidRPr="00AD1AC7">
        <w:rPr>
          <w:rFonts w:ascii="Palatino Linotype" w:hAnsi="Palatino Linotype"/>
          <w:color w:val="000000"/>
          <w:sz w:val="20"/>
          <w:szCs w:val="20"/>
          <w:bdr w:val="nil"/>
          <w:lang w:val="vi-VN"/>
        </w:rPr>
        <w:t>”</w:t>
      </w:r>
      <w:r w:rsidRPr="00AD1AC7">
        <w:rPr>
          <w:rFonts w:ascii="Palatino Linotype" w:hAnsi="Palatino Linotype"/>
          <w:color w:val="000000"/>
          <w:sz w:val="20"/>
          <w:szCs w:val="20"/>
          <w:bdr w:val="nil"/>
          <w:lang w:val="en-US"/>
        </w:rPr>
        <w:t>, Research NC-02-2019 by the Banking Technology Development Research Institute under the University of Economics and Law under the National University of Ho Chi Minh City. Ho Chi Minh, p.1-5.</w:t>
      </w:r>
    </w:p>
    <w:p w:rsidR="00282B75" w:rsidRPr="002C4E99" w:rsidRDefault="00282B75" w:rsidP="00AD1AC7">
      <w:pPr>
        <w:spacing w:line="240" w:lineRule="auto"/>
        <w:jc w:val="both"/>
        <w:rPr>
          <w:rFonts w:ascii="Palatino Linotype" w:hAnsi="Palatino Linotype" w:cs="Times New Roman"/>
          <w:sz w:val="20"/>
          <w:szCs w:val="20"/>
          <w:lang w:val="en-US"/>
        </w:rPr>
      </w:pPr>
    </w:p>
    <w:sectPr w:rsidR="00282B75" w:rsidRPr="002C4E99" w:rsidSect="00331C83">
      <w:headerReference w:type="even" r:id="rId26"/>
      <w:headerReference w:type="default" r:id="rId27"/>
      <w:footerReference w:type="even" r:id="rId28"/>
      <w:footerReference w:type="default" r:id="rId29"/>
      <w:headerReference w:type="first" r:id="rId30"/>
      <w:footerReference w:type="first" r:id="rId31"/>
      <w:pgSz w:w="9923" w:h="13608" w:code="9"/>
      <w:pgMar w:top="1418" w:right="1418" w:bottom="1418" w:left="1418" w:header="851" w:footer="851" w:gutter="0"/>
      <w:pgNumType w:start="30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6BF" w:rsidRDefault="00C276BF" w:rsidP="00BE06D4">
      <w:pPr>
        <w:spacing w:after="0" w:line="240" w:lineRule="auto"/>
      </w:pPr>
      <w:r>
        <w:separator/>
      </w:r>
    </w:p>
  </w:endnote>
  <w:endnote w:type="continuationSeparator" w:id="0">
    <w:p w:rsidR="00C276BF" w:rsidRDefault="00C276BF" w:rsidP="00BE0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PalatinoLinotype,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Pr="00626756" w:rsidRDefault="002E62AC" w:rsidP="00331C83">
    <w:pPr>
      <w:pStyle w:val="Footer"/>
    </w:pPr>
    <w:r>
      <w:rPr>
        <w:rFonts w:ascii="Arial Narrow" w:hAnsi="Arial Narrow"/>
        <w:sz w:val="16"/>
        <w:szCs w:val="16"/>
      </w:rPr>
      <w:fldChar w:fldCharType="begin"/>
    </w:r>
    <w:r w:rsidR="008315AA">
      <w:rPr>
        <w:rFonts w:ascii="Arial Narrow" w:hAnsi="Arial Narrow"/>
        <w:sz w:val="16"/>
        <w:szCs w:val="16"/>
      </w:rPr>
      <w:instrText xml:space="preserve"> PAGE   \* MERGEFORMAT </w:instrText>
    </w:r>
    <w:r>
      <w:rPr>
        <w:rFonts w:ascii="Arial Narrow" w:hAnsi="Arial Narrow"/>
        <w:sz w:val="16"/>
        <w:szCs w:val="16"/>
      </w:rPr>
      <w:fldChar w:fldCharType="separate"/>
    </w:r>
    <w:r w:rsidR="00F4498A">
      <w:rPr>
        <w:rFonts w:ascii="Arial Narrow" w:hAnsi="Arial Narrow"/>
        <w:noProof/>
        <w:sz w:val="16"/>
        <w:szCs w:val="16"/>
      </w:rPr>
      <w:t>316</w:t>
    </w:r>
    <w:r>
      <w:rPr>
        <w:rFonts w:ascii="Arial Narrow" w:hAnsi="Arial Narrow"/>
        <w:sz w:val="16"/>
        <w:szCs w:val="16"/>
      </w:rPr>
      <w:fldChar w:fldCharType="end"/>
    </w:r>
    <w:r w:rsidR="008315AA">
      <w:rPr>
        <w:rFonts w:ascii="Arial Narrow" w:hAnsi="Arial Narrow"/>
        <w:sz w:val="16"/>
        <w:szCs w:val="16"/>
      </w:rPr>
      <w:t xml:space="preserve"> – JURNAL CITA HUKUM (Indonesian Law Journal). Vol.</w:t>
    </w:r>
    <w:r w:rsidR="001A5D2B">
      <w:rPr>
        <w:rFonts w:ascii="Arial Narrow" w:hAnsi="Arial Narrow"/>
        <w:sz w:val="16"/>
        <w:szCs w:val="16"/>
        <w:lang w:val="en-US"/>
      </w:rPr>
      <w:t xml:space="preserve"> 9</w:t>
    </w:r>
    <w:r w:rsidR="008315AA">
      <w:rPr>
        <w:rFonts w:ascii="Arial Narrow" w:hAnsi="Arial Narrow"/>
        <w:sz w:val="16"/>
        <w:szCs w:val="16"/>
      </w:rPr>
      <w:t xml:space="preserve"> Number</w:t>
    </w:r>
    <w:r w:rsidR="001A5D2B">
      <w:rPr>
        <w:rFonts w:ascii="Arial Narrow" w:hAnsi="Arial Narrow"/>
        <w:sz w:val="16"/>
        <w:szCs w:val="16"/>
        <w:lang w:val="en-US"/>
      </w:rPr>
      <w:t xml:space="preserve"> </w:t>
    </w:r>
    <w:r w:rsidR="00331C83">
      <w:rPr>
        <w:rFonts w:ascii="Arial Narrow" w:hAnsi="Arial Narrow"/>
        <w:sz w:val="16"/>
        <w:szCs w:val="16"/>
        <w:lang w:val="en-US"/>
      </w:rPr>
      <w:t>2</w:t>
    </w:r>
    <w:r w:rsidR="008315AA">
      <w:rPr>
        <w:rFonts w:ascii="Arial Narrow" w:hAnsi="Arial Narrow"/>
        <w:sz w:val="16"/>
        <w:szCs w:val="16"/>
      </w:rPr>
      <w:t xml:space="preserve"> (202</w:t>
    </w:r>
    <w:r w:rsidR="001A5D2B">
      <w:rPr>
        <w:rFonts w:ascii="Arial Narrow" w:hAnsi="Arial Narrow"/>
        <w:sz w:val="16"/>
        <w:szCs w:val="16"/>
        <w:lang w:val="en-US"/>
      </w:rPr>
      <w:t>1</w:t>
    </w:r>
    <w:r w:rsidR="008315AA">
      <w:rPr>
        <w:rFonts w:ascii="Arial Narrow" w:hAnsi="Arial Narrow"/>
        <w:sz w:val="16"/>
        <w:szCs w:val="16"/>
      </w:rPr>
      <w:t>). P-ISSN: 2356-1440.E-ISSN: 2502-230X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Pr="00626756" w:rsidRDefault="008315AA" w:rsidP="00626756">
    <w:pPr>
      <w:pStyle w:val="Footer"/>
      <w:jc w:val="right"/>
    </w:pPr>
    <w:r>
      <w:rPr>
        <w:rFonts w:ascii="Arial Narrow" w:hAnsi="Arial Narrow"/>
        <w:sz w:val="16"/>
        <w:szCs w:val="16"/>
      </w:rPr>
      <w:t xml:space="preserve">FSH UIN Syarif Hidayatullah Jakarta In Association with Poskolegnas UIN Jakarta - </w:t>
    </w:r>
    <w:r w:rsidR="002E62AC">
      <w:rPr>
        <w:rFonts w:ascii="Arial Narrow" w:hAnsi="Arial Narrow"/>
        <w:sz w:val="16"/>
        <w:szCs w:val="16"/>
      </w:rPr>
      <w:fldChar w:fldCharType="begin"/>
    </w:r>
    <w:r>
      <w:rPr>
        <w:rFonts w:ascii="Arial Narrow" w:hAnsi="Arial Narrow"/>
        <w:sz w:val="16"/>
        <w:szCs w:val="16"/>
      </w:rPr>
      <w:instrText xml:space="preserve"> PAGE   \* MERGEFORMAT </w:instrText>
    </w:r>
    <w:r w:rsidR="002E62AC">
      <w:rPr>
        <w:rFonts w:ascii="Arial Narrow" w:hAnsi="Arial Narrow"/>
        <w:sz w:val="16"/>
        <w:szCs w:val="16"/>
      </w:rPr>
      <w:fldChar w:fldCharType="separate"/>
    </w:r>
    <w:r w:rsidR="00F4498A">
      <w:rPr>
        <w:rFonts w:ascii="Arial Narrow" w:hAnsi="Arial Narrow"/>
        <w:noProof/>
        <w:sz w:val="16"/>
        <w:szCs w:val="16"/>
      </w:rPr>
      <w:t>317</w:t>
    </w:r>
    <w:r w:rsidR="002E62AC">
      <w:rPr>
        <w:rFonts w:ascii="Arial Narrow" w:hAnsi="Arial Narrow"/>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Default="002E62AC" w:rsidP="00626756">
    <w:pPr>
      <w:pStyle w:val="Footer"/>
      <w:jc w:val="center"/>
    </w:pPr>
    <w:r>
      <w:rPr>
        <w:b/>
        <w:bCs/>
      </w:rPr>
      <w:fldChar w:fldCharType="begin"/>
    </w:r>
    <w:r w:rsidR="008315AA">
      <w:rPr>
        <w:b/>
        <w:bCs/>
      </w:rPr>
      <w:instrText xml:space="preserve"> PAGE   \* MERGEFORMAT </w:instrText>
    </w:r>
    <w:r>
      <w:rPr>
        <w:b/>
        <w:bCs/>
      </w:rPr>
      <w:fldChar w:fldCharType="separate"/>
    </w:r>
    <w:r w:rsidR="00F4498A">
      <w:rPr>
        <w:b/>
        <w:bCs/>
        <w:noProof/>
      </w:rPr>
      <w:t>301</w:t>
    </w:r>
    <w:r>
      <w:rPr>
        <w:b/>
        <w:bCs/>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6BF" w:rsidRDefault="00C276BF" w:rsidP="00BE06D4">
      <w:pPr>
        <w:spacing w:after="0" w:line="240" w:lineRule="auto"/>
      </w:pPr>
      <w:r>
        <w:separator/>
      </w:r>
    </w:p>
  </w:footnote>
  <w:footnote w:type="continuationSeparator" w:id="0">
    <w:p w:rsidR="00C276BF" w:rsidRDefault="00C276BF" w:rsidP="00BE06D4">
      <w:pPr>
        <w:spacing w:after="0" w:line="240" w:lineRule="auto"/>
      </w:pPr>
      <w:r>
        <w:continuationSeparator/>
      </w:r>
    </w:p>
  </w:footnote>
  <w:footnote w:id="1">
    <w:p w:rsidR="00800CCD" w:rsidRPr="00AD1AC7" w:rsidRDefault="00800CCD" w:rsidP="00AD1AC7">
      <w:pPr>
        <w:spacing w:after="0" w:line="240" w:lineRule="auto"/>
        <w:rPr>
          <w:rFonts w:ascii="Arial Narrow" w:hAnsi="Arial Narrow" w:cstheme="majorBidi"/>
          <w:sz w:val="16"/>
          <w:szCs w:val="16"/>
          <w:lang w:val="en-US" w:bidi="fa-IR"/>
        </w:rPr>
      </w:pPr>
      <w:r w:rsidRPr="00AD1AC7">
        <w:rPr>
          <w:rStyle w:val="FootnoteReference"/>
          <w:rFonts w:ascii="Arial Narrow" w:hAnsi="Arial Narrow"/>
          <w:sz w:val="16"/>
          <w:szCs w:val="16"/>
        </w:rPr>
        <w:footnoteRef/>
      </w:r>
      <w:r w:rsidRPr="00AD1AC7">
        <w:rPr>
          <w:rFonts w:ascii="Arial Narrow" w:hAnsi="Arial Narrow"/>
          <w:sz w:val="16"/>
          <w:szCs w:val="16"/>
        </w:rPr>
        <w:t xml:space="preserve"> </w:t>
      </w:r>
      <w:r w:rsidR="00AD1AC7" w:rsidRPr="00AD1AC7">
        <w:rPr>
          <w:rFonts w:ascii="Arial Narrow" w:hAnsi="Arial Narrow"/>
          <w:color w:val="000000"/>
          <w:sz w:val="16"/>
          <w:szCs w:val="16"/>
          <w:lang w:val="vi-VN"/>
        </w:rPr>
        <w:t>PhD</w:t>
      </w:r>
      <w:r w:rsidR="00AD1AC7" w:rsidRPr="00AD1AC7">
        <w:rPr>
          <w:rFonts w:ascii="Arial Narrow" w:hAnsi="Arial Narrow"/>
          <w:color w:val="000000"/>
          <w:sz w:val="16"/>
          <w:szCs w:val="16"/>
          <w:lang w:val="en-US"/>
        </w:rPr>
        <w:t>,</w:t>
      </w:r>
      <w:r w:rsidR="00AD1AC7" w:rsidRPr="00AD1AC7">
        <w:rPr>
          <w:rFonts w:ascii="Arial Narrow" w:hAnsi="Arial Narrow"/>
          <w:b/>
          <w:bCs/>
          <w:color w:val="000000"/>
          <w:sz w:val="16"/>
          <w:szCs w:val="16"/>
          <w:lang w:val="vi-VN"/>
        </w:rPr>
        <w:t xml:space="preserve"> </w:t>
      </w:r>
      <w:r w:rsidR="00AD1AC7" w:rsidRPr="00AD1AC7">
        <w:rPr>
          <w:rFonts w:ascii="Arial Narrow" w:hAnsi="Arial Narrow"/>
          <w:color w:val="000000"/>
          <w:sz w:val="16"/>
          <w:szCs w:val="16"/>
          <w:lang w:val="vi-VN"/>
        </w:rPr>
        <w:t xml:space="preserve">Faculty of Economic Law, Banking University Ho Chi Minh City, Vietnam; </w:t>
      </w:r>
      <w:hyperlink r:id="rId1" w:history="1">
        <w:r w:rsidR="00AD1AC7" w:rsidRPr="00AD1AC7">
          <w:rPr>
            <w:rStyle w:val="Hyperlink"/>
            <w:rFonts w:ascii="Arial Narrow" w:hAnsi="Arial Narrow"/>
            <w:sz w:val="16"/>
            <w:szCs w:val="16"/>
            <w:lang w:val="vi-VN"/>
          </w:rPr>
          <w:t>https://orcid.org/0000-0001-9218-473X</w:t>
        </w:r>
      </w:hyperlink>
      <w:r w:rsidR="00AD1AC7" w:rsidRPr="00AD1AC7">
        <w:rPr>
          <w:rFonts w:ascii="Arial Narrow" w:hAnsi="Arial Narrow"/>
          <w:color w:val="000000"/>
          <w:sz w:val="16"/>
          <w:szCs w:val="16"/>
          <w:lang w:val="vi-VN"/>
        </w:rPr>
        <w:t xml:space="preserve">; E-mail: </w:t>
      </w:r>
      <w:hyperlink r:id="rId2" w:history="1">
        <w:r w:rsidR="00AD1AC7" w:rsidRPr="00AD1AC7">
          <w:rPr>
            <w:rStyle w:val="Hyperlink"/>
            <w:rFonts w:ascii="Arial Narrow" w:hAnsi="Arial Narrow"/>
            <w:color w:val="000000"/>
            <w:sz w:val="16"/>
            <w:szCs w:val="16"/>
            <w:lang w:val="vi-VN"/>
          </w:rPr>
          <w:t>giangvt@buh.edu.vn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Pr="00AD1AC7" w:rsidRDefault="00AD1AC7" w:rsidP="00CB1D09">
    <w:pPr>
      <w:pStyle w:val="Header"/>
      <w:rPr>
        <w:sz w:val="14"/>
        <w:szCs w:val="14"/>
      </w:rPr>
    </w:pPr>
    <w:r w:rsidRPr="00AD1AC7">
      <w:rPr>
        <w:rFonts w:ascii="Palatino Linotype" w:hAnsi="Palatino Linotype"/>
        <w:b/>
        <w:bCs/>
        <w:color w:val="000000"/>
        <w:sz w:val="14"/>
        <w:szCs w:val="14"/>
        <w:lang w:val="vi-VN"/>
      </w:rPr>
      <w:t>Vien The Giang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AC7" w:rsidRPr="00AD1AC7" w:rsidRDefault="00AD1AC7" w:rsidP="00AD1AC7">
    <w:pPr>
      <w:jc w:val="right"/>
      <w:rPr>
        <w:rFonts w:ascii="Baskerville Old Face" w:hAnsi="Baskerville Old Face"/>
        <w:color w:val="000000"/>
        <w:sz w:val="16"/>
        <w:szCs w:val="16"/>
        <w:lang w:val="vi-VN"/>
      </w:rPr>
    </w:pPr>
    <w:r w:rsidRPr="00AD1AC7">
      <w:rPr>
        <w:rFonts w:ascii="Baskerville Old Face" w:hAnsi="Baskerville Old Face"/>
        <w:color w:val="000000"/>
        <w:sz w:val="16"/>
        <w:szCs w:val="16"/>
        <w:bdr w:val="nil"/>
        <w:lang w:val="en-US"/>
      </w:rPr>
      <w:t>National digital currency issuance under Vietnamese law</w:t>
    </w:r>
  </w:p>
  <w:p w:rsidR="008315AA" w:rsidRPr="008476AA" w:rsidRDefault="008315AA" w:rsidP="00626756">
    <w:pPr>
      <w:pStyle w:val="Header"/>
      <w:jc w:val="right"/>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Pr="00492919" w:rsidRDefault="002E62AC" w:rsidP="000B3E34">
    <w:pPr>
      <w:pStyle w:val="Header"/>
      <w:spacing w:after="120"/>
      <w:ind w:left="1560"/>
      <w:rPr>
        <w:rFonts w:ascii="Arial Narrow" w:hAnsi="Arial Narrow"/>
        <w:b/>
        <w:bCs/>
        <w:color w:val="C00000"/>
        <w:sz w:val="18"/>
        <w:szCs w:val="18"/>
      </w:rPr>
    </w:pPr>
    <w:r w:rsidRPr="002E62AC">
      <w:rPr>
        <w:noProof/>
      </w:rPr>
      <w:pict>
        <v:line id="Straight Connector 3" o:spid="_x0000_s2050" style="position:absolute;left:0;text-align:left;z-index:251667456;visibility:visible;mso-width-relative:margin;mso-height-relative:margin" from="79.55pt,15.15pt" to="287.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" strokecolor="#c00000" strokeweight="1.75pt"/>
      </w:pict>
    </w:r>
    <w:r w:rsidR="008315AA" w:rsidRPr="00A30998">
      <w:rPr>
        <w:b/>
        <w:bCs/>
        <w:noProof/>
        <w:color w:val="C00000"/>
        <w:sz w:val="28"/>
        <w:szCs w:val="28"/>
        <w:lang w:val="en-US"/>
      </w:rPr>
      <w:drawing>
        <wp:anchor distT="0" distB="0" distL="114300" distR="114300" simplePos="0" relativeHeight="251662336" behindDoc="1" locked="0" layoutInCell="1" allowOverlap="1">
          <wp:simplePos x="0" y="0"/>
          <wp:positionH relativeFrom="column">
            <wp:posOffset>29210</wp:posOffset>
          </wp:positionH>
          <wp:positionV relativeFrom="paragraph">
            <wp:posOffset>-188595</wp:posOffset>
          </wp:positionV>
          <wp:extent cx="902970" cy="832485"/>
          <wp:effectExtent l="0" t="0" r="0" b="5715"/>
          <wp:wrapTight wrapText="bothSides">
            <wp:wrapPolygon edited="0">
              <wp:start x="0" y="0"/>
              <wp:lineTo x="0" y="21254"/>
              <wp:lineTo x="20962" y="21254"/>
              <wp:lineTo x="20962" y="0"/>
              <wp:lineTo x="0" y="0"/>
            </wp:wrapPolygon>
          </wp:wrapTight>
          <wp:docPr id="2" name="Picture 2" descr="http://journal.uinjkt.ac.id/public/journals/52/pag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journal.uinjkt.ac.id/public/journals/52/pageHeaderTitleImage_en_US.jpg"/>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46" t="2233" r="88222" b="37061"/>
                  <a:stretch/>
                </pic:blipFill>
                <pic:spPr bwMode="auto">
                  <a:xfrm>
                    <a:off x="0" y="0"/>
                    <a:ext cx="902970" cy="832485"/>
                  </a:xfrm>
                  <a:prstGeom prst="rect">
                    <a:avLst/>
                  </a:prstGeom>
                  <a:noFill/>
                </pic:spPr>
              </pic:pic>
            </a:graphicData>
          </a:graphic>
        </wp:anchor>
      </w:drawing>
    </w:r>
    <w:r w:rsidR="008315AA" w:rsidRPr="00A30998">
      <w:rPr>
        <w:rFonts w:ascii="Arial Narrow" w:hAnsi="Arial Narrow"/>
        <w:b/>
        <w:bCs/>
        <w:color w:val="C00000"/>
      </w:rPr>
      <w:t>JURNAL CITA HUKUM (Indonesian Law Journal)</w:t>
    </w:r>
  </w:p>
  <w:p w:rsidR="008315AA" w:rsidRPr="00C81115" w:rsidRDefault="008315AA" w:rsidP="000B3E34">
    <w:pPr>
      <w:pStyle w:val="Header"/>
      <w:ind w:left="1560"/>
      <w:rPr>
        <w:rFonts w:ascii="Arial Narrow" w:hAnsi="Arial Narrow"/>
        <w:b/>
        <w:bCs/>
        <w:color w:val="C00000"/>
        <w:sz w:val="18"/>
        <w:szCs w:val="18"/>
      </w:rPr>
    </w:pPr>
    <w:r w:rsidRPr="00C81115">
      <w:rPr>
        <w:rFonts w:ascii="Arial Narrow" w:hAnsi="Arial Narrow"/>
        <w:b/>
        <w:bCs/>
        <w:color w:val="C00000"/>
        <w:sz w:val="18"/>
        <w:szCs w:val="18"/>
      </w:rPr>
      <w:t xml:space="preserve">FSH UIN Syarif Hidayatullah Jakarta </w:t>
    </w:r>
  </w:p>
  <w:p w:rsidR="008315AA" w:rsidRPr="00C81115" w:rsidRDefault="008315AA" w:rsidP="00331C83">
    <w:pPr>
      <w:pStyle w:val="Header"/>
      <w:ind w:left="1560"/>
      <w:rPr>
        <w:b/>
        <w:bCs/>
        <w:color w:val="C00000"/>
      </w:rPr>
    </w:pPr>
    <w:r w:rsidRPr="00C81115">
      <w:rPr>
        <w:rFonts w:ascii="Arial Narrow" w:hAnsi="Arial Narrow"/>
        <w:b/>
        <w:bCs/>
        <w:color w:val="C00000"/>
        <w:sz w:val="18"/>
        <w:szCs w:val="18"/>
      </w:rPr>
      <w:t xml:space="preserve">Vol. </w:t>
    </w:r>
    <w:r w:rsidR="00331C83">
      <w:rPr>
        <w:rFonts w:ascii="Arial Narrow" w:hAnsi="Arial Narrow"/>
        <w:b/>
        <w:bCs/>
        <w:color w:val="C00000"/>
        <w:sz w:val="18"/>
        <w:szCs w:val="18"/>
        <w:lang w:val="en-US"/>
      </w:rPr>
      <w:t xml:space="preserve">9 </w:t>
    </w:r>
    <w:r w:rsidRPr="00C81115">
      <w:rPr>
        <w:rFonts w:ascii="Arial Narrow" w:hAnsi="Arial Narrow"/>
        <w:b/>
        <w:bCs/>
        <w:color w:val="C00000"/>
        <w:sz w:val="18"/>
        <w:szCs w:val="18"/>
      </w:rPr>
      <w:t xml:space="preserve">No. </w:t>
    </w:r>
    <w:r w:rsidR="00331C83">
      <w:rPr>
        <w:rFonts w:ascii="Arial Narrow" w:hAnsi="Arial Narrow"/>
        <w:b/>
        <w:bCs/>
        <w:color w:val="C00000"/>
        <w:sz w:val="18"/>
        <w:szCs w:val="18"/>
        <w:lang w:val="en-US"/>
      </w:rPr>
      <w:t>3</w:t>
    </w:r>
    <w:r w:rsidRPr="00C81115">
      <w:rPr>
        <w:rFonts w:ascii="Arial Narrow" w:hAnsi="Arial Narrow"/>
        <w:b/>
        <w:bCs/>
        <w:color w:val="C00000"/>
        <w:sz w:val="18"/>
        <w:szCs w:val="18"/>
      </w:rPr>
      <w:t xml:space="preserve"> (202</w:t>
    </w:r>
    <w:r w:rsidR="00800CCD">
      <w:rPr>
        <w:rFonts w:ascii="Arial Narrow" w:hAnsi="Arial Narrow"/>
        <w:b/>
        <w:bCs/>
        <w:color w:val="C00000"/>
        <w:sz w:val="18"/>
        <w:szCs w:val="18"/>
        <w:lang w:val="en-US"/>
      </w:rPr>
      <w:t>1</w:t>
    </w:r>
    <w:r w:rsidRPr="00C81115">
      <w:rPr>
        <w:rFonts w:ascii="Arial Narrow" w:hAnsi="Arial Narrow"/>
        <w:b/>
        <w:bCs/>
        <w:color w:val="C00000"/>
        <w:sz w:val="18"/>
        <w:szCs w:val="18"/>
      </w:rPr>
      <w:t>), pp.</w:t>
    </w:r>
    <w:r w:rsidRPr="00D4692A">
      <w:rPr>
        <w:rFonts w:ascii="Arial Narrow" w:hAnsi="Arial Narrow"/>
        <w:b/>
        <w:bCs/>
        <w:color w:val="C00000"/>
        <w:sz w:val="18"/>
        <w:szCs w:val="18"/>
      </w:rPr>
      <w:t xml:space="preserve"> </w:t>
    </w:r>
    <w:r w:rsidR="00331C83">
      <w:rPr>
        <w:rFonts w:ascii="Arial Narrow" w:hAnsi="Arial Narrow"/>
        <w:b/>
        <w:bCs/>
        <w:color w:val="C00000"/>
        <w:sz w:val="18"/>
        <w:szCs w:val="18"/>
        <w:lang w:val="en-US"/>
      </w:rPr>
      <w:t>301-321</w:t>
    </w:r>
    <w:r w:rsidRPr="00C81115">
      <w:rPr>
        <w:rFonts w:ascii="Arial Narrow" w:hAnsi="Arial Narrow"/>
        <w:b/>
        <w:bCs/>
        <w:color w:val="C00000"/>
        <w:sz w:val="18"/>
        <w:szCs w:val="18"/>
      </w:rPr>
      <w:t>, DOI:</w:t>
    </w:r>
    <w:r w:rsidRPr="00C81115">
      <w:rPr>
        <w:rStyle w:val="Strong"/>
        <w:rFonts w:ascii="Arial Narrow" w:hAnsi="Arial Narrow"/>
        <w:color w:val="C00000"/>
        <w:sz w:val="18"/>
        <w:szCs w:val="18"/>
      </w:rPr>
      <w:t xml:space="preserve"> </w:t>
    </w:r>
    <w:hyperlink r:id="rId2" w:history="1">
      <w:r w:rsidR="00331C83" w:rsidRPr="00331C83">
        <w:rPr>
          <w:rStyle w:val="Hyperlink"/>
          <w:rFonts w:ascii="Arial Narrow" w:hAnsi="Arial Narrow"/>
          <w:b/>
          <w:bCs/>
          <w:color w:val="C00000"/>
          <w:sz w:val="18"/>
          <w:szCs w:val="18"/>
        </w:rPr>
        <w:t>10.15408/jch.v9i2.20739</w:t>
      </w:r>
    </w:hyperlink>
  </w:p>
  <w:p w:rsidR="008315AA" w:rsidRDefault="008315AA" w:rsidP="000B3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11350"/>
    <w:multiLevelType w:val="hybridMultilevel"/>
    <w:tmpl w:val="18582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662D35"/>
    <w:multiLevelType w:val="hybridMultilevel"/>
    <w:tmpl w:val="F0C44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0855CDB"/>
    <w:multiLevelType w:val="hybridMultilevel"/>
    <w:tmpl w:val="1EA8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775AAC"/>
    <w:multiLevelType w:val="hybridMultilevel"/>
    <w:tmpl w:val="6DE2E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BC6DDB"/>
    <w:multiLevelType w:val="hybridMultilevel"/>
    <w:tmpl w:val="9C7A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evenAndOddHeaders/>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TAwN7M0Mja2MDA2MDZW0lEKTi0uzszPAykwqgUAI6mI+CwAAAA="/>
  </w:docVars>
  <w:rsids>
    <w:rsidRoot w:val="000F6E90"/>
    <w:rsid w:val="000053C5"/>
    <w:rsid w:val="000058BA"/>
    <w:rsid w:val="000110E0"/>
    <w:rsid w:val="000116CF"/>
    <w:rsid w:val="00022838"/>
    <w:rsid w:val="0003008A"/>
    <w:rsid w:val="00041581"/>
    <w:rsid w:val="00042526"/>
    <w:rsid w:val="00046D0E"/>
    <w:rsid w:val="000625BC"/>
    <w:rsid w:val="00064AA7"/>
    <w:rsid w:val="00071BBA"/>
    <w:rsid w:val="000763F9"/>
    <w:rsid w:val="00094E8B"/>
    <w:rsid w:val="000952E7"/>
    <w:rsid w:val="000A23FF"/>
    <w:rsid w:val="000A2668"/>
    <w:rsid w:val="000B3E34"/>
    <w:rsid w:val="000C5135"/>
    <w:rsid w:val="000C5769"/>
    <w:rsid w:val="000C7FB8"/>
    <w:rsid w:val="000E21AA"/>
    <w:rsid w:val="000E34ED"/>
    <w:rsid w:val="000E7B43"/>
    <w:rsid w:val="000F313F"/>
    <w:rsid w:val="000F6E90"/>
    <w:rsid w:val="000F7D1E"/>
    <w:rsid w:val="00100586"/>
    <w:rsid w:val="001140C2"/>
    <w:rsid w:val="001171F1"/>
    <w:rsid w:val="001174A2"/>
    <w:rsid w:val="00125AAC"/>
    <w:rsid w:val="0013006E"/>
    <w:rsid w:val="001437C3"/>
    <w:rsid w:val="00151E0C"/>
    <w:rsid w:val="0015472F"/>
    <w:rsid w:val="001549D2"/>
    <w:rsid w:val="00184BDE"/>
    <w:rsid w:val="00185760"/>
    <w:rsid w:val="0019543A"/>
    <w:rsid w:val="001A3553"/>
    <w:rsid w:val="001A5D2B"/>
    <w:rsid w:val="001B3FB6"/>
    <w:rsid w:val="001B61B8"/>
    <w:rsid w:val="001C6749"/>
    <w:rsid w:val="001C674D"/>
    <w:rsid w:val="001C75CE"/>
    <w:rsid w:val="001D74C8"/>
    <w:rsid w:val="001F4CCA"/>
    <w:rsid w:val="0020647C"/>
    <w:rsid w:val="00220C31"/>
    <w:rsid w:val="002222C1"/>
    <w:rsid w:val="002239FC"/>
    <w:rsid w:val="00252428"/>
    <w:rsid w:val="002537BB"/>
    <w:rsid w:val="00262A4C"/>
    <w:rsid w:val="00265D19"/>
    <w:rsid w:val="0026664A"/>
    <w:rsid w:val="00282B75"/>
    <w:rsid w:val="002877E1"/>
    <w:rsid w:val="00290956"/>
    <w:rsid w:val="00291BE1"/>
    <w:rsid w:val="00294D43"/>
    <w:rsid w:val="002A6DCB"/>
    <w:rsid w:val="002C4E99"/>
    <w:rsid w:val="002D17F2"/>
    <w:rsid w:val="002E2537"/>
    <w:rsid w:val="002E62AC"/>
    <w:rsid w:val="002F49BE"/>
    <w:rsid w:val="00302E95"/>
    <w:rsid w:val="003304CF"/>
    <w:rsid w:val="00331C83"/>
    <w:rsid w:val="0034015F"/>
    <w:rsid w:val="00344C1C"/>
    <w:rsid w:val="00360864"/>
    <w:rsid w:val="003838A8"/>
    <w:rsid w:val="003922DC"/>
    <w:rsid w:val="00392625"/>
    <w:rsid w:val="003B0FD2"/>
    <w:rsid w:val="003B5442"/>
    <w:rsid w:val="003C6592"/>
    <w:rsid w:val="003D2298"/>
    <w:rsid w:val="003D2EEB"/>
    <w:rsid w:val="003F4D23"/>
    <w:rsid w:val="00400F6D"/>
    <w:rsid w:val="00401B29"/>
    <w:rsid w:val="0040230C"/>
    <w:rsid w:val="00416A31"/>
    <w:rsid w:val="00421A6F"/>
    <w:rsid w:val="00431A5F"/>
    <w:rsid w:val="00433548"/>
    <w:rsid w:val="00434569"/>
    <w:rsid w:val="004523D1"/>
    <w:rsid w:val="00466A51"/>
    <w:rsid w:val="00474F35"/>
    <w:rsid w:val="004773BC"/>
    <w:rsid w:val="00484194"/>
    <w:rsid w:val="0049010E"/>
    <w:rsid w:val="004B6504"/>
    <w:rsid w:val="004B6BC2"/>
    <w:rsid w:val="004B6C9C"/>
    <w:rsid w:val="004C7843"/>
    <w:rsid w:val="004D53A7"/>
    <w:rsid w:val="004D550C"/>
    <w:rsid w:val="004F0504"/>
    <w:rsid w:val="004F0FFC"/>
    <w:rsid w:val="004F5CD5"/>
    <w:rsid w:val="005003F3"/>
    <w:rsid w:val="005028A9"/>
    <w:rsid w:val="0050564E"/>
    <w:rsid w:val="00512A94"/>
    <w:rsid w:val="00517990"/>
    <w:rsid w:val="00534689"/>
    <w:rsid w:val="0054672D"/>
    <w:rsid w:val="00555C2C"/>
    <w:rsid w:val="00562412"/>
    <w:rsid w:val="00563142"/>
    <w:rsid w:val="005649E1"/>
    <w:rsid w:val="00567015"/>
    <w:rsid w:val="00574F74"/>
    <w:rsid w:val="0058236F"/>
    <w:rsid w:val="00594F92"/>
    <w:rsid w:val="005A05E4"/>
    <w:rsid w:val="005A3DB7"/>
    <w:rsid w:val="005B3362"/>
    <w:rsid w:val="005B7AC1"/>
    <w:rsid w:val="005C090A"/>
    <w:rsid w:val="005D28F2"/>
    <w:rsid w:val="005D351F"/>
    <w:rsid w:val="005E4DB9"/>
    <w:rsid w:val="00605469"/>
    <w:rsid w:val="006123FC"/>
    <w:rsid w:val="00616D6B"/>
    <w:rsid w:val="00626756"/>
    <w:rsid w:val="0063076B"/>
    <w:rsid w:val="00642779"/>
    <w:rsid w:val="00660E04"/>
    <w:rsid w:val="00671004"/>
    <w:rsid w:val="006721F8"/>
    <w:rsid w:val="00672715"/>
    <w:rsid w:val="006863DD"/>
    <w:rsid w:val="006A1B8F"/>
    <w:rsid w:val="006A6281"/>
    <w:rsid w:val="006A7878"/>
    <w:rsid w:val="006B0A5F"/>
    <w:rsid w:val="006B35BE"/>
    <w:rsid w:val="006B3AAE"/>
    <w:rsid w:val="006C15C5"/>
    <w:rsid w:val="006C4593"/>
    <w:rsid w:val="006E0453"/>
    <w:rsid w:val="006E186B"/>
    <w:rsid w:val="006E22BC"/>
    <w:rsid w:val="0071281C"/>
    <w:rsid w:val="00723A84"/>
    <w:rsid w:val="00724D02"/>
    <w:rsid w:val="00753D41"/>
    <w:rsid w:val="00754294"/>
    <w:rsid w:val="007624E5"/>
    <w:rsid w:val="00771143"/>
    <w:rsid w:val="00776EF9"/>
    <w:rsid w:val="00784612"/>
    <w:rsid w:val="007A5CD0"/>
    <w:rsid w:val="007B094F"/>
    <w:rsid w:val="007C5656"/>
    <w:rsid w:val="007C5E7C"/>
    <w:rsid w:val="007D4F56"/>
    <w:rsid w:val="007E2CCA"/>
    <w:rsid w:val="007E4013"/>
    <w:rsid w:val="007E4906"/>
    <w:rsid w:val="00800CCD"/>
    <w:rsid w:val="008014DE"/>
    <w:rsid w:val="00810E86"/>
    <w:rsid w:val="0081167F"/>
    <w:rsid w:val="008143EB"/>
    <w:rsid w:val="0081555D"/>
    <w:rsid w:val="008315AA"/>
    <w:rsid w:val="00834713"/>
    <w:rsid w:val="008457DD"/>
    <w:rsid w:val="00846F70"/>
    <w:rsid w:val="00847462"/>
    <w:rsid w:val="008476AA"/>
    <w:rsid w:val="008559F1"/>
    <w:rsid w:val="00860287"/>
    <w:rsid w:val="00862015"/>
    <w:rsid w:val="00870B88"/>
    <w:rsid w:val="008714E6"/>
    <w:rsid w:val="00891F22"/>
    <w:rsid w:val="008B38CA"/>
    <w:rsid w:val="008B46D8"/>
    <w:rsid w:val="008B4D04"/>
    <w:rsid w:val="008B53E7"/>
    <w:rsid w:val="008B57A9"/>
    <w:rsid w:val="008C5E26"/>
    <w:rsid w:val="008D24EB"/>
    <w:rsid w:val="008D3760"/>
    <w:rsid w:val="008E171D"/>
    <w:rsid w:val="008F04ED"/>
    <w:rsid w:val="008F1CEC"/>
    <w:rsid w:val="008F4E52"/>
    <w:rsid w:val="009005EC"/>
    <w:rsid w:val="00900E62"/>
    <w:rsid w:val="00904BBF"/>
    <w:rsid w:val="00913D88"/>
    <w:rsid w:val="00914595"/>
    <w:rsid w:val="00914A7B"/>
    <w:rsid w:val="00915CBC"/>
    <w:rsid w:val="00944D1B"/>
    <w:rsid w:val="009519D2"/>
    <w:rsid w:val="0095368A"/>
    <w:rsid w:val="0095372E"/>
    <w:rsid w:val="009537E0"/>
    <w:rsid w:val="00955AA6"/>
    <w:rsid w:val="00960034"/>
    <w:rsid w:val="0096541B"/>
    <w:rsid w:val="00966F90"/>
    <w:rsid w:val="00971272"/>
    <w:rsid w:val="00977707"/>
    <w:rsid w:val="00983231"/>
    <w:rsid w:val="00984C4F"/>
    <w:rsid w:val="00994774"/>
    <w:rsid w:val="009B0ABD"/>
    <w:rsid w:val="009B2A53"/>
    <w:rsid w:val="009B4498"/>
    <w:rsid w:val="009C07C5"/>
    <w:rsid w:val="009C104E"/>
    <w:rsid w:val="009E7229"/>
    <w:rsid w:val="009F2E69"/>
    <w:rsid w:val="009F4225"/>
    <w:rsid w:val="00A156A5"/>
    <w:rsid w:val="00A20F4D"/>
    <w:rsid w:val="00A21B5C"/>
    <w:rsid w:val="00A255F8"/>
    <w:rsid w:val="00A33E19"/>
    <w:rsid w:val="00A36D06"/>
    <w:rsid w:val="00A41B7A"/>
    <w:rsid w:val="00A60C12"/>
    <w:rsid w:val="00A666DC"/>
    <w:rsid w:val="00A703A7"/>
    <w:rsid w:val="00A84089"/>
    <w:rsid w:val="00A8725B"/>
    <w:rsid w:val="00A915C0"/>
    <w:rsid w:val="00AA0804"/>
    <w:rsid w:val="00AA42F3"/>
    <w:rsid w:val="00AA7DC3"/>
    <w:rsid w:val="00AB36C0"/>
    <w:rsid w:val="00AB3AF8"/>
    <w:rsid w:val="00AD1AC7"/>
    <w:rsid w:val="00AD2634"/>
    <w:rsid w:val="00AF4605"/>
    <w:rsid w:val="00B02EC4"/>
    <w:rsid w:val="00B03E5F"/>
    <w:rsid w:val="00B11574"/>
    <w:rsid w:val="00B55FCF"/>
    <w:rsid w:val="00B56229"/>
    <w:rsid w:val="00B64E47"/>
    <w:rsid w:val="00B65C28"/>
    <w:rsid w:val="00B70B7E"/>
    <w:rsid w:val="00B753A1"/>
    <w:rsid w:val="00B75B2D"/>
    <w:rsid w:val="00B8435B"/>
    <w:rsid w:val="00B97BDB"/>
    <w:rsid w:val="00BA0AA2"/>
    <w:rsid w:val="00BA6469"/>
    <w:rsid w:val="00BA6FD5"/>
    <w:rsid w:val="00BB6536"/>
    <w:rsid w:val="00BB6DA5"/>
    <w:rsid w:val="00BD1F59"/>
    <w:rsid w:val="00BE06D4"/>
    <w:rsid w:val="00BE2BA4"/>
    <w:rsid w:val="00BE430F"/>
    <w:rsid w:val="00BE4DB1"/>
    <w:rsid w:val="00C00496"/>
    <w:rsid w:val="00C01596"/>
    <w:rsid w:val="00C02D51"/>
    <w:rsid w:val="00C03426"/>
    <w:rsid w:val="00C064C5"/>
    <w:rsid w:val="00C10DF4"/>
    <w:rsid w:val="00C276BF"/>
    <w:rsid w:val="00C3073C"/>
    <w:rsid w:val="00C311CC"/>
    <w:rsid w:val="00C45EC0"/>
    <w:rsid w:val="00C62D45"/>
    <w:rsid w:val="00C64DC9"/>
    <w:rsid w:val="00C74398"/>
    <w:rsid w:val="00C81800"/>
    <w:rsid w:val="00C81F1A"/>
    <w:rsid w:val="00C93787"/>
    <w:rsid w:val="00C97BDC"/>
    <w:rsid w:val="00CA63FC"/>
    <w:rsid w:val="00CA64D4"/>
    <w:rsid w:val="00CA7E4B"/>
    <w:rsid w:val="00CB19F8"/>
    <w:rsid w:val="00CB1D09"/>
    <w:rsid w:val="00CC2393"/>
    <w:rsid w:val="00CD2BE3"/>
    <w:rsid w:val="00CD46C8"/>
    <w:rsid w:val="00CE5293"/>
    <w:rsid w:val="00CF0196"/>
    <w:rsid w:val="00CF674E"/>
    <w:rsid w:val="00D04D69"/>
    <w:rsid w:val="00D05AD1"/>
    <w:rsid w:val="00D255D4"/>
    <w:rsid w:val="00D30961"/>
    <w:rsid w:val="00D43A2A"/>
    <w:rsid w:val="00D4692A"/>
    <w:rsid w:val="00D508EA"/>
    <w:rsid w:val="00DA003D"/>
    <w:rsid w:val="00DA427E"/>
    <w:rsid w:val="00DA6C77"/>
    <w:rsid w:val="00DB1232"/>
    <w:rsid w:val="00DB3698"/>
    <w:rsid w:val="00DB41DB"/>
    <w:rsid w:val="00DB6602"/>
    <w:rsid w:val="00DD5B18"/>
    <w:rsid w:val="00DE1099"/>
    <w:rsid w:val="00DE3331"/>
    <w:rsid w:val="00E02A3C"/>
    <w:rsid w:val="00E02E56"/>
    <w:rsid w:val="00E04CDD"/>
    <w:rsid w:val="00E103CE"/>
    <w:rsid w:val="00E11524"/>
    <w:rsid w:val="00E26F29"/>
    <w:rsid w:val="00E34987"/>
    <w:rsid w:val="00E34ACE"/>
    <w:rsid w:val="00E6515B"/>
    <w:rsid w:val="00E7190D"/>
    <w:rsid w:val="00E72DCB"/>
    <w:rsid w:val="00E74769"/>
    <w:rsid w:val="00E81DC6"/>
    <w:rsid w:val="00E83D57"/>
    <w:rsid w:val="00E937D0"/>
    <w:rsid w:val="00EA0697"/>
    <w:rsid w:val="00ED1D3C"/>
    <w:rsid w:val="00ED1FF0"/>
    <w:rsid w:val="00ED2113"/>
    <w:rsid w:val="00ED49F5"/>
    <w:rsid w:val="00EE3BFD"/>
    <w:rsid w:val="00F21BF8"/>
    <w:rsid w:val="00F248D4"/>
    <w:rsid w:val="00F34110"/>
    <w:rsid w:val="00F434B3"/>
    <w:rsid w:val="00F4498A"/>
    <w:rsid w:val="00F47CE4"/>
    <w:rsid w:val="00F61E71"/>
    <w:rsid w:val="00F82858"/>
    <w:rsid w:val="00F83926"/>
    <w:rsid w:val="00FA526A"/>
    <w:rsid w:val="00FA7510"/>
    <w:rsid w:val="00FC366B"/>
    <w:rsid w:val="00FC4A16"/>
    <w:rsid w:val="00FD1A79"/>
    <w:rsid w:val="00FD1AE8"/>
    <w:rsid w:val="00FD408A"/>
    <w:rsid w:val="00FF60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7BB"/>
  </w:style>
  <w:style w:type="paragraph" w:styleId="Heading2">
    <w:name w:val="heading 2"/>
    <w:basedOn w:val="Normal"/>
    <w:link w:val="Heading2Char"/>
    <w:uiPriority w:val="9"/>
    <w:qFormat/>
    <w:rsid w:val="002537B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Heading4">
    <w:name w:val="heading 4"/>
    <w:basedOn w:val="Normal"/>
    <w:next w:val="Normal"/>
    <w:link w:val="Heading4Char"/>
    <w:uiPriority w:val="9"/>
    <w:semiHidden/>
    <w:unhideWhenUsed/>
    <w:qFormat/>
    <w:rsid w:val="002537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37BB"/>
    <w:rPr>
      <w:rFonts w:ascii="Times New Roman" w:eastAsia="Times New Roman" w:hAnsi="Times New Roman" w:cs="Times New Roman"/>
      <w:b/>
      <w:bCs/>
      <w:sz w:val="36"/>
      <w:szCs w:val="36"/>
      <w:lang w:eastAsia="uk-UA"/>
    </w:rPr>
  </w:style>
  <w:style w:type="character" w:customStyle="1" w:styleId="Heading4Char">
    <w:name w:val="Heading 4 Char"/>
    <w:basedOn w:val="DefaultParagraphFont"/>
    <w:link w:val="Heading4"/>
    <w:uiPriority w:val="9"/>
    <w:semiHidden/>
    <w:rsid w:val="002537BB"/>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2537BB"/>
    <w:rPr>
      <w:i/>
      <w:iCs/>
    </w:rPr>
  </w:style>
  <w:style w:type="paragraph" w:styleId="ListParagraph">
    <w:name w:val="List Paragraph"/>
    <w:basedOn w:val="Normal"/>
    <w:uiPriority w:val="34"/>
    <w:qFormat/>
    <w:rsid w:val="002537BB"/>
    <w:pPr>
      <w:ind w:left="720"/>
      <w:contextualSpacing/>
    </w:pPr>
  </w:style>
  <w:style w:type="character" w:styleId="Hyperlink">
    <w:name w:val="Hyperlink"/>
    <w:uiPriority w:val="99"/>
    <w:rsid w:val="0096541B"/>
    <w:rPr>
      <w:color w:val="0000FF"/>
      <w:u w:val="single"/>
    </w:rPr>
  </w:style>
  <w:style w:type="character" w:customStyle="1" w:styleId="-">
    <w:name w:val="Интернет-ссылка"/>
    <w:basedOn w:val="DefaultParagraphFont"/>
    <w:uiPriority w:val="99"/>
    <w:semiHidden/>
    <w:unhideWhenUsed/>
    <w:rsid w:val="00BE06D4"/>
    <w:rPr>
      <w:color w:val="0000FF"/>
      <w:u w:val="single"/>
    </w:rPr>
  </w:style>
  <w:style w:type="character" w:customStyle="1" w:styleId="1978">
    <w:name w:val="1978"/>
    <w:basedOn w:val="DefaultParagraphFont"/>
    <w:qFormat/>
    <w:rsid w:val="00BE06D4"/>
  </w:style>
  <w:style w:type="paragraph" w:styleId="FootnoteText">
    <w:name w:val="footnote text"/>
    <w:aliases w:val="Char,Char Char Char Char,Footnote Text Char Char Char,Footnote Text Char Char Char Char Char Char,Footnote Text Char Char Char Char Char Char Char Char Char,Ch"/>
    <w:basedOn w:val="Normal"/>
    <w:link w:val="FootnoteTextChar"/>
    <w:uiPriority w:val="99"/>
    <w:unhideWhenUsed/>
    <w:qFormat/>
    <w:rsid w:val="00BE06D4"/>
    <w:pPr>
      <w:spacing w:after="0" w:line="240" w:lineRule="auto"/>
    </w:pPr>
    <w:rPr>
      <w:rFonts w:eastAsiaTheme="minorEastAsia"/>
      <w:sz w:val="20"/>
      <w:szCs w:val="20"/>
      <w:lang w:val="ru-RU" w:eastAsia="ru-RU"/>
    </w:rPr>
  </w:style>
  <w:style w:type="character" w:customStyle="1" w:styleId="FootnoteTextChar">
    <w:name w:val="Footnote Text Char"/>
    <w:aliases w:val="Char Char,Char Char Char Char Char,Footnote Text Char Char Char Char,Footnote Text Char Char Char Char Char Char Char,Footnote Text Char Char Char Char Char Char Char Char Char Char,Ch Char"/>
    <w:basedOn w:val="DefaultParagraphFont"/>
    <w:link w:val="FootnoteText"/>
    <w:uiPriority w:val="99"/>
    <w:rsid w:val="00BE06D4"/>
    <w:rPr>
      <w:rFonts w:eastAsiaTheme="minorEastAsia"/>
      <w:sz w:val="20"/>
      <w:szCs w:val="20"/>
      <w:lang w:val="ru-RU" w:eastAsia="ru-RU"/>
    </w:rPr>
  </w:style>
  <w:style w:type="character" w:styleId="FootnoteReference">
    <w:name w:val="footnote reference"/>
    <w:aliases w:val="Footnote Reference1,پاورقی,شماره زيرنويس,مرجع پاورقي"/>
    <w:basedOn w:val="DefaultParagraphFont"/>
    <w:uiPriority w:val="99"/>
    <w:unhideWhenUsed/>
    <w:rsid w:val="00BE06D4"/>
    <w:rPr>
      <w:vertAlign w:val="superscript"/>
    </w:rPr>
  </w:style>
  <w:style w:type="paragraph" w:styleId="Header">
    <w:name w:val="header"/>
    <w:basedOn w:val="Normal"/>
    <w:link w:val="HeaderChar"/>
    <w:uiPriority w:val="99"/>
    <w:unhideWhenUsed/>
    <w:rsid w:val="00B75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2D"/>
  </w:style>
  <w:style w:type="paragraph" w:styleId="Footer">
    <w:name w:val="footer"/>
    <w:basedOn w:val="Normal"/>
    <w:link w:val="FooterChar"/>
    <w:uiPriority w:val="99"/>
    <w:unhideWhenUsed/>
    <w:rsid w:val="00B75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2D"/>
  </w:style>
  <w:style w:type="character" w:styleId="Strong">
    <w:name w:val="Strong"/>
    <w:basedOn w:val="DefaultParagraphFont"/>
    <w:uiPriority w:val="22"/>
    <w:qFormat/>
    <w:rsid w:val="00B75B2D"/>
    <w:rPr>
      <w:rFonts w:cs="Times New Roman"/>
      <w:b/>
      <w:bCs/>
    </w:rPr>
  </w:style>
  <w:style w:type="table" w:styleId="TableGrid">
    <w:name w:val="Table Grid"/>
    <w:basedOn w:val="TableNormal"/>
    <w:uiPriority w:val="39"/>
    <w:rsid w:val="00282B7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1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D09"/>
    <w:rPr>
      <w:rFonts w:ascii="Tahoma" w:hAnsi="Tahoma" w:cs="Tahoma"/>
      <w:sz w:val="16"/>
      <w:szCs w:val="16"/>
    </w:rPr>
  </w:style>
  <w:style w:type="character" w:styleId="FollowedHyperlink">
    <w:name w:val="FollowedHyperlink"/>
    <w:uiPriority w:val="99"/>
    <w:semiHidden/>
    <w:unhideWhenUsed/>
    <w:rsid w:val="00AD1AC7"/>
    <w:rPr>
      <w:color w:val="954F72"/>
      <w:u w:val="single"/>
    </w:rPr>
  </w:style>
  <w:style w:type="character" w:customStyle="1" w:styleId="jlqj4b">
    <w:name w:val="jlqj4b"/>
    <w:basedOn w:val="DefaultParagraphFont"/>
    <w:rsid w:val="00E02A3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srn.com/abstract=3758088" TargetMode="External"/><Relationship Id="rId18" Type="http://schemas.openxmlformats.org/officeDocument/2006/relationships/hyperlink" Target="https://www.nber.org/people/michael_bord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3390/economies8020041" TargetMode="External"/><Relationship Id="rId7" Type="http://schemas.openxmlformats.org/officeDocument/2006/relationships/endnotes" Target="endnotes.xml"/><Relationship Id="rId12" Type="http://schemas.openxmlformats.org/officeDocument/2006/relationships/hyperlink" Target="https://www.bis.org/publ/othp33.pdf" TargetMode="External"/><Relationship Id="rId17" Type="http://schemas.openxmlformats.org/officeDocument/2006/relationships/hyperlink" Target="https://researchbriefings.files.parliament.uk/documents/CBP-9191/CBP-9191.pdf" TargetMode="External"/><Relationship Id="rId25" Type="http://schemas.openxmlformats.org/officeDocument/2006/relationships/hyperlink" Target="https://dx.doi.org/10.2139/ssrn.336295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iasang.com.vn/khoa-hoc-cong-nghe/Chuyen-doi-so-thoi-Covid19-23135" TargetMode="External"/><Relationship Id="rId20" Type="http://schemas.openxmlformats.org/officeDocument/2006/relationships/hyperlink" Target="https://dx.doi.org/10.2139/ssrn.332999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11540/11577" TargetMode="External"/><Relationship Id="rId24" Type="http://schemas.openxmlformats.org/officeDocument/2006/relationships/hyperlink" Target="https://ssrn.com/abstract=336295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3106/JBEES.2019.VOL9.NO4.29" TargetMode="External"/><Relationship Id="rId23" Type="http://schemas.openxmlformats.org/officeDocument/2006/relationships/hyperlink" Target="http://tapchinganhang.gov.vn/phat-trien-ngan-hang-so-tai-viet-nam.htm" TargetMode="External"/><Relationship Id="rId28" Type="http://schemas.openxmlformats.org/officeDocument/2006/relationships/footer" Target="footer1.xml"/><Relationship Id="rId10" Type="http://schemas.openxmlformats.org/officeDocument/2006/relationships/hyperlink" Target="http://dx.doi.org/10.15408/jch.v8i2.15491" TargetMode="External"/><Relationship Id="rId19" Type="http://schemas.openxmlformats.org/officeDocument/2006/relationships/hyperlink" Target="https://www.nber.org/papers/w29171"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https://azwarmuin.files.wordpress.com/2018/10/icon_doi.png" TargetMode="External"/><Relationship Id="rId14" Type="http://schemas.openxmlformats.org/officeDocument/2006/relationships/hyperlink" Target="http://tapchinganhang.com.vn/tac-dong-cua-xu-huong-phat-trien-tien-ky-thuat-so-cua-ngan-hang-trung-uong-cac-nuoc-den-he-thong-tai.htm" TargetMode="External"/><Relationship Id="rId22" Type="http://schemas.openxmlformats.org/officeDocument/2006/relationships/hyperlink" Target="https://congbobanan.toaan.gov.vn/2ta51734t1cvn/chi-tiet-ban-an"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mailto:giangvt@buh.edu.vn" TargetMode="External"/><Relationship Id="rId1" Type="http://schemas.openxmlformats.org/officeDocument/2006/relationships/hyperlink" Target="https://orcid.org/0000-0001-9218-473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dx.doi.org/10.15408/jch.v9i2.20739" TargetMode="External"/><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B70D5-119A-4EC5-AE6C-5A0D727E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8184</Words>
  <Characters>46655</Characters>
  <Application>Microsoft Office Word</Application>
  <DocSecurity>0</DocSecurity>
  <Lines>388</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54730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Славик</dc:creator>
  <cp:lastModifiedBy>itRoj</cp:lastModifiedBy>
  <cp:revision>9</cp:revision>
  <cp:lastPrinted>2021-09-01T13:07:00Z</cp:lastPrinted>
  <dcterms:created xsi:type="dcterms:W3CDTF">2020-10-25T10:52:00Z</dcterms:created>
  <dcterms:modified xsi:type="dcterms:W3CDTF">2022-01-06T18:55:00Z</dcterms:modified>
</cp:coreProperties>
</file>