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6A3E" w14:textId="3D5199BD" w:rsidR="00A6175D" w:rsidRDefault="00BD1DC6" w:rsidP="00A6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en" w:eastAsia="en-I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en-ID"/>
        </w:rPr>
        <w:t>PENINGKATAN KEMAMPUAN PEMECAHAN MASALAH MATEMATIS MELALUI PENGGUNAAN KONTEKS DAN MODEL DALAM PMRI</w:t>
      </w:r>
    </w:p>
    <w:p w14:paraId="464FAEEC" w14:textId="77777777" w:rsidR="007E558F" w:rsidRDefault="00A6175D" w:rsidP="00A6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ID"/>
        </w:rPr>
      </w:pPr>
      <w:r w:rsidRPr="00A6175D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ID"/>
        </w:rPr>
        <w:t xml:space="preserve">Erna Sari </w:t>
      </w:r>
      <w:proofErr w:type="spellStart"/>
      <w:r w:rsidRPr="00A6175D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ID"/>
        </w:rPr>
        <w:t>Agusta</w:t>
      </w:r>
      <w:proofErr w:type="spellEnd"/>
    </w:p>
    <w:p w14:paraId="35F7A368" w14:textId="297D4869" w:rsidR="00A6175D" w:rsidRPr="009671AC" w:rsidRDefault="00A6175D" w:rsidP="00A6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ID"/>
        </w:rPr>
      </w:pPr>
      <w:proofErr w:type="spellStart"/>
      <w:r w:rsidRPr="00A6175D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ID"/>
        </w:rPr>
        <w:t>MTsN</w:t>
      </w:r>
      <w:proofErr w:type="spellEnd"/>
      <w:r w:rsidRPr="00A6175D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ID"/>
        </w:rPr>
        <w:t xml:space="preserve"> 28 Jakarta</w:t>
      </w:r>
    </w:p>
    <w:p w14:paraId="1CB5F959" w14:textId="1D1E76A3" w:rsidR="00A6175D" w:rsidRPr="00A6175D" w:rsidRDefault="00A6175D" w:rsidP="00A61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ID" w:eastAsia="en-ID"/>
        </w:rPr>
      </w:pPr>
      <w:r w:rsidRPr="009671A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ID"/>
        </w:rPr>
        <w:t>email: ernasari.agusta@gmail.com</w:t>
      </w:r>
    </w:p>
    <w:p w14:paraId="5A834781" w14:textId="766D0F0A" w:rsidR="00851834" w:rsidRPr="00A6175D" w:rsidRDefault="00851834" w:rsidP="00A6175D">
      <w:pPr>
        <w:shd w:val="clear" w:color="auto" w:fill="F8F9FA"/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val="en-ID" w:eastAsia="en-ID"/>
        </w:rPr>
      </w:pPr>
    </w:p>
    <w:p w14:paraId="795AFF9E" w14:textId="078F38D5" w:rsidR="00851834" w:rsidRDefault="00B2510B"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330D55D9" w14:textId="3D9E24F8" w:rsidR="00851834" w:rsidRDefault="00104FB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no. 22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penalaran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Hendriana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Sumarmo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2014).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>.</w:t>
      </w:r>
    </w:p>
    <w:p w14:paraId="21A32CA4" w14:textId="5C75CD67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9C42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. Surya (2013)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ditanyakan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kecukupan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1D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F1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1DF0">
        <w:rPr>
          <w:rFonts w:ascii="Times New Roman" w:hAnsi="Times New Roman" w:cs="Times New Roman"/>
          <w:sz w:val="24"/>
          <w:szCs w:val="24"/>
        </w:rPr>
        <w:t>menafsirkannya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C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keliling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memprediksi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area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menutup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</w:t>
      </w:r>
      <w:r w:rsidR="00E77CE7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menunjuk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45C02" w14:textId="41EF9F00" w:rsidR="00851834" w:rsidRDefault="00A36E7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r w:rsidR="00C740A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. Banyak di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ditanyakan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7A76B1" w14:textId="78D4CDC5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B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1D1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4B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>masalah</w:t>
      </w:r>
      <w:r w:rsidR="001D14B3"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AC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60AC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66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C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C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660ACB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660AC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66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0AC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AC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660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Adiastuty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2016). </w:t>
      </w:r>
    </w:p>
    <w:p w14:paraId="4D284675" w14:textId="77777777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mendayagunakan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3CE66" w14:textId="53BFBC21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</w:t>
      </w:r>
      <w:r w:rsidR="00A13EE3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="00A13E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Yulinda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; 2016</w:t>
      </w:r>
      <w:r w:rsidR="00A13E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3EE3">
        <w:rPr>
          <w:rFonts w:ascii="Times New Roman" w:hAnsi="Times New Roman" w:cs="Times New Roman"/>
          <w:sz w:val="24"/>
          <w:szCs w:val="24"/>
        </w:rPr>
        <w:t>Mulhamah</w:t>
      </w:r>
      <w:proofErr w:type="spellEnd"/>
      <w:r w:rsidR="00A13EE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13EE3">
        <w:rPr>
          <w:rFonts w:ascii="Times New Roman" w:hAnsi="Times New Roman" w:cs="Times New Roman"/>
          <w:sz w:val="24"/>
          <w:szCs w:val="24"/>
        </w:rPr>
        <w:t>Putrawangsa</w:t>
      </w:r>
      <w:proofErr w:type="spellEnd"/>
      <w:r w:rsidR="00A13EE3">
        <w:rPr>
          <w:rFonts w:ascii="Times New Roman" w:hAnsi="Times New Roman" w:cs="Times New Roman"/>
          <w:sz w:val="24"/>
          <w:szCs w:val="24"/>
        </w:rPr>
        <w:t>, 2017</w:t>
      </w:r>
      <w:r>
        <w:rPr>
          <w:rFonts w:ascii="Times New Roman" w:hAnsi="Times New Roman" w:cs="Times New Roman"/>
          <w:sz w:val="24"/>
          <w:szCs w:val="24"/>
        </w:rPr>
        <w:t xml:space="preserve">).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contoh-contoh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guru.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guru   </w:t>
      </w:r>
    </w:p>
    <w:p w14:paraId="01B1D502" w14:textId="628001CC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diupayakan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5A7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A6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01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E5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010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6E50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pemodelan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(PMRI)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Danoebroto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B95A6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PMRI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4558D0" w14:textId="77777777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Wahidin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siswa-siswa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0F05F4" w14:textId="1660A857" w:rsidR="00851834" w:rsidRDefault="00C740A1" w:rsidP="006372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corona</w:t>
      </w:r>
      <w:r w:rsidR="0063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2A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3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 pun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37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Noviyanti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Edmodo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Nurlatifah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berbantua</w:t>
      </w:r>
      <w:r w:rsidR="005A7A64"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e-learning Schoology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642334" w14:textId="77777777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guided discovery 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e-learning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gramStart"/>
      <w:r>
        <w:rPr>
          <w:rFonts w:ascii="Times New Roman" w:hAnsi="Times New Roman" w:cs="Times New Roman"/>
          <w:sz w:val="24"/>
          <w:szCs w:val="24"/>
        </w:rPr>
        <w:t>model..</w:t>
      </w:r>
      <w:proofErr w:type="gramEnd"/>
    </w:p>
    <w:p w14:paraId="0965FB4F" w14:textId="4424727F" w:rsidR="00851834" w:rsidRPr="009E31D7" w:rsidRDefault="00C740A1" w:rsidP="009E31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6C790" w14:textId="0F3253A9" w:rsidR="00851834" w:rsidRDefault="00C740A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(PMRI)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real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Gravemeijer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1994).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juga dunia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fantasi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dunia formal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permasalahannya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Den Heuvel-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Panhuizen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2003).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EF38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Laurens, et.al (2017)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realistik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02AC31" w14:textId="77777777" w:rsidR="00851834" w:rsidRDefault="00C740A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RME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diadopsi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(1)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Guided reinvention and progressive mathematizing (guided discovery and progressive mathematics), (2) Didactical phenomenology (didactic phenomena), (3) Self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develop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models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Gravemeijer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1994).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PMRI juga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mengadopsi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RME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lima pilar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(1)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Use a contextual problem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(2)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Use of model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model), (3)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Use of student contribution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(4)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Interactivity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interaktivitas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dan (5)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An intertwining of learning strand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Gravemeijer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1994). </w:t>
      </w:r>
    </w:p>
    <w:p w14:paraId="23949537" w14:textId="1DD4B861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Pimta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, et.al (2009) </w:t>
      </w:r>
      <w:proofErr w:type="spellStart"/>
      <w:r w:rsidR="008A5CC2">
        <w:rPr>
          <w:rFonts w:ascii="Times New Roman" w:hAnsi="Times New Roman" w:cs="Times New Roman"/>
          <w:color w:val="222222"/>
          <w:sz w:val="24"/>
          <w:szCs w:val="24"/>
        </w:rPr>
        <w:t>latar</w:t>
      </w:r>
      <w:proofErr w:type="spellEnd"/>
      <w:r w:rsidR="008A5CC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color w:val="222222"/>
          <w:sz w:val="24"/>
          <w:szCs w:val="24"/>
        </w:rPr>
        <w:t>belakang</w:t>
      </w:r>
      <w:proofErr w:type="spellEnd"/>
      <w:r w:rsidR="008A5CC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color w:val="222222"/>
          <w:sz w:val="24"/>
          <w:szCs w:val="24"/>
        </w:rPr>
        <w:t>pengetahuan</w:t>
      </w:r>
      <w:proofErr w:type="spellEnd"/>
      <w:r w:rsidR="008A5CC2">
        <w:rPr>
          <w:rFonts w:ascii="Times New Roman" w:hAnsi="Times New Roman" w:cs="Times New Roman"/>
          <w:color w:val="222222"/>
          <w:sz w:val="24"/>
          <w:szCs w:val="24"/>
        </w:rPr>
        <w:t xml:space="preserve"> dan </w:t>
      </w:r>
      <w:proofErr w:type="spellStart"/>
      <w:r w:rsidR="008A5CC2">
        <w:rPr>
          <w:rFonts w:ascii="Times New Roman" w:hAnsi="Times New Roman" w:cs="Times New Roman"/>
          <w:color w:val="222222"/>
          <w:sz w:val="24"/>
          <w:szCs w:val="24"/>
        </w:rPr>
        <w:t>keterampilan</w:t>
      </w:r>
      <w:proofErr w:type="spellEnd"/>
      <w:r w:rsidR="007201C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22222"/>
          <w:sz w:val="24"/>
          <w:szCs w:val="24"/>
        </w:rPr>
        <w:t>berpikir</w:t>
      </w:r>
      <w:proofErr w:type="spellEnd"/>
      <w:r w:rsidR="008A5CC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color w:val="222222"/>
          <w:sz w:val="24"/>
          <w:szCs w:val="24"/>
        </w:rPr>
        <w:t>mempengaruhi</w:t>
      </w:r>
      <w:proofErr w:type="spellEnd"/>
      <w:r w:rsidR="008A5CC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matematis</w:t>
      </w:r>
      <w:proofErr w:type="spellEnd"/>
      <w:r w:rsidR="007201C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22222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Irawan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r w:rsidR="007201CC">
        <w:rPr>
          <w:rFonts w:ascii="Times New Roman" w:hAnsi="Times New Roman" w:cs="Times New Roman"/>
          <w:sz w:val="24"/>
          <w:szCs w:val="24"/>
        </w:rPr>
        <w:t>ngata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Glaser dan Corte (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Dochy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&amp; Seger, 2000)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</w:t>
      </w:r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kembang</w:t>
      </w:r>
      <w:r w:rsidR="007201CC"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1C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</w:t>
      </w:r>
      <w:r w:rsidR="00914127">
        <w:rPr>
          <w:rFonts w:ascii="Times New Roman" w:hAnsi="Times New Roman" w:cs="Times New Roman"/>
          <w:sz w:val="24"/>
          <w:szCs w:val="24"/>
        </w:rPr>
        <w:t>elly, C.A, 2006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mengantarkan</w:t>
      </w:r>
      <w:r w:rsidR="00355FF5"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formal.</w:t>
      </w:r>
    </w:p>
    <w:p w14:paraId="162D286A" w14:textId="2F8C0577" w:rsidR="00851834" w:rsidRDefault="00C740A1">
      <w:pPr>
        <w:ind w:firstLine="72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color w:val="212121"/>
          <w:sz w:val="24"/>
          <w:szCs w:val="24"/>
        </w:rPr>
        <w:t>rhadap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scaffold</w:t>
      </w:r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309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33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A3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3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3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 w:rsidRPr="00A36833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0E309B" w:rsidRPr="00A3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3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3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3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3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33">
        <w:rPr>
          <w:rFonts w:ascii="Times New Roman" w:hAnsi="Times New Roman" w:cs="Times New Roman"/>
          <w:sz w:val="24"/>
          <w:szCs w:val="24"/>
        </w:rPr>
        <w:t>meningka</w:t>
      </w:r>
      <w:r w:rsidR="000E309B" w:rsidRPr="00A36833">
        <w:rPr>
          <w:rFonts w:ascii="Times New Roman" w:hAnsi="Times New Roman" w:cs="Times New Roman"/>
          <w:sz w:val="24"/>
          <w:szCs w:val="24"/>
        </w:rPr>
        <w:t>tkan</w:t>
      </w:r>
      <w:proofErr w:type="spellEnd"/>
      <w:r w:rsidRPr="00A3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833">
        <w:rPr>
          <w:rFonts w:ascii="Times New Roman" w:hAnsi="Times New Roman" w:cs="Times New Roman"/>
          <w:sz w:val="24"/>
          <w:szCs w:val="24"/>
        </w:rPr>
        <w:t>kemampuan</w:t>
      </w:r>
      <w:r w:rsidR="000E309B" w:rsidRPr="00A36833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A36833">
        <w:rPr>
          <w:rFonts w:ascii="Times New Roman" w:hAnsi="Times New Roman" w:cs="Times New Roman"/>
          <w:sz w:val="24"/>
          <w:szCs w:val="24"/>
        </w:rPr>
        <w:t xml:space="preserve"> (</w:t>
      </w:r>
      <w:r w:rsidR="00A36833" w:rsidRPr="00A368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Reiser, B. J., &amp; Tabak, I, 2014</w:t>
      </w:r>
      <w:r w:rsidRPr="00A368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r w:rsidR="000E309B" w:rsidRPr="000E309B">
        <w:rPr>
          <w:rFonts w:ascii="Times New Roman" w:hAnsi="Times New Roman" w:cs="Times New Roman"/>
          <w:i/>
          <w:iCs/>
          <w:sz w:val="24"/>
          <w:szCs w:val="24"/>
        </w:rPr>
        <w:t>scaffolding</w:t>
      </w:r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2F81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622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Kurniasih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, 2012).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PMRI,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12121"/>
          <w:sz w:val="24"/>
          <w:szCs w:val="24"/>
        </w:rPr>
        <w:t>scaffold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penemuan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terbimbing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progresif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didaktis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mengantarkannya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penemuan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14:paraId="5D741E48" w14:textId="0226B503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B3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Pimta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et.al, 2009).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Gardner </w:t>
      </w: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Visser,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Asthon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Vernon, 2006)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09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E30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="000E3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analitis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09B" w:rsidRPr="00DA2AB4">
        <w:rPr>
          <w:rFonts w:ascii="Times New Roman" w:hAnsi="Times New Roman" w:cs="Times New Roman"/>
          <w:i/>
          <w:iCs/>
          <w:sz w:val="24"/>
          <w:szCs w:val="24"/>
        </w:rPr>
        <w:t>use of model</w:t>
      </w:r>
      <w:r w:rsidR="00DA2AB4" w:rsidRPr="00DA2AB4"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i/>
          <w:iCs/>
          <w:sz w:val="24"/>
          <w:szCs w:val="24"/>
        </w:rPr>
        <w:t>intertwining</w:t>
      </w:r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</w:t>
      </w:r>
      <w:r w:rsidR="00DA2AB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uba</w:t>
      </w:r>
      <w:r w:rsidR="00DA2AB4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</w:t>
      </w:r>
      <w:r w:rsidR="00DA2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PMRI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AB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AB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A9DB3" w14:textId="5D7F20E5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lazim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menerjemahkan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(model of)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(model for)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Mousoulides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, Christou, dan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Sriraman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(2008)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bahwa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matematika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dapat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ditingkatkan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melalui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pengajaran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dengan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perspektif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pemodelan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Selain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color w:val="212121"/>
          <w:sz w:val="24"/>
          <w:szCs w:val="24"/>
        </w:rPr>
        <w:t>itu</w:t>
      </w:r>
      <w:proofErr w:type="spellEnd"/>
      <w:r w:rsidR="007201CC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erspektif</w:t>
      </w:r>
      <w:proofErr w:type="spellEnd"/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delan</w:t>
      </w:r>
      <w:proofErr w:type="spellEnd"/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7201CC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="007201C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w w:val="106"/>
          <w:sz w:val="24"/>
          <w:szCs w:val="24"/>
        </w:rPr>
        <w:t>mening</w:t>
      </w:r>
      <w:r>
        <w:rPr>
          <w:rFonts w:ascii="Times New Roman" w:hAnsi="Times New Roman" w:cs="Times New Roman"/>
          <w:spacing w:val="-14"/>
          <w:w w:val="106"/>
          <w:sz w:val="24"/>
          <w:szCs w:val="24"/>
        </w:rPr>
        <w:t>k</w:t>
      </w:r>
      <w:r>
        <w:rPr>
          <w:rFonts w:ascii="Times New Roman" w:hAnsi="Times New Roman" w:cs="Times New Roman"/>
          <w:w w:val="106"/>
          <w:sz w:val="24"/>
          <w:szCs w:val="24"/>
        </w:rPr>
        <w:t>at</w:t>
      </w:r>
      <w:r>
        <w:rPr>
          <w:rFonts w:ascii="Times New Roman" w:hAnsi="Times New Roman" w:cs="Times New Roman"/>
          <w:spacing w:val="-14"/>
          <w:w w:val="106"/>
          <w:sz w:val="24"/>
          <w:szCs w:val="24"/>
        </w:rPr>
        <w:t>k</w:t>
      </w:r>
      <w:r>
        <w:rPr>
          <w:rFonts w:ascii="Times New Roman" w:hAnsi="Times New Roman" w:cs="Times New Roman"/>
          <w:w w:val="106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3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apasitas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</w:t>
      </w:r>
      <w:r>
        <w:rPr>
          <w:rFonts w:ascii="Times New Roman" w:hAnsi="Times New Roman" w:cs="Times New Roman"/>
          <w:spacing w:val="-6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agar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emecahan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01C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meletak</w:t>
      </w:r>
      <w:r>
        <w:rPr>
          <w:rFonts w:ascii="Times New Roman" w:hAnsi="Times New Roman" w:cs="Times New Roman"/>
          <w:spacing w:val="-13"/>
          <w:w w:val="105"/>
          <w:sz w:val="24"/>
          <w:szCs w:val="24"/>
        </w:rPr>
        <w:t>k</w:t>
      </w:r>
      <w:r>
        <w:rPr>
          <w:rFonts w:ascii="Times New Roman" w:hAnsi="Times New Roman" w:cs="Times New Roman"/>
          <w:w w:val="109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w w:val="10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</w:t>
      </w:r>
      <w:r>
        <w:rPr>
          <w:rFonts w:ascii="Times New Roman" w:hAnsi="Times New Roman" w:cs="Times New Roman"/>
          <w:spacing w:val="1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jahi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ompleks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40CB4B" w14:textId="77777777" w:rsidR="00851834" w:rsidRDefault="008518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C3F255" w14:textId="77777777" w:rsidR="00851834" w:rsidRDefault="00C740A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</w:p>
    <w:p w14:paraId="1C348AE9" w14:textId="1E8BD330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Kelas </w:t>
      </w:r>
      <w:r>
        <w:rPr>
          <w:rFonts w:ascii="Times New Roman" w:hAnsi="Times New Roman" w:cs="Times New Roman"/>
          <w:i/>
          <w:iCs/>
          <w:sz w:val="24"/>
          <w:szCs w:val="24"/>
        </w:rPr>
        <w:t>(action research)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VII-2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MTsN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</w:t>
      </w:r>
      <w:r w:rsidR="00DA2AB4">
        <w:rPr>
          <w:rFonts w:ascii="Times New Roman" w:hAnsi="Times New Roman" w:cs="Times New Roman"/>
          <w:sz w:val="24"/>
          <w:szCs w:val="24"/>
        </w:rPr>
        <w:t xml:space="preserve">Jakarta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 orang.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(SP)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SP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orang.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-Mei 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>.</w:t>
      </w:r>
    </w:p>
    <w:p w14:paraId="12468A07" w14:textId="32A785CE" w:rsidR="00DA2AB4" w:rsidRDefault="00C740A1" w:rsidP="002B3CB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mendiskusikan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97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F4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597F45"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 w:rsidR="00597F4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(RPP),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VII-2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observer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A2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AB4">
        <w:rPr>
          <w:rFonts w:ascii="Times New Roman" w:hAnsi="Times New Roman" w:cs="Times New Roman"/>
          <w:sz w:val="24"/>
          <w:szCs w:val="24"/>
        </w:rPr>
        <w:t xml:space="preserve">dan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89657" w14:textId="2E801D40" w:rsidR="00851834" w:rsidRDefault="00C740A1" w:rsidP="00DA2A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AB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PMRI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video conference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3C84A9" w14:textId="792D261E" w:rsidR="00851834" w:rsidRDefault="00C740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>
        <w:rPr>
          <w:rFonts w:ascii="Times New Roman" w:hAnsi="Times New Roman" w:cs="Times New Roman"/>
          <w:sz w:val="24"/>
          <w:szCs w:val="24"/>
        </w:rPr>
        <w:t xml:space="preserve"> Milles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Hubberman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DA2AB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/>
          <w:iCs/>
          <w:sz w:val="24"/>
          <w:szCs w:val="24"/>
        </w:rPr>
        <w:t>(data reduction),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/>
          <w:iCs/>
          <w:sz w:val="24"/>
          <w:szCs w:val="24"/>
        </w:rPr>
        <w:t>(data display)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(conclusion: drawing/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veryfying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7F2D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D28CC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D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CC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1D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C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D28CC">
        <w:rPr>
          <w:rFonts w:ascii="Times New Roman" w:hAnsi="Times New Roman" w:cs="Times New Roman"/>
          <w:sz w:val="24"/>
          <w:szCs w:val="24"/>
        </w:rPr>
        <w:t xml:space="preserve"> </w:t>
      </w:r>
      <w:r w:rsidR="007F2DF4" w:rsidRPr="001D28C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F2DF4" w:rsidRPr="001D28CC">
        <w:rPr>
          <w:rFonts w:ascii="Times New Roman" w:hAnsi="Times New Roman" w:cs="Times New Roman"/>
          <w:sz w:val="24"/>
          <w:szCs w:val="24"/>
        </w:rPr>
        <w:lastRenderedPageBreak/>
        <w:t>dianalisis</w:t>
      </w:r>
      <w:proofErr w:type="spellEnd"/>
      <w:r w:rsidR="007F2DF4" w:rsidRPr="001D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CC" w:rsidRPr="001D28C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1D28CC" w:rsidRPr="001D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CC" w:rsidRPr="001D28CC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="001D28CC" w:rsidRPr="001D28C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D28CC" w:rsidRPr="001D28C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1D28CC" w:rsidRPr="001D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CC" w:rsidRPr="001D28C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1D28CC" w:rsidRPr="001D28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D28CC" w:rsidRPr="001D28C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1D28CC" w:rsidRPr="001D2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CC" w:rsidRPr="001D28C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D28CC" w:rsidRPr="001D28CC">
        <w:rPr>
          <w:rFonts w:ascii="Times New Roman" w:hAnsi="Times New Roman" w:cs="Times New Roman"/>
          <w:sz w:val="24"/>
          <w:szCs w:val="24"/>
        </w:rPr>
        <w:t>.</w:t>
      </w:r>
      <w:r w:rsidR="001D28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merefleksi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F2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A2762" w14:textId="77777777" w:rsidR="00851834" w:rsidRDefault="0085183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8581DD" w14:textId="77777777" w:rsidR="00851834" w:rsidRDefault="00C74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2ED3DC05" w14:textId="5994F4CE" w:rsidR="00851834" w:rsidRDefault="00C740A1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memaparkan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PMRI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model..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dipelajari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ditujukan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memaknai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diaplikasikan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315D7D">
        <w:rPr>
          <w:rFonts w:ascii="Times New Roman" w:hAnsi="Times New Roman" w:cs="Times New Roman"/>
          <w:bCs/>
          <w:sz w:val="24"/>
          <w:szCs w:val="24"/>
        </w:rPr>
        <w:t>Johnson, E.B, 2002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peraga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dibayangkan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AC8968" w14:textId="3549ADD5" w:rsidR="00851834" w:rsidRDefault="00C740A1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I, </w:t>
      </w:r>
      <w:proofErr w:type="spellStart"/>
      <w:r w:rsidR="007A3ACC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7A3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keliling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segiempat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tangram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penampakan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restoran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polaroid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bingkai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pekarangan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mengelilinginya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lampu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jembatan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penyebrangan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coklat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pagar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aksioma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Euclid.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II, </w:t>
      </w:r>
      <w:proofErr w:type="spellStart"/>
      <w:r w:rsidR="007A3ACC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7A3A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segiempat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esensial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LAS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pekarangan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mengelilinginya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LAS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tangram,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kotak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meletakkan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cermin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bingkai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segienam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beraturan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sketsa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beraturan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pemasangan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cat </w:t>
      </w:r>
      <w:r>
        <w:rPr>
          <w:rFonts w:ascii="Times New Roman" w:hAnsi="Times New Roman" w:cs="Times New Roman"/>
          <w:bCs/>
          <w:i/>
          <w:sz w:val="24"/>
          <w:szCs w:val="24"/>
        </w:rPr>
        <w:t>epoxy floor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pemasangan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ubin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trapesium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sekeliling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renang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A3ACC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beririsan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620093D" w14:textId="7C9F5269" w:rsidR="00780206" w:rsidRDefault="00C740A1" w:rsidP="0078020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irisan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segiempat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segitiga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pemasangan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keramik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pemasangan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hiburan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irisan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narasi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F79F4F5" w14:textId="6DE83331" w:rsidR="005E59C0" w:rsidRPr="007E2783" w:rsidRDefault="00C740A1" w:rsidP="00EB4A24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B4A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</w:t>
      </w:r>
      <w:r w:rsidR="00780206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045F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7104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1045F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="00687CD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687CD6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="007104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70117E7E" w14:textId="43F868F3" w:rsidR="00851834" w:rsidRDefault="002F74C9">
      <w:pPr>
        <w:pStyle w:val="ListParagraph"/>
        <w:ind w:left="0" w:firstLine="720"/>
        <w:jc w:val="both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55FE7F13" wp14:editId="03A45426">
            <wp:extent cx="2204631" cy="2030706"/>
            <wp:effectExtent l="0" t="0" r="571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6261" cy="20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DF1256" wp14:editId="34CCD806">
            <wp:extent cx="2009235" cy="1788160"/>
            <wp:effectExtent l="0" t="381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34518" cy="181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942FC" w14:textId="7B5E7E67" w:rsidR="0098049A" w:rsidRPr="00687CD6" w:rsidRDefault="00F618E4" w:rsidP="00687CD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8049A" w:rsidRPr="0098049A">
        <w:rPr>
          <w:rFonts w:ascii="Times New Roman" w:hAnsi="Times New Roman" w:cs="Times New Roman"/>
          <w:sz w:val="24"/>
          <w:szCs w:val="24"/>
        </w:rPr>
        <w:t xml:space="preserve">Gambar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49A" w:rsidRPr="0098049A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98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49A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98049A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6A2EA0A1" w14:textId="24D6B9E4" w:rsidR="00851834" w:rsidRDefault="00EB4A24">
      <w:pPr>
        <w:pStyle w:val="ListParagraph"/>
        <w:ind w:left="0" w:firstLine="720"/>
        <w:jc w:val="both"/>
        <w:rPr>
          <w:color w:val="FF000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A3A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3ACC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7A3A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740A1">
        <w:rPr>
          <w:rFonts w:ascii="Times New Roman" w:hAnsi="Times New Roman" w:cs="Times New Roman"/>
          <w:sz w:val="24"/>
          <w:szCs w:val="24"/>
        </w:rPr>
        <w:t>isw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7A3A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3ACC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7A3A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40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C740A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sisinya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7A3A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3ACC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7A3A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landscape dan portrait</w:t>
      </w:r>
      <w:r w:rsidR="00801F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r w:rsidR="00780206">
        <w:rPr>
          <w:rFonts w:ascii="Times New Roman" w:hAnsi="Times New Roman" w:cs="Times New Roman"/>
          <w:sz w:val="24"/>
          <w:szCs w:val="24"/>
        </w:rPr>
        <w:t>1</w:t>
      </w:r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r w:rsidR="007A3A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A3ACC">
        <w:rPr>
          <w:rFonts w:ascii="Times New Roman" w:hAnsi="Times New Roman" w:cs="Times New Roman"/>
          <w:sz w:val="24"/>
          <w:szCs w:val="24"/>
        </w:rPr>
        <w:t>kanan</w:t>
      </w:r>
      <w:proofErr w:type="spellEnd"/>
      <w:r w:rsidR="007A3ACC">
        <w:rPr>
          <w:rFonts w:ascii="Times New Roman" w:hAnsi="Times New Roman" w:cs="Times New Roman"/>
          <w:sz w:val="24"/>
          <w:szCs w:val="24"/>
        </w:rPr>
        <w:t>)</w:t>
      </w:r>
      <w:r w:rsidR="00801F7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801F78">
        <w:rPr>
          <w:rFonts w:ascii="Times New Roman" w:hAnsi="Times New Roman" w:cs="Times New Roman"/>
          <w:sz w:val="24"/>
          <w:szCs w:val="24"/>
        </w:rPr>
        <w:t>S</w:t>
      </w:r>
      <w:r w:rsidR="00C740A1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F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i/>
          <w:sz w:val="24"/>
          <w:szCs w:val="24"/>
        </w:rPr>
        <w:t>potrait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dan </w:t>
      </w:r>
      <w:r w:rsidR="00C740A1">
        <w:rPr>
          <w:rFonts w:ascii="Times New Roman" w:hAnsi="Times New Roman" w:cs="Times New Roman"/>
          <w:i/>
          <w:sz w:val="24"/>
          <w:szCs w:val="24"/>
        </w:rPr>
        <w:t>landscape</w:t>
      </w:r>
      <w:r w:rsidR="00C740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bingkai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mengkombinasikan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foto</w:t>
      </w:r>
      <w:proofErr w:type="spellEnd"/>
    </w:p>
    <w:p w14:paraId="19D5403E" w14:textId="1AA8F437" w:rsidR="00851834" w:rsidRDefault="00C740A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Akan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LAS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Cahirati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(2020)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7201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ketidakmampuan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besaran-besaran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7201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7201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bCs/>
          <w:sz w:val="24"/>
          <w:szCs w:val="24"/>
        </w:rPr>
        <w:t>kendala</w:t>
      </w:r>
      <w:proofErr w:type="spellEnd"/>
      <w:r w:rsidR="007201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201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201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201CC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7201CC">
        <w:rPr>
          <w:rFonts w:ascii="Times New Roman" w:hAnsi="Times New Roman" w:cs="Times New Roman"/>
          <w:bCs/>
          <w:sz w:val="24"/>
          <w:szCs w:val="24"/>
        </w:rPr>
        <w:t xml:space="preserve"> PMRI.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dominan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0E58C0" w14:textId="1253DB2C" w:rsidR="00851834" w:rsidRDefault="00C740A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didukung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Tryas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dikutip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Sulistyorini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2015)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simbol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1546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ditanyakan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engembangan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keterkaitan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konsep-konsep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971546">
        <w:rPr>
          <w:rFonts w:ascii="Times New Roman" w:hAnsi="Times New Roman" w:cs="Times New Roman"/>
          <w:bCs/>
          <w:sz w:val="24"/>
          <w:szCs w:val="24"/>
        </w:rPr>
        <w:t xml:space="preserve"> PMRI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(Wijaya, 2012).</w:t>
      </w:r>
    </w:p>
    <w:p w14:paraId="635049FC" w14:textId="1E9806A2" w:rsidR="00851834" w:rsidRPr="00261280" w:rsidRDefault="00C740A1" w:rsidP="00261280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diminimalisir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tampak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A334382" w14:textId="49D612C6" w:rsidR="00851834" w:rsidRDefault="00C740A1">
      <w:pPr>
        <w:pStyle w:val="ListParagraph"/>
        <w:ind w:left="0" w:firstLine="720"/>
        <w:jc w:val="both"/>
      </w:pPr>
      <w:r>
        <w:lastRenderedPageBreak/>
        <w:t xml:space="preserve">            </w:t>
      </w:r>
      <w:r>
        <w:rPr>
          <w:noProof/>
        </w:rPr>
        <w:drawing>
          <wp:inline distT="0" distB="0" distL="0" distR="0" wp14:anchorId="69FC2D31" wp14:editId="4018E88D">
            <wp:extent cx="2216785" cy="3771900"/>
            <wp:effectExtent l="0" t="0" r="0" b="1206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1678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74C70" w14:textId="696D20A3" w:rsidR="00F618E4" w:rsidRPr="00801F78" w:rsidRDefault="00F618E4" w:rsidP="00801F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18E4">
        <w:rPr>
          <w:rFonts w:ascii="Times New Roman" w:hAnsi="Times New Roman" w:cs="Times New Roman"/>
          <w:sz w:val="24"/>
          <w:szCs w:val="24"/>
        </w:rPr>
        <w:t xml:space="preserve">Gambar 2. 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618E4">
        <w:rPr>
          <w:rFonts w:ascii="Times New Roman" w:hAnsi="Times New Roman" w:cs="Times New Roman"/>
          <w:sz w:val="24"/>
          <w:szCs w:val="24"/>
        </w:rPr>
        <w:t>emaham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61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8E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61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8E4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F618E4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3BB1887A" w14:textId="215D14F0" w:rsidR="00851834" w:rsidRDefault="00662E54" w:rsidP="00C222B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r w:rsidR="00C222B1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 xml:space="preserve">ambar </w:t>
      </w:r>
      <w:r w:rsidR="00C222B1">
        <w:rPr>
          <w:rFonts w:ascii="Times New Roman" w:hAnsi="Times New Roman" w:cs="Times New Roman"/>
          <w:bCs/>
          <w:sz w:val="24"/>
          <w:szCs w:val="24"/>
        </w:rPr>
        <w:t>no. 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segi-12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tampak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dilengkapi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keterangan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sisi-sisi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membedakan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besaran-besaran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22B1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begitu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sulit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membaca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berulang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kali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memahaminya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>.</w:t>
      </w:r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cukup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gambaran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model yang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222B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C222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CD7748" w14:textId="535CA84A" w:rsidR="00851834" w:rsidRDefault="00C740A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diatasi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24B0FE45" w14:textId="77777777" w:rsidR="00B725AE" w:rsidRDefault="00B725AE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65B927" w14:textId="07AED36C" w:rsidR="00851834" w:rsidRDefault="00C740A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9B15376" wp14:editId="52DBC4E9">
            <wp:extent cx="4743450" cy="2171700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86F0" w14:textId="5AB16D72" w:rsidR="005548E8" w:rsidRDefault="005548E8" w:rsidP="005548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(b)</w:t>
      </w:r>
    </w:p>
    <w:p w14:paraId="5BCA0709" w14:textId="1F3FEFDA" w:rsidR="00B725AE" w:rsidRPr="00561CF2" w:rsidRDefault="00F618E4" w:rsidP="00561CF2">
      <w:pPr>
        <w:pStyle w:val="ListParagraph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Gambar 3.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III </w:t>
      </w:r>
    </w:p>
    <w:p w14:paraId="4E7D0F9E" w14:textId="3E4F8C27" w:rsidR="00851834" w:rsidRDefault="009D4770" w:rsidP="00261280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89E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AA389E"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 w:rsidR="00AA389E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AA389E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AA389E">
        <w:rPr>
          <w:rFonts w:ascii="Times New Roman" w:hAnsi="Times New Roman" w:cs="Times New Roman"/>
          <w:bCs/>
          <w:sz w:val="24"/>
          <w:szCs w:val="24"/>
        </w:rPr>
        <w:t xml:space="preserve"> 3.a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irisan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3.b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diarsir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Penyajian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memudahkan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memahaminya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50D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384"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Den Heuvel-</w:t>
      </w:r>
      <w:proofErr w:type="spellStart"/>
      <w:r w:rsidR="00541384"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Panhuizen</w:t>
      </w:r>
      <w:proofErr w:type="spellEnd"/>
      <w:r w:rsidR="00541384"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(2005)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1546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5413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matematika</w:t>
      </w:r>
      <w:proofErr w:type="spellEnd"/>
      <w:r w:rsidR="00AF6903">
        <w:rPr>
          <w:rFonts w:ascii="Times New Roman" w:hAnsi="Times New Roman" w:cs="Times New Roman"/>
          <w:bCs/>
          <w:sz w:val="24"/>
          <w:szCs w:val="24"/>
        </w:rPr>
        <w:t>.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Temuan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III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didukung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pula oleh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pendapat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1546">
        <w:rPr>
          <w:rFonts w:ascii="Times New Roman" w:hAnsi="Times New Roman" w:cs="Times New Roman"/>
          <w:bCs/>
          <w:sz w:val="24"/>
          <w:szCs w:val="24"/>
        </w:rPr>
        <w:t>Amir (2016)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AA389E">
        <w:rPr>
          <w:rFonts w:ascii="Times New Roman" w:hAnsi="Times New Roman" w:cs="Times New Roman"/>
          <w:bCs/>
          <w:sz w:val="24"/>
          <w:szCs w:val="24"/>
        </w:rPr>
        <w:t>a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ng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mengatakan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kelebihan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memperjelas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mencegah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membetulkan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kesalahpahaman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>.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lastRenderedPageBreak/>
        <w:t>kutipan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1546">
        <w:rPr>
          <w:rFonts w:ascii="Times New Roman" w:hAnsi="Times New Roman" w:cs="Times New Roman"/>
          <w:bCs/>
          <w:sz w:val="24"/>
          <w:szCs w:val="24"/>
        </w:rPr>
        <w:t xml:space="preserve">pun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terjadinya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matematisasi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dunia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nyata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CBA">
        <w:rPr>
          <w:rFonts w:ascii="Times New Roman" w:hAnsi="Times New Roman" w:cs="Times New Roman"/>
          <w:bCs/>
          <w:sz w:val="24"/>
          <w:szCs w:val="24"/>
        </w:rPr>
        <w:t>model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matematika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BBFEE8" w14:textId="0F154B12" w:rsidR="00780206" w:rsidRDefault="00780206" w:rsidP="00780206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PMRI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membantunya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model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seluruhnya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tergambar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LAS. </w:t>
      </w:r>
    </w:p>
    <w:p w14:paraId="212EC9AC" w14:textId="77777777" w:rsidR="00780206" w:rsidRDefault="00780206" w:rsidP="00780206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</w:t>
      </w:r>
      <w:r>
        <w:rPr>
          <w:noProof/>
        </w:rPr>
        <w:drawing>
          <wp:inline distT="0" distB="0" distL="0" distR="0" wp14:anchorId="1113E2F8" wp14:editId="42F6EF2E">
            <wp:extent cx="485775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B9897" w14:textId="077D6072" w:rsidR="00780206" w:rsidRPr="00F618E4" w:rsidRDefault="00F618E4" w:rsidP="00F618E4">
      <w:pPr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80206" w:rsidRPr="00F618E4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Pr="00F618E4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F618E4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F618E4">
        <w:rPr>
          <w:rFonts w:ascii="Times New Roman" w:hAnsi="Times New Roman" w:cs="Times New Roman"/>
          <w:bCs/>
          <w:sz w:val="24"/>
          <w:szCs w:val="24"/>
        </w:rPr>
        <w:t xml:space="preserve"> Model oleh </w:t>
      </w:r>
      <w:proofErr w:type="spellStart"/>
      <w:r w:rsidRPr="00F618E4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Pr="00F618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 w:rsidRPr="00F618E4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780206" w:rsidRPr="00F618E4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14:paraId="411988CF" w14:textId="2F90EDCE" w:rsidR="00780206" w:rsidRDefault="00027FEB" w:rsidP="00647573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no.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ruangan-ruangan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kutipan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no.</w:t>
      </w:r>
      <w:r>
        <w:rPr>
          <w:rFonts w:ascii="Times New Roman" w:hAnsi="Times New Roman" w:cs="Times New Roman"/>
          <w:bCs/>
          <w:sz w:val="24"/>
          <w:szCs w:val="24"/>
        </w:rPr>
        <w:t>3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p</w:t>
      </w:r>
      <w:r w:rsidR="00780206">
        <w:rPr>
          <w:rFonts w:ascii="Times New Roman" w:hAnsi="Times New Roman" w:cs="Times New Roman"/>
          <w:bCs/>
          <w:sz w:val="24"/>
          <w:szCs w:val="24"/>
        </w:rPr>
        <w:t>enyelesaian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CBA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menerapkannya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jarak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dinding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pagar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menyamakan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keliling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47573">
        <w:rPr>
          <w:rFonts w:ascii="Times New Roman" w:hAnsi="Times New Roman" w:cs="Times New Roman"/>
          <w:bCs/>
          <w:sz w:val="24"/>
          <w:szCs w:val="24"/>
        </w:rPr>
        <w:t>p</w:t>
      </w:r>
      <w:r w:rsidR="008A5CC2">
        <w:rPr>
          <w:rFonts w:ascii="Times New Roman" w:hAnsi="Times New Roman" w:cs="Times New Roman"/>
          <w:bCs/>
          <w:sz w:val="24"/>
          <w:szCs w:val="24"/>
        </w:rPr>
        <w:t>anjang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pagar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dibutuhkan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no.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kursi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restoran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0206">
        <w:rPr>
          <w:rFonts w:ascii="Times New Roman" w:hAnsi="Times New Roman" w:cs="Times New Roman"/>
          <w:bCs/>
          <w:sz w:val="24"/>
          <w:szCs w:val="24"/>
        </w:rPr>
        <w:t>Akan</w:t>
      </w:r>
      <w:proofErr w:type="gram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no. 4</w:t>
      </w:r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 w:rsidR="00D41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4181D">
        <w:rPr>
          <w:rFonts w:ascii="Times New Roman" w:hAnsi="Times New Roman" w:cs="Times New Roman"/>
          <w:bCs/>
          <w:sz w:val="24"/>
          <w:szCs w:val="24"/>
        </w:rPr>
        <w:t>ke</w:t>
      </w:r>
      <w:r w:rsidR="00780206">
        <w:rPr>
          <w:rFonts w:ascii="Times New Roman" w:hAnsi="Times New Roman" w:cs="Times New Roman"/>
          <w:bCs/>
          <w:sz w:val="24"/>
          <w:szCs w:val="24"/>
        </w:rPr>
        <w:t>salah</w:t>
      </w:r>
      <w:r w:rsidR="00D4181D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kontek</w:t>
      </w:r>
      <w:r w:rsidR="00AA61C6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. Model yang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tergambar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meja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beserta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ukurannya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susunan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meja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CC2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banyak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meja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CBA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lahan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dibangun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restoran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="002B3C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CBA">
        <w:rPr>
          <w:rFonts w:ascii="Times New Roman" w:hAnsi="Times New Roman" w:cs="Times New Roman"/>
          <w:bCs/>
          <w:sz w:val="24"/>
          <w:szCs w:val="24"/>
        </w:rPr>
        <w:t>tergambar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A5CC2">
        <w:rPr>
          <w:rFonts w:ascii="Times New Roman" w:hAnsi="Times New Roman" w:cs="Times New Roman"/>
          <w:bCs/>
          <w:sz w:val="24"/>
          <w:szCs w:val="24"/>
        </w:rPr>
        <w:t>Akibatnya</w:t>
      </w:r>
      <w:proofErr w:type="spellEnd"/>
      <w:r w:rsidR="008A5CC2">
        <w:rPr>
          <w:rFonts w:ascii="Times New Roman" w:hAnsi="Times New Roman" w:cs="Times New Roman"/>
          <w:bCs/>
          <w:sz w:val="24"/>
          <w:szCs w:val="24"/>
        </w:rPr>
        <w:t>,</w:t>
      </w:r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206">
        <w:rPr>
          <w:rFonts w:ascii="Times New Roman" w:hAnsi="Times New Roman" w:cs="Times New Roman"/>
          <w:bCs/>
          <w:sz w:val="24"/>
          <w:szCs w:val="24"/>
        </w:rPr>
        <w:t>mode</w:t>
      </w:r>
      <w:r w:rsidR="00AA61C6">
        <w:rPr>
          <w:rFonts w:ascii="Times New Roman" w:hAnsi="Times New Roman" w:cs="Times New Roman"/>
          <w:bCs/>
          <w:sz w:val="24"/>
          <w:szCs w:val="24"/>
        </w:rPr>
        <w:t xml:space="preserve">l yang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dibuat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solusi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12C3C72" w14:textId="77777777" w:rsidR="00B725AE" w:rsidRDefault="00B725AE" w:rsidP="00780206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325" w:tblpY="12"/>
        <w:tblOverlap w:val="never"/>
        <w:tblW w:w="8024" w:type="dxa"/>
        <w:tblLook w:val="04A0" w:firstRow="1" w:lastRow="0" w:firstColumn="1" w:lastColumn="0" w:noHBand="0" w:noVBand="1"/>
      </w:tblPr>
      <w:tblGrid>
        <w:gridCol w:w="8024"/>
      </w:tblGrid>
      <w:tr w:rsidR="00780206" w14:paraId="6CFC0BC0" w14:textId="77777777" w:rsidTr="00AD2E44">
        <w:trPr>
          <w:trHeight w:val="4034"/>
        </w:trPr>
        <w:tc>
          <w:tcPr>
            <w:tcW w:w="8024" w:type="dxa"/>
          </w:tcPr>
          <w:p w14:paraId="0BA250A2" w14:textId="77777777" w:rsidR="00780206" w:rsidRDefault="00780206" w:rsidP="00AD2E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6429334" wp14:editId="1315DD0D">
                  <wp:extent cx="2476500" cy="239141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39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CE072D" wp14:editId="2C36CC8E">
                  <wp:extent cx="2432050" cy="2409825"/>
                  <wp:effectExtent l="0" t="0" r="635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5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BA7BC" w14:textId="54808DBA" w:rsidR="00780206" w:rsidRDefault="00724BBB" w:rsidP="00724BBB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780206" w:rsidRPr="00724BBB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="00F618E4" w:rsidRPr="00724BBB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="00F618E4" w:rsidRPr="00724BBB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F618E4" w:rsidRPr="00724BBB">
        <w:rPr>
          <w:rFonts w:ascii="Times New Roman" w:hAnsi="Times New Roman" w:cs="Times New Roman"/>
          <w:bCs/>
          <w:sz w:val="24"/>
          <w:szCs w:val="24"/>
        </w:rPr>
        <w:t xml:space="preserve"> Model oleh </w:t>
      </w:r>
      <w:proofErr w:type="spellStart"/>
      <w:r w:rsidR="00F618E4" w:rsidRPr="00724BBB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F618E4" w:rsidRPr="00724B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18E4" w:rsidRPr="00724BBB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F618E4" w:rsidRPr="00724BBB">
        <w:rPr>
          <w:rFonts w:ascii="Times New Roman" w:hAnsi="Times New Roman" w:cs="Times New Roman"/>
          <w:bCs/>
          <w:sz w:val="24"/>
          <w:szCs w:val="24"/>
        </w:rPr>
        <w:t xml:space="preserve"> II</w:t>
      </w:r>
      <w:r w:rsidRPr="00724BB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24BBB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Pr="00724BBB">
        <w:rPr>
          <w:rFonts w:ascii="Times New Roman" w:hAnsi="Times New Roman" w:cs="Times New Roman"/>
          <w:bCs/>
          <w:sz w:val="24"/>
          <w:szCs w:val="24"/>
        </w:rPr>
        <w:t xml:space="preserve"> III</w:t>
      </w:r>
    </w:p>
    <w:p w14:paraId="62CA0E81" w14:textId="77777777" w:rsidR="00724BBB" w:rsidRPr="00724BBB" w:rsidRDefault="00724BBB" w:rsidP="00724BBB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95827F" w14:textId="07C363E8" w:rsidR="00780206" w:rsidRDefault="008A5CC2" w:rsidP="00780206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8E4">
        <w:rPr>
          <w:rFonts w:ascii="Times New Roman" w:hAnsi="Times New Roman" w:cs="Times New Roman"/>
          <w:bCs/>
          <w:sz w:val="24"/>
          <w:szCs w:val="24"/>
        </w:rPr>
        <w:t>5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kiri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model yang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dibuat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LAS,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tangram,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memodelkan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persegi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panjang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Selain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LAS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menanyakan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sisa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diwakafkan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menjawabnya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Kurangnya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AA61C6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proofErr w:type="gram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Sebaliknya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,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6CA3">
        <w:rPr>
          <w:rFonts w:ascii="Times New Roman" w:hAnsi="Times New Roman" w:cs="Times New Roman"/>
          <w:bCs/>
          <w:sz w:val="24"/>
          <w:szCs w:val="24"/>
        </w:rPr>
        <w:t>5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kanan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pengecatan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 cat </w:t>
      </w:r>
      <w:r w:rsidR="00C844C5" w:rsidRPr="00005269">
        <w:rPr>
          <w:rFonts w:ascii="Times New Roman" w:hAnsi="Times New Roman" w:cs="Times New Roman"/>
          <w:bCs/>
          <w:i/>
          <w:iCs/>
          <w:sz w:val="24"/>
          <w:szCs w:val="24"/>
        </w:rPr>
        <w:t>epoxy</w:t>
      </w:r>
      <w:r w:rsidR="00C844C5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lantai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C844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844C5">
        <w:rPr>
          <w:rFonts w:ascii="Times New Roman" w:hAnsi="Times New Roman" w:cs="Times New Roman"/>
          <w:bCs/>
          <w:sz w:val="24"/>
          <w:szCs w:val="24"/>
        </w:rPr>
        <w:t>t</w:t>
      </w:r>
      <w:r w:rsidR="00780206">
        <w:rPr>
          <w:rFonts w:ascii="Times New Roman" w:hAnsi="Times New Roman" w:cs="Times New Roman"/>
          <w:bCs/>
          <w:sz w:val="24"/>
          <w:szCs w:val="24"/>
        </w:rPr>
        <w:t>erlihat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model yang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merepresentasikan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. Akan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kesalahan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m</w:t>
      </w:r>
      <w:r w:rsidR="00780206">
        <w:rPr>
          <w:rFonts w:ascii="Times New Roman" w:hAnsi="Times New Roman" w:cs="Times New Roman"/>
          <w:bCs/>
          <w:sz w:val="24"/>
          <w:szCs w:val="24"/>
        </w:rPr>
        <w:t>enghitun</w:t>
      </w:r>
      <w:r w:rsidR="00AA61C6">
        <w:rPr>
          <w:rFonts w:ascii="Times New Roman" w:hAnsi="Times New Roman" w:cs="Times New Roman"/>
          <w:bCs/>
          <w:sz w:val="24"/>
          <w:szCs w:val="24"/>
        </w:rPr>
        <w:t>g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cat </w:t>
      </w:r>
      <w:r w:rsidR="00780206">
        <w:rPr>
          <w:rFonts w:ascii="Times New Roman" w:hAnsi="Times New Roman" w:cs="Times New Roman"/>
          <w:bCs/>
          <w:i/>
          <w:sz w:val="24"/>
          <w:szCs w:val="24"/>
        </w:rPr>
        <w:t>epoxy</w:t>
      </w:r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warna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merah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warna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hitam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solusi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80206">
        <w:rPr>
          <w:rFonts w:ascii="Times New Roman" w:hAnsi="Times New Roman" w:cs="Times New Roman"/>
          <w:bCs/>
          <w:sz w:val="24"/>
          <w:szCs w:val="24"/>
        </w:rPr>
        <w:t>dihasilkan</w:t>
      </w:r>
      <w:proofErr w:type="spellEnd"/>
      <w:r w:rsidR="00780206">
        <w:rPr>
          <w:rFonts w:ascii="Times New Roman" w:hAnsi="Times New Roman" w:cs="Times New Roman"/>
          <w:bCs/>
          <w:sz w:val="24"/>
          <w:szCs w:val="24"/>
        </w:rPr>
        <w:t xml:space="preserve"> salah</w:t>
      </w:r>
      <w:r w:rsidR="00AA61C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95866E" w14:textId="39AAA1A2" w:rsidR="00851834" w:rsidRPr="00D559A1" w:rsidRDefault="00C740A1" w:rsidP="00D559A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</w:t>
      </w:r>
      <w:r w:rsidR="00AA61C6">
        <w:rPr>
          <w:rFonts w:ascii="Times New Roman" w:hAnsi="Times New Roman" w:cs="Times New Roman"/>
          <w:bCs/>
          <w:sz w:val="24"/>
          <w:szCs w:val="24"/>
        </w:rPr>
        <w:t>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diawali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AB7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A23AB7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="00A23A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model yang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mengantarkannya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penentuan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enyelesaian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1C6">
        <w:rPr>
          <w:rFonts w:ascii="Times New Roman" w:hAnsi="Times New Roman" w:cs="Times New Roman"/>
          <w:bCs/>
          <w:sz w:val="24"/>
          <w:szCs w:val="24"/>
        </w:rPr>
        <w:t xml:space="preserve">dan model </w:t>
      </w:r>
      <w:r>
        <w:rPr>
          <w:rFonts w:ascii="Times New Roman" w:hAnsi="Times New Roman" w:cs="Times New Roman"/>
          <w:bCs/>
          <w:sz w:val="24"/>
          <w:szCs w:val="24"/>
        </w:rPr>
        <w:t xml:space="preserve">pada PMRI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AA61C6">
        <w:rPr>
          <w:rFonts w:ascii="Times New Roman" w:hAnsi="Times New Roman" w:cs="Times New Roman"/>
          <w:bCs/>
          <w:sz w:val="24"/>
          <w:szCs w:val="24"/>
        </w:rPr>
        <w:t xml:space="preserve"> dan model </w:t>
      </w:r>
      <w:proofErr w:type="spellStart"/>
      <w:r w:rsidR="00AA61C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PMRI,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tahapan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6CA3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166CA3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59A1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59A1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keenam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252FF88" w14:textId="58E9F57D" w:rsidR="00851834" w:rsidRDefault="00D559A1" w:rsidP="00D559A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559A1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D559A1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724BBB" w:rsidRPr="00D559A1">
        <w:rPr>
          <w:rFonts w:ascii="Times New Roman" w:hAnsi="Times New Roman" w:cs="Times New Roman"/>
          <w:bCs/>
          <w:sz w:val="24"/>
          <w:szCs w:val="24"/>
        </w:rPr>
        <w:t>.</w:t>
      </w:r>
      <w:r w:rsidRP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59A1">
        <w:rPr>
          <w:rFonts w:ascii="Times New Roman" w:hAnsi="Times New Roman" w:cs="Times New Roman"/>
          <w:bCs/>
          <w:sz w:val="24"/>
          <w:szCs w:val="24"/>
        </w:rPr>
        <w:t>Perolehan</w:t>
      </w:r>
      <w:proofErr w:type="spellEnd"/>
      <w:r w:rsidR="00C740A1" w:rsidRP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59A1">
        <w:rPr>
          <w:rFonts w:ascii="Times New Roman" w:hAnsi="Times New Roman" w:cs="Times New Roman"/>
          <w:bCs/>
          <w:sz w:val="24"/>
          <w:szCs w:val="24"/>
        </w:rPr>
        <w:t>Skor</w:t>
      </w:r>
      <w:r w:rsidR="00C740A1" w:rsidRP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59A1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59A1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P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559A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P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 w:rsidRPr="00D559A1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="00C740A1" w:rsidRPr="00D55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 w:rsidRPr="00D559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</w:p>
    <w:tbl>
      <w:tblPr>
        <w:tblW w:w="90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2"/>
      </w:tblGrid>
      <w:tr w:rsidR="00734FDF" w14:paraId="5E452514" w14:textId="77777777" w:rsidTr="00734FDF">
        <w:trPr>
          <w:trHeight w:val="174"/>
        </w:trPr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67AD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83995929"/>
            <w:r>
              <w:rPr>
                <w:rFonts w:ascii="Times New Roman" w:eastAsia="Times New Roman" w:hAnsi="Times New Roman" w:cs="Times New Roman"/>
              </w:rPr>
              <w:t>Cycle</w:t>
            </w:r>
          </w:p>
        </w:tc>
        <w:tc>
          <w:tcPr>
            <w:tcW w:w="8554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4086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Research subject</w:t>
            </w:r>
          </w:p>
        </w:tc>
      </w:tr>
      <w:tr w:rsidR="00F24724" w14:paraId="6D92D247" w14:textId="77777777" w:rsidTr="00734FDF">
        <w:trPr>
          <w:trHeight w:val="174"/>
        </w:trPr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4649" w14:textId="77777777" w:rsidR="00734FDF" w:rsidRDefault="00734FDF" w:rsidP="001B5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2613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A1</w:t>
            </w:r>
          </w:p>
        </w:tc>
        <w:tc>
          <w:tcPr>
            <w:tcW w:w="1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92A7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T1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CBF0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B1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83AA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T2</w:t>
            </w:r>
          </w:p>
        </w:tc>
        <w:tc>
          <w:tcPr>
            <w:tcW w:w="1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38F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B2</w:t>
            </w:r>
          </w:p>
        </w:tc>
        <w:tc>
          <w:tcPr>
            <w:tcW w:w="13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8D6A" w14:textId="77777777" w:rsidR="00734FDF" w:rsidRDefault="00734FDF" w:rsidP="001B5ABA">
            <w:pPr>
              <w:spacing w:after="120" w:line="1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A2</w:t>
            </w:r>
          </w:p>
        </w:tc>
      </w:tr>
      <w:tr w:rsidR="00F24724" w14:paraId="09420C2B" w14:textId="77777777" w:rsidTr="00734FDF">
        <w:trPr>
          <w:trHeight w:val="329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E588" w14:textId="77777777" w:rsidR="00734FDF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5013" w14:textId="1D5B457A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AF30" w14:textId="51CAD236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8674" w14:textId="32EDD07A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C497" w14:textId="50AE837C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B464" w14:textId="0C9E27A8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2A81" w14:textId="359B7E33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9052" w14:textId="61373D80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8490" w14:textId="588AEECD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5BEF" w14:textId="1963E23F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AE94" w14:textId="09EC031F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1392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9D88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4DEA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C5E1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013C" w14:textId="77E6B1AC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32FC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E5BC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1E42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B652" w14:textId="383AA4D6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5ACE" w14:textId="717E13EC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63C8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CC6B" w14:textId="189055F3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F9C3" w14:textId="0D9053AE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A653" w14:textId="5A67488A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9AFD" w14:textId="653C2305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B7C6" w14:textId="569F9B1B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F4EF" w14:textId="29101088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2BAD" w14:textId="6E460255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83DD4" w14:textId="05CCCAB1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A769" w14:textId="41E67AC8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14:paraId="797B463A" w14:textId="77777777" w:rsidR="00734FDF" w:rsidRDefault="00734FDF" w:rsidP="001B5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724" w14:paraId="3CF97B24" w14:textId="77777777" w:rsidTr="00734FDF">
        <w:trPr>
          <w:trHeight w:val="309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9314" w14:textId="77777777" w:rsidR="00734FDF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C4EB7" w14:textId="7A0C0B79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A442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79C1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ABAA" w14:textId="0D7EB4C7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8EB2" w14:textId="0C666DD1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18C2" w14:textId="79D16042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9901" w14:textId="3230427F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7CA1" w14:textId="748EFCBC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E7FA" w14:textId="2D7FA8B4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6A91" w14:textId="2DAD0B73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032E" w14:textId="441E621A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F8FE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F6BA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F7DE" w14:textId="689AB577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BF44" w14:textId="68AF840B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4F59" w14:textId="028AD801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D349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7C14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B599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A07A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1F65" w14:textId="3D133B41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2C94" w14:textId="78D57CC4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D6CC" w14:textId="429D33C6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3052" w14:textId="32BC4FBF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75F5" w14:textId="6ECAD8EC" w:rsidR="00734FDF" w:rsidRPr="00F24724" w:rsidRDefault="004C40FA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0C5F" w14:textId="73848DC1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8695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D573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B7605" w14:textId="4E4A112F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5E1A" w14:textId="3D013825" w:rsidR="00734FDF" w:rsidRPr="00F24724" w:rsidRDefault="00F24724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386605CE" w14:textId="77777777" w:rsidR="00734FDF" w:rsidRDefault="00734FDF" w:rsidP="001B5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724" w14:paraId="349135CB" w14:textId="77777777" w:rsidTr="00734FDF">
        <w:trPr>
          <w:trHeight w:val="348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DC9C" w14:textId="77777777" w:rsidR="00734FDF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1FEA" w14:textId="01B70B93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4CA5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1A81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820F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3FF5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70ED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DC2F" w14:textId="5E0571AD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D7BC" w14:textId="60146FF1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06E9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FAA7" w14:textId="1C19DBA0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A2A0" w14:textId="75F28939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9252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FE20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DD27" w14:textId="5EAB98F9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FE9A" w14:textId="5C293C24" w:rsidR="00734FDF" w:rsidRPr="00F24724" w:rsidRDefault="00A43E1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4732" w14:textId="7EF9BD3E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F659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7C1D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3ED3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F9C5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E197" w14:textId="0C8E8623" w:rsidR="00734FDF" w:rsidRPr="00F24724" w:rsidRDefault="00BA032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54C3" w14:textId="2AB05A16" w:rsidR="00734FDF" w:rsidRPr="00F24724" w:rsidRDefault="00BA032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C73B" w14:textId="2DDEECB0" w:rsidR="00734FDF" w:rsidRPr="00F24724" w:rsidRDefault="00BA032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0F27" w14:textId="7577583B" w:rsidR="00734FDF" w:rsidRPr="00F24724" w:rsidRDefault="00BA032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3A96" w14:textId="2EA1D247" w:rsidR="00734FDF" w:rsidRPr="00F24724" w:rsidRDefault="00BA0329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6A26" w14:textId="721D61E6" w:rsidR="00734FDF" w:rsidRPr="00F24724" w:rsidRDefault="00F568B7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35F5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BF1D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7D7A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5ECE" w14:textId="77777777" w:rsidR="00734FDF" w:rsidRPr="00F24724" w:rsidRDefault="00734FDF" w:rsidP="001B5AB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F247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D51C221" w14:textId="77777777" w:rsidR="00734FDF" w:rsidRDefault="00734FDF" w:rsidP="001B5A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608949F9" w14:textId="0FE6586D" w:rsidR="00F24724" w:rsidRDefault="00F24724" w:rsidP="00991F74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perolehan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(A1 dan A2)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A1 dan A2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Begitu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pun pada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(B1 dan T2).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W</w:t>
      </w:r>
      <w:r w:rsidR="000C611C">
        <w:rPr>
          <w:rFonts w:ascii="Times New Roman" w:hAnsi="Times New Roman" w:cs="Times New Roman"/>
          <w:bCs/>
          <w:sz w:val="24"/>
          <w:szCs w:val="24"/>
        </w:rPr>
        <w:t>alaupun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0C611C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0C611C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memvisualisasikan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menuliskan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terpenuhi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III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memeroleh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A0329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 w:rsidR="00BA0329">
        <w:rPr>
          <w:rFonts w:ascii="Times New Roman" w:hAnsi="Times New Roman" w:cs="Times New Roman"/>
          <w:bCs/>
          <w:sz w:val="24"/>
          <w:szCs w:val="24"/>
        </w:rPr>
        <w:t xml:space="preserve"> 3.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Berbeda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lastRenderedPageBreak/>
        <w:t>kelompok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kelompok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(T1 dan B2)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memerlukan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lama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membuat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. Pada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I dan II,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menuliskan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soal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4C40FA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="004C4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apakah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data yang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cukup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. Akan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III,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model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gambaran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data-data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terpenuhi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menyebabkan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merencanakan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2. </w:t>
      </w:r>
    </w:p>
    <w:p w14:paraId="12DB0AAB" w14:textId="1D2CD343" w:rsidR="00533435" w:rsidRDefault="00533435" w:rsidP="00991F74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data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eksplorasi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merencanakan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mudah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menyelesaikan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521C885" w14:textId="1E940AF0" w:rsidR="00851834" w:rsidRDefault="00AA61C6" w:rsidP="00991F74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Selain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keenam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91F74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991F7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991F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proofErr w:type="gram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pula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5483">
        <w:rPr>
          <w:rFonts w:ascii="Times New Roman" w:hAnsi="Times New Roman" w:cs="Times New Roman"/>
          <w:bCs/>
          <w:sz w:val="24"/>
          <w:szCs w:val="24"/>
        </w:rPr>
        <w:t>skor</w:t>
      </w:r>
      <w:proofErr w:type="spellEnd"/>
      <w:r w:rsidR="008754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rata-rata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klasikal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tes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pra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hingga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III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735845C" w14:textId="00DB4F28" w:rsidR="00724BBB" w:rsidRPr="00AF46B9" w:rsidRDefault="00121858" w:rsidP="00AF46B9">
      <w:pPr>
        <w:pStyle w:val="ListParagraph"/>
        <w:ind w:left="426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757EC9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580BF9E7" wp14:editId="74195CE0">
            <wp:extent cx="4514850" cy="2127250"/>
            <wp:effectExtent l="0" t="0" r="0" b="63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C740A1" w:rsidRPr="00121858">
        <w:rPr>
          <w:rFonts w:ascii="Times New Roman" w:hAnsi="Times New Roman" w:cs="Times New Roman"/>
          <w:bCs/>
          <w:sz w:val="24"/>
          <w:szCs w:val="24"/>
        </w:rPr>
        <w:t xml:space="preserve">Gambar </w:t>
      </w:r>
      <w:r w:rsidR="00724BBB" w:rsidRPr="00121858">
        <w:rPr>
          <w:rFonts w:ascii="Times New Roman" w:hAnsi="Times New Roman" w:cs="Times New Roman"/>
          <w:bCs/>
          <w:sz w:val="24"/>
          <w:szCs w:val="24"/>
        </w:rPr>
        <w:t>7.</w:t>
      </w:r>
      <w:r w:rsidR="00C740A1" w:rsidRPr="0012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 w:rsidRPr="00121858">
        <w:rPr>
          <w:rFonts w:ascii="Times New Roman" w:hAnsi="Times New Roman" w:cs="Times New Roman"/>
          <w:bCs/>
          <w:sz w:val="24"/>
          <w:szCs w:val="24"/>
        </w:rPr>
        <w:t>Grafik</w:t>
      </w:r>
      <w:proofErr w:type="spellEnd"/>
      <w:r w:rsidR="00C740A1" w:rsidRPr="0012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 w:rsidRPr="00121858">
        <w:rPr>
          <w:rFonts w:ascii="Times New Roman" w:hAnsi="Times New Roman" w:cs="Times New Roman"/>
          <w:bCs/>
          <w:sz w:val="24"/>
          <w:szCs w:val="24"/>
        </w:rPr>
        <w:t>Perbandingan</w:t>
      </w:r>
      <w:proofErr w:type="spellEnd"/>
      <w:r w:rsidR="00C740A1" w:rsidRPr="0012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1858">
        <w:rPr>
          <w:rFonts w:ascii="Times New Roman" w:hAnsi="Times New Roman" w:cs="Times New Roman"/>
          <w:bCs/>
          <w:sz w:val="24"/>
          <w:szCs w:val="24"/>
        </w:rPr>
        <w:t xml:space="preserve">Skor </w:t>
      </w:r>
      <w:proofErr w:type="spellStart"/>
      <w:r w:rsidRPr="00121858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Pr="0012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1858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Pr="0012185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21858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="00C740A1" w:rsidRPr="001218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21858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</w:p>
    <w:p w14:paraId="2C78EFF6" w14:textId="3BF695C8" w:rsidR="002A2C41" w:rsidRDefault="00C740A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2C4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dan model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PMRI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memahami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berdampak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pula pada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disajikan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8 di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bawah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A2C4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2A2C41">
        <w:rPr>
          <w:rFonts w:ascii="Times New Roman" w:hAnsi="Times New Roman" w:cs="Times New Roman"/>
          <w:bCs/>
          <w:sz w:val="24"/>
          <w:szCs w:val="24"/>
        </w:rPr>
        <w:t>:</w:t>
      </w:r>
    </w:p>
    <w:p w14:paraId="0E73CBFA" w14:textId="7ABFA419" w:rsidR="002A2C41" w:rsidRDefault="00461175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2A2C41">
        <w:rPr>
          <w:rFonts w:ascii="Times New Roman" w:hAnsi="Times New Roman" w:cs="Times New Roman"/>
          <w:bCs/>
          <w:noProof/>
        </w:rPr>
        <w:drawing>
          <wp:inline distT="0" distB="0" distL="0" distR="0" wp14:anchorId="3FC64E4A" wp14:editId="146B1499">
            <wp:extent cx="4404995" cy="1979295"/>
            <wp:effectExtent l="0" t="0" r="14605" b="2095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0751A3" w14:textId="502E7842" w:rsidR="00461175" w:rsidRDefault="00461175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Gambar 8.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Nilai Rata-rata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</w:p>
    <w:p w14:paraId="1AF1F008" w14:textId="2B8EBCE3" w:rsidR="00851834" w:rsidRDefault="00201147" w:rsidP="002A2C41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I, II, dan III. Nilai rata-rata pada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meningkat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mulai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461175">
        <w:rPr>
          <w:rFonts w:ascii="Times New Roman" w:hAnsi="Times New Roman" w:cs="Times New Roman"/>
          <w:bCs/>
          <w:sz w:val="24"/>
          <w:szCs w:val="24"/>
        </w:rPr>
        <w:t>9,62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I, 7</w:t>
      </w:r>
      <w:r w:rsidR="00461175">
        <w:rPr>
          <w:rFonts w:ascii="Times New Roman" w:hAnsi="Times New Roman" w:cs="Times New Roman"/>
          <w:bCs/>
          <w:sz w:val="24"/>
          <w:szCs w:val="24"/>
        </w:rPr>
        <w:t>4,53 p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ada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II, dan </w:t>
      </w:r>
      <w:r w:rsidR="00C740A1">
        <w:rPr>
          <w:rFonts w:ascii="Times New Roman" w:hAnsi="Times New Roman" w:cs="Times New Roman"/>
          <w:bCs/>
          <w:sz w:val="24"/>
          <w:szCs w:val="24"/>
        </w:rPr>
        <w:lastRenderedPageBreak/>
        <w:t>7</w:t>
      </w:r>
      <w:r w:rsidR="00461175">
        <w:rPr>
          <w:rFonts w:ascii="Times New Roman" w:hAnsi="Times New Roman" w:cs="Times New Roman"/>
          <w:bCs/>
          <w:sz w:val="24"/>
          <w:szCs w:val="24"/>
        </w:rPr>
        <w:t>8,44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III.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dikatakan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1C6">
        <w:rPr>
          <w:rFonts w:ascii="Times New Roman" w:hAnsi="Times New Roman" w:cs="Times New Roman"/>
          <w:bCs/>
          <w:sz w:val="24"/>
          <w:szCs w:val="24"/>
        </w:rPr>
        <w:t xml:space="preserve">dan model </w:t>
      </w:r>
      <w:r w:rsidR="00C740A1">
        <w:rPr>
          <w:rFonts w:ascii="Times New Roman" w:hAnsi="Times New Roman" w:cs="Times New Roman"/>
          <w:bCs/>
          <w:sz w:val="24"/>
          <w:szCs w:val="24"/>
        </w:rPr>
        <w:t xml:space="preserve">pada PMRI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pemecahan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matematis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274CE3" w14:textId="77777777" w:rsidR="00AA61C6" w:rsidRDefault="00AA61C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72E76" w14:textId="77777777" w:rsidR="00851834" w:rsidRDefault="00C740A1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380AF5E0" w14:textId="214BAA23" w:rsidR="00851834" w:rsidRPr="004A0896" w:rsidRDefault="002A6906" w:rsidP="002A6906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740A1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kemampua</w:t>
      </w:r>
      <w:r w:rsidR="006578B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E7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gunakanlah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mode</w:t>
      </w:r>
      <w:r w:rsidR="006578BB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PMRI.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6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78BB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8BB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6578BB">
        <w:rPr>
          <w:rFonts w:ascii="Times New Roman" w:hAnsi="Times New Roman" w:cs="Times New Roman"/>
          <w:sz w:val="24"/>
          <w:szCs w:val="24"/>
        </w:rPr>
        <w:t xml:space="preserve"> dan</w:t>
      </w:r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. Nilai rata-rata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VII-2 pada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6</w:t>
      </w:r>
      <w:r w:rsidR="00D15FBA">
        <w:rPr>
          <w:rFonts w:ascii="Times New Roman" w:hAnsi="Times New Roman" w:cs="Times New Roman"/>
          <w:sz w:val="24"/>
          <w:szCs w:val="24"/>
        </w:rPr>
        <w:t>9,62</w:t>
      </w:r>
      <w:r w:rsidR="00C740A1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740A1">
        <w:rPr>
          <w:rFonts w:ascii="Times New Roman" w:hAnsi="Times New Roman" w:cs="Times New Roman"/>
          <w:sz w:val="24"/>
          <w:szCs w:val="24"/>
        </w:rPr>
        <w:t xml:space="preserve"> 7</w:t>
      </w:r>
      <w:r w:rsidR="00D15FBA">
        <w:rPr>
          <w:rFonts w:ascii="Times New Roman" w:hAnsi="Times New Roman" w:cs="Times New Roman"/>
          <w:sz w:val="24"/>
          <w:szCs w:val="24"/>
        </w:rPr>
        <w:t>4,53</w:t>
      </w:r>
      <w:r w:rsidR="00C740A1">
        <w:rPr>
          <w:rFonts w:ascii="Times New Roman" w:hAnsi="Times New Roman" w:cs="Times New Roman"/>
          <w:sz w:val="24"/>
          <w:szCs w:val="24"/>
        </w:rPr>
        <w:t xml:space="preserve">, dan </w:t>
      </w:r>
      <w:r w:rsidR="00C740A1" w:rsidRPr="004A0896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C740A1" w:rsidRPr="004A0896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C740A1" w:rsidRPr="004A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 w:rsidRPr="004A089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C740A1" w:rsidRPr="004A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 w:rsidRPr="004A089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="00C740A1" w:rsidRPr="004A0896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="00C740A1" w:rsidRPr="004A0896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C740A1" w:rsidRPr="004A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 w:rsidRPr="004A0896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C740A1" w:rsidRPr="004A0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 w:rsidRPr="004A089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740A1" w:rsidRPr="004A0896">
        <w:rPr>
          <w:rFonts w:ascii="Times New Roman" w:hAnsi="Times New Roman" w:cs="Times New Roman"/>
          <w:sz w:val="24"/>
          <w:szCs w:val="24"/>
        </w:rPr>
        <w:t xml:space="preserve"> 7</w:t>
      </w:r>
      <w:r w:rsidR="00D15FBA" w:rsidRPr="004A0896">
        <w:rPr>
          <w:rFonts w:ascii="Times New Roman" w:hAnsi="Times New Roman" w:cs="Times New Roman"/>
          <w:sz w:val="24"/>
          <w:szCs w:val="24"/>
        </w:rPr>
        <w:t>8,44</w:t>
      </w:r>
      <w:r w:rsidR="00C740A1" w:rsidRPr="004A0896">
        <w:rPr>
          <w:rFonts w:ascii="Times New Roman" w:hAnsi="Times New Roman" w:cs="Times New Roman"/>
          <w:sz w:val="24"/>
          <w:szCs w:val="24"/>
        </w:rPr>
        <w:t>.</w:t>
      </w:r>
      <w:r w:rsidR="00C740A1" w:rsidRPr="004A0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CAD6A8" w14:textId="7699D1FB" w:rsidR="00D15FBA" w:rsidRPr="004A0896" w:rsidRDefault="00D15FBA" w:rsidP="002A6906">
      <w:pPr>
        <w:pStyle w:val="ListParagraph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97A35" w14:textId="0CEEA48C" w:rsidR="00D15FBA" w:rsidRDefault="004A0896" w:rsidP="004A08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896">
        <w:rPr>
          <w:rFonts w:ascii="Times New Roman" w:hAnsi="Times New Roman" w:cs="Times New Roman"/>
          <w:b/>
          <w:bCs/>
          <w:sz w:val="24"/>
          <w:szCs w:val="24"/>
        </w:rPr>
        <w:t>UCAPAN TERIMA KASIH</w:t>
      </w:r>
    </w:p>
    <w:p w14:paraId="3A2B4A34" w14:textId="698C9EB5" w:rsidR="004A0896" w:rsidRPr="000A1491" w:rsidRDefault="004A0896" w:rsidP="004A08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49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Ibu Dr. Pinta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Deniyanti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Sampoerno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A1491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  <w:r w:rsidRPr="000A1491">
        <w:rPr>
          <w:rFonts w:ascii="Times New Roman" w:hAnsi="Times New Roman" w:cs="Times New Roman"/>
          <w:sz w:val="24"/>
          <w:szCs w:val="24"/>
        </w:rPr>
        <w:t xml:space="preserve"> dan Ibu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Meiliasari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, Ibu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. Siti Husna, </w:t>
      </w:r>
      <w:proofErr w:type="spellStart"/>
      <w:proofErr w:type="gramStart"/>
      <w:r w:rsidRPr="000A1491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ke</w:t>
      </w:r>
      <w:r w:rsidR="000A1491" w:rsidRPr="000A1491">
        <w:rPr>
          <w:rFonts w:ascii="Times New Roman" w:hAnsi="Times New Roman" w:cs="Times New Roman"/>
          <w:sz w:val="24"/>
          <w:szCs w:val="24"/>
        </w:rPr>
        <w:t>pa</w:t>
      </w:r>
      <w:r w:rsidRPr="000A1491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MTsN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28 Jakarta dan juga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observer </w:t>
      </w:r>
      <w:proofErr w:type="spellStart"/>
      <w:r w:rsidR="000A1491" w:rsidRPr="000A149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4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1491">
        <w:rPr>
          <w:rFonts w:ascii="Times New Roman" w:hAnsi="Times New Roman" w:cs="Times New Roman"/>
          <w:sz w:val="24"/>
          <w:szCs w:val="24"/>
        </w:rPr>
        <w:t>.</w:t>
      </w:r>
      <w:r w:rsidR="000A1491" w:rsidRPr="000A1491">
        <w:rPr>
          <w:rFonts w:ascii="Times New Roman" w:hAnsi="Times New Roman" w:cs="Times New Roman"/>
          <w:sz w:val="24"/>
          <w:szCs w:val="24"/>
        </w:rPr>
        <w:t xml:space="preserve"> </w:t>
      </w:r>
      <w:r w:rsidRPr="000A1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3D318" w14:textId="77777777" w:rsidR="00D15FBA" w:rsidRPr="00622F81" w:rsidRDefault="00D15FBA" w:rsidP="00622F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760D4" w14:textId="77777777" w:rsidR="00851834" w:rsidRDefault="00851834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A5F4F" w14:textId="77777777" w:rsidR="00851834" w:rsidRDefault="00C740A1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20473FAE" w14:textId="77777777" w:rsidR="00851834" w:rsidRDefault="00851834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1FA6EA" w14:textId="77777777" w:rsidR="00C740A1" w:rsidRDefault="00D32DB8" w:rsidP="00C740A1">
      <w:pPr>
        <w:pStyle w:val="BodyText"/>
        <w:spacing w:before="165" w:line="256" w:lineRule="auto"/>
        <w:ind w:left="567" w:right="-58" w:hanging="567"/>
        <w:jc w:val="both"/>
        <w:rPr>
          <w:color w:val="212121"/>
        </w:rPr>
      </w:pPr>
      <w:bookmarkStart w:id="1" w:name="_Hlk83742654"/>
      <w:r w:rsidRPr="00541384">
        <w:rPr>
          <w:color w:val="212121"/>
        </w:rPr>
        <w:t xml:space="preserve">Adiastuty, N. (2016). Tahapan Pembelajaran Matematika SMK yang Mengarah Pada Pemecahan Masalah (Polya). </w:t>
      </w:r>
      <w:r w:rsidRPr="00541384">
        <w:rPr>
          <w:i/>
          <w:color w:val="212121"/>
        </w:rPr>
        <w:t>Euclid</w:t>
      </w:r>
      <w:r w:rsidRPr="00541384">
        <w:rPr>
          <w:color w:val="212121"/>
        </w:rPr>
        <w:t>, 2(2), 331-340.</w:t>
      </w:r>
    </w:p>
    <w:p w14:paraId="702FDDB8" w14:textId="0B837024" w:rsidR="00AF6903" w:rsidRPr="00C740A1" w:rsidRDefault="00AF6903" w:rsidP="00C740A1">
      <w:pPr>
        <w:pStyle w:val="BodyText"/>
        <w:spacing w:before="165" w:line="256" w:lineRule="auto"/>
        <w:ind w:left="567" w:right="-58" w:hanging="567"/>
        <w:jc w:val="both"/>
      </w:pPr>
      <w:r w:rsidRPr="00541384">
        <w:rPr>
          <w:color w:val="222222"/>
          <w:shd w:val="clear" w:color="auto" w:fill="FFFFFF"/>
        </w:rPr>
        <w:t xml:space="preserve">Amir, A. (2016). Penggunaan </w:t>
      </w:r>
      <w:r w:rsidR="00C740A1">
        <w:rPr>
          <w:color w:val="222222"/>
          <w:shd w:val="clear" w:color="auto" w:fill="FFFFFF"/>
          <w:lang w:val="en-US"/>
        </w:rPr>
        <w:t>M</w:t>
      </w:r>
      <w:r w:rsidRPr="00541384">
        <w:rPr>
          <w:color w:val="222222"/>
          <w:shd w:val="clear" w:color="auto" w:fill="FFFFFF"/>
        </w:rPr>
        <w:t xml:space="preserve">edia </w:t>
      </w:r>
      <w:r w:rsidR="00C740A1">
        <w:rPr>
          <w:color w:val="222222"/>
          <w:shd w:val="clear" w:color="auto" w:fill="FFFFFF"/>
          <w:lang w:val="en-US"/>
        </w:rPr>
        <w:t>G</w:t>
      </w:r>
      <w:r w:rsidRPr="00541384">
        <w:rPr>
          <w:color w:val="222222"/>
          <w:shd w:val="clear" w:color="auto" w:fill="FFFFFF"/>
        </w:rPr>
        <w:t xml:space="preserve">ambar dalam </w:t>
      </w:r>
      <w:r w:rsidR="00C740A1">
        <w:rPr>
          <w:color w:val="222222"/>
          <w:shd w:val="clear" w:color="auto" w:fill="FFFFFF"/>
          <w:lang w:val="en-US"/>
        </w:rPr>
        <w:t>P</w:t>
      </w:r>
      <w:r w:rsidRPr="00541384">
        <w:rPr>
          <w:color w:val="222222"/>
          <w:shd w:val="clear" w:color="auto" w:fill="FFFFFF"/>
        </w:rPr>
        <w:t xml:space="preserve">embelajaran </w:t>
      </w:r>
      <w:r w:rsidR="00C740A1">
        <w:rPr>
          <w:color w:val="222222"/>
          <w:shd w:val="clear" w:color="auto" w:fill="FFFFFF"/>
          <w:lang w:val="en-US"/>
        </w:rPr>
        <w:t>M</w:t>
      </w:r>
      <w:r w:rsidRPr="00541384">
        <w:rPr>
          <w:color w:val="222222"/>
          <w:shd w:val="clear" w:color="auto" w:fill="FFFFFF"/>
        </w:rPr>
        <w:t>atematika. </w:t>
      </w:r>
      <w:r w:rsidRPr="00541384">
        <w:rPr>
          <w:i/>
          <w:iCs/>
          <w:color w:val="222222"/>
          <w:shd w:val="clear" w:color="auto" w:fill="FFFFFF"/>
        </w:rPr>
        <w:t>Jurnal eksakta</w:t>
      </w:r>
      <w:r w:rsidRPr="00541384">
        <w:rPr>
          <w:color w:val="222222"/>
          <w:shd w:val="clear" w:color="auto" w:fill="FFFFFF"/>
        </w:rPr>
        <w:t>, </w:t>
      </w:r>
      <w:r w:rsidRPr="00541384">
        <w:rPr>
          <w:i/>
          <w:iCs/>
          <w:color w:val="222222"/>
          <w:shd w:val="clear" w:color="auto" w:fill="FFFFFF"/>
        </w:rPr>
        <w:t>2</w:t>
      </w:r>
      <w:r w:rsidRPr="00541384">
        <w:rPr>
          <w:color w:val="222222"/>
          <w:shd w:val="clear" w:color="auto" w:fill="FFFFFF"/>
        </w:rPr>
        <w:t>(1), 34-40.</w:t>
      </w:r>
    </w:p>
    <w:p w14:paraId="24EF8F77" w14:textId="77777777" w:rsidR="00C740A1" w:rsidRPr="00C740A1" w:rsidRDefault="00C740A1" w:rsidP="00622F81">
      <w:pPr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14:paraId="512C4EC8" w14:textId="197AFE24" w:rsidR="00A13EE3" w:rsidRPr="00541384" w:rsidRDefault="00A13EE3" w:rsidP="00C740A1">
      <w:pPr>
        <w:pStyle w:val="BodyText"/>
        <w:spacing w:before="6" w:line="256" w:lineRule="auto"/>
        <w:ind w:left="567" w:right="-58" w:hanging="567"/>
        <w:jc w:val="both"/>
      </w:pPr>
      <w:r w:rsidRPr="00541384">
        <w:rPr>
          <w:color w:val="212121"/>
        </w:rPr>
        <w:t xml:space="preserve">Cahirati, P. E. P., Makur, A. P., &amp; Fedi, S. (2020). Analisis Kesulitan Belajar Siswa dalam Pembelajaran Matematika yang Menggunakan Pendekatan PMRI. </w:t>
      </w:r>
      <w:r w:rsidRPr="00541384">
        <w:rPr>
          <w:i/>
          <w:color w:val="212121"/>
        </w:rPr>
        <w:t>Mosharafa: Jurnal Pendidikan Matematika</w:t>
      </w:r>
      <w:r w:rsidRPr="00541384">
        <w:rPr>
          <w:color w:val="212121"/>
        </w:rPr>
        <w:t xml:space="preserve">, </w:t>
      </w:r>
      <w:r w:rsidRPr="00541384">
        <w:rPr>
          <w:i/>
          <w:color w:val="212121"/>
        </w:rPr>
        <w:t>9</w:t>
      </w:r>
      <w:r w:rsidRPr="00541384">
        <w:rPr>
          <w:color w:val="212121"/>
        </w:rPr>
        <w:t>(2), 227-238.</w:t>
      </w:r>
    </w:p>
    <w:p w14:paraId="469041FB" w14:textId="67195059" w:rsidR="00D32DB8" w:rsidRPr="00541384" w:rsidRDefault="00D32DB8" w:rsidP="00C740A1">
      <w:pPr>
        <w:spacing w:before="165" w:line="256" w:lineRule="auto"/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Danoebroto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S.W. (2008).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Meningkatkan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Kemampuan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Pemecahan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Masalah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Melalui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Pendekatan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PMRI dan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Pelatihan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Metakognitif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Jurnal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Penelitian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dan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Evaluasi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Pendidikan,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11(1), 74-87.</w:t>
      </w:r>
    </w:p>
    <w:p w14:paraId="12DF4402" w14:textId="098D4DDE" w:rsidR="00D32DB8" w:rsidRPr="00541384" w:rsidRDefault="00D32DB8" w:rsidP="00C740A1">
      <w:pPr>
        <w:pStyle w:val="BodyText"/>
        <w:spacing w:before="168" w:line="256" w:lineRule="auto"/>
        <w:ind w:left="567" w:right="-58" w:hanging="567"/>
        <w:jc w:val="both"/>
      </w:pPr>
      <w:r w:rsidRPr="00541384">
        <w:rPr>
          <w:color w:val="212121"/>
        </w:rPr>
        <w:t xml:space="preserve">Dochy, F., &amp; Segers, M. (2000). Using </w:t>
      </w:r>
      <w:r w:rsidR="00C740A1">
        <w:rPr>
          <w:color w:val="212121"/>
          <w:lang w:val="en-US"/>
        </w:rPr>
        <w:t>I</w:t>
      </w:r>
      <w:r w:rsidRPr="00541384">
        <w:rPr>
          <w:color w:val="212121"/>
        </w:rPr>
        <w:t xml:space="preserve">nformation and </w:t>
      </w:r>
      <w:r w:rsidR="00C740A1">
        <w:rPr>
          <w:color w:val="212121"/>
          <w:lang w:val="en-US"/>
        </w:rPr>
        <w:t>C</w:t>
      </w:r>
      <w:r w:rsidRPr="00541384">
        <w:rPr>
          <w:color w:val="212121"/>
        </w:rPr>
        <w:t xml:space="preserve">ommunication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echnology (ICT) in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omorrow's </w:t>
      </w:r>
      <w:r w:rsidR="00C740A1">
        <w:rPr>
          <w:color w:val="212121"/>
          <w:lang w:val="en-US"/>
        </w:rPr>
        <w:t>U</w:t>
      </w:r>
      <w:r w:rsidRPr="00541384">
        <w:rPr>
          <w:color w:val="212121"/>
        </w:rPr>
        <w:t xml:space="preserve">niversities and </w:t>
      </w:r>
      <w:r w:rsidR="00C740A1">
        <w:rPr>
          <w:color w:val="212121"/>
          <w:lang w:val="en-US"/>
        </w:rPr>
        <w:t>U</w:t>
      </w:r>
      <w:r w:rsidRPr="00541384">
        <w:rPr>
          <w:color w:val="212121"/>
        </w:rPr>
        <w:t xml:space="preserve">sing </w:t>
      </w:r>
      <w:r w:rsidR="00C740A1">
        <w:rPr>
          <w:color w:val="212121"/>
          <w:lang w:val="en-US"/>
        </w:rPr>
        <w:t>A</w:t>
      </w:r>
      <w:r w:rsidRPr="00541384">
        <w:rPr>
          <w:color w:val="212121"/>
        </w:rPr>
        <w:t xml:space="preserve">ssessment as a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ool  for  </w:t>
      </w:r>
      <w:r w:rsidR="00C740A1">
        <w:rPr>
          <w:color w:val="212121"/>
          <w:lang w:val="en-US"/>
        </w:rPr>
        <w:t>L</w:t>
      </w:r>
      <w:r w:rsidRPr="00541384">
        <w:rPr>
          <w:color w:val="212121"/>
        </w:rPr>
        <w:t xml:space="preserve">earning  by  </w:t>
      </w:r>
      <w:r w:rsidR="00C740A1">
        <w:rPr>
          <w:color w:val="212121"/>
          <w:lang w:val="en-US"/>
        </w:rPr>
        <w:t>M</w:t>
      </w:r>
      <w:r w:rsidRPr="00541384">
        <w:rPr>
          <w:color w:val="212121"/>
        </w:rPr>
        <w:t xml:space="preserve">eans  of  ICT. </w:t>
      </w:r>
      <w:r w:rsidRPr="00541384">
        <w:rPr>
          <w:i/>
          <w:color w:val="212121"/>
        </w:rPr>
        <w:t>Wenner Gren International Series</w:t>
      </w:r>
      <w:r w:rsidRPr="00541384">
        <w:rPr>
          <w:color w:val="212121"/>
        </w:rPr>
        <w:t>,</w:t>
      </w:r>
      <w:r w:rsidRPr="00541384">
        <w:rPr>
          <w:color w:val="212121"/>
          <w:spacing w:val="1"/>
        </w:rPr>
        <w:t xml:space="preserve"> </w:t>
      </w:r>
      <w:r w:rsidRPr="00541384">
        <w:rPr>
          <w:color w:val="212121"/>
        </w:rPr>
        <w:t>67-84.</w:t>
      </w:r>
    </w:p>
    <w:p w14:paraId="23946D66" w14:textId="1613DBAD" w:rsidR="00D32DB8" w:rsidRPr="00541384" w:rsidRDefault="00D32DB8" w:rsidP="00C740A1">
      <w:pPr>
        <w:pStyle w:val="BodyText"/>
        <w:spacing w:before="166" w:line="259" w:lineRule="auto"/>
        <w:ind w:left="567" w:right="-58" w:hanging="567"/>
        <w:jc w:val="both"/>
        <w:rPr>
          <w:color w:val="212121"/>
        </w:rPr>
      </w:pPr>
      <w:r w:rsidRPr="00541384">
        <w:rPr>
          <w:color w:val="212121"/>
        </w:rPr>
        <w:t xml:space="preserve">Gravemeijer, K.P.E. (1994). </w:t>
      </w:r>
      <w:r w:rsidRPr="00541384">
        <w:rPr>
          <w:i/>
          <w:color w:val="212121"/>
        </w:rPr>
        <w:t>Developing Realistic Mathematics Education</w:t>
      </w:r>
      <w:r w:rsidRPr="00541384">
        <w:rPr>
          <w:color w:val="212121"/>
        </w:rPr>
        <w:t>. Ultrecht: F.I.</w:t>
      </w:r>
    </w:p>
    <w:p w14:paraId="1DA0373C" w14:textId="477EE33F" w:rsidR="00D32DB8" w:rsidRDefault="00D32DB8" w:rsidP="00C740A1">
      <w:pPr>
        <w:pStyle w:val="BodyText"/>
        <w:spacing w:before="166" w:line="259" w:lineRule="auto"/>
        <w:ind w:left="567" w:right="-58" w:hanging="567"/>
        <w:jc w:val="both"/>
        <w:rPr>
          <w:color w:val="212121"/>
        </w:rPr>
      </w:pPr>
      <w:r w:rsidRPr="00541384">
        <w:rPr>
          <w:color w:val="212121"/>
        </w:rPr>
        <w:t xml:space="preserve">Irawan, I. P. E., Suharta, I. G. P., &amp; Suparta, I. N. (2016). Faktor-Faktor yang Mempengaruhi Kemampuan Pemecahan Masalah Matematika: Pengetahuan Awal, Apresiasi Matematika, dan Kecerdasan Logis Matematis. In </w:t>
      </w:r>
      <w:r w:rsidRPr="00541384">
        <w:rPr>
          <w:i/>
          <w:color w:val="212121"/>
        </w:rPr>
        <w:t>Prosiding Seminar Nasional MIPA</w:t>
      </w:r>
      <w:r w:rsidRPr="00541384">
        <w:rPr>
          <w:color w:val="212121"/>
        </w:rPr>
        <w:t>, 69-73.</w:t>
      </w:r>
    </w:p>
    <w:p w14:paraId="69E0D19C" w14:textId="58527D2F" w:rsidR="00C76C16" w:rsidRPr="00C76C16" w:rsidRDefault="00C76C16" w:rsidP="00C740A1">
      <w:pPr>
        <w:pStyle w:val="BodyText"/>
        <w:spacing w:before="166" w:line="259" w:lineRule="auto"/>
        <w:ind w:left="567" w:right="-58" w:hanging="567"/>
        <w:jc w:val="both"/>
        <w:rPr>
          <w:color w:val="212121"/>
        </w:rPr>
      </w:pPr>
      <w:r w:rsidRPr="00C76C16">
        <w:rPr>
          <w:color w:val="222222"/>
          <w:shd w:val="clear" w:color="auto" w:fill="FFFFFF"/>
        </w:rPr>
        <w:t>Johnson, E. B. (2002). </w:t>
      </w:r>
      <w:r w:rsidRPr="00C76C16">
        <w:rPr>
          <w:i/>
          <w:iCs/>
          <w:color w:val="222222"/>
          <w:shd w:val="clear" w:color="auto" w:fill="FFFFFF"/>
        </w:rPr>
        <w:t xml:space="preserve">Contextual </w:t>
      </w:r>
      <w:r>
        <w:rPr>
          <w:i/>
          <w:iCs/>
          <w:color w:val="222222"/>
          <w:shd w:val="clear" w:color="auto" w:fill="FFFFFF"/>
          <w:lang w:val="en-US"/>
        </w:rPr>
        <w:t>T</w:t>
      </w:r>
      <w:r w:rsidRPr="00C76C16">
        <w:rPr>
          <w:i/>
          <w:iCs/>
          <w:color w:val="222222"/>
          <w:shd w:val="clear" w:color="auto" w:fill="FFFFFF"/>
        </w:rPr>
        <w:t xml:space="preserve">eaching and </w:t>
      </w:r>
      <w:r>
        <w:rPr>
          <w:i/>
          <w:iCs/>
          <w:color w:val="222222"/>
          <w:shd w:val="clear" w:color="auto" w:fill="FFFFFF"/>
          <w:lang w:val="en-US"/>
        </w:rPr>
        <w:t>L</w:t>
      </w:r>
      <w:r w:rsidRPr="00C76C16">
        <w:rPr>
          <w:i/>
          <w:iCs/>
          <w:color w:val="222222"/>
          <w:shd w:val="clear" w:color="auto" w:fill="FFFFFF"/>
        </w:rPr>
        <w:t xml:space="preserve">earning: What </w:t>
      </w:r>
      <w:r>
        <w:rPr>
          <w:i/>
          <w:iCs/>
          <w:color w:val="222222"/>
          <w:shd w:val="clear" w:color="auto" w:fill="FFFFFF"/>
          <w:lang w:val="en-US"/>
        </w:rPr>
        <w:t>I</w:t>
      </w:r>
      <w:r w:rsidRPr="00C76C16">
        <w:rPr>
          <w:i/>
          <w:iCs/>
          <w:color w:val="222222"/>
          <w:shd w:val="clear" w:color="auto" w:fill="FFFFFF"/>
        </w:rPr>
        <w:t xml:space="preserve">t </w:t>
      </w:r>
      <w:r>
        <w:rPr>
          <w:i/>
          <w:iCs/>
          <w:color w:val="222222"/>
          <w:shd w:val="clear" w:color="auto" w:fill="FFFFFF"/>
          <w:lang w:val="en-US"/>
        </w:rPr>
        <w:t>I</w:t>
      </w:r>
      <w:r w:rsidRPr="00C76C16">
        <w:rPr>
          <w:i/>
          <w:iCs/>
          <w:color w:val="222222"/>
          <w:shd w:val="clear" w:color="auto" w:fill="FFFFFF"/>
        </w:rPr>
        <w:t xml:space="preserve">s and </w:t>
      </w:r>
      <w:r>
        <w:rPr>
          <w:i/>
          <w:iCs/>
          <w:color w:val="222222"/>
          <w:shd w:val="clear" w:color="auto" w:fill="FFFFFF"/>
          <w:lang w:val="en-US"/>
        </w:rPr>
        <w:t>W</w:t>
      </w:r>
      <w:r w:rsidRPr="00C76C16">
        <w:rPr>
          <w:i/>
          <w:iCs/>
          <w:color w:val="222222"/>
          <w:shd w:val="clear" w:color="auto" w:fill="FFFFFF"/>
        </w:rPr>
        <w:t xml:space="preserve">hy </w:t>
      </w:r>
      <w:r>
        <w:rPr>
          <w:i/>
          <w:iCs/>
          <w:color w:val="222222"/>
          <w:shd w:val="clear" w:color="auto" w:fill="FFFFFF"/>
          <w:lang w:val="en-US"/>
        </w:rPr>
        <w:t>I</w:t>
      </w:r>
      <w:r w:rsidRPr="00C76C16">
        <w:rPr>
          <w:i/>
          <w:iCs/>
          <w:color w:val="222222"/>
          <w:shd w:val="clear" w:color="auto" w:fill="FFFFFF"/>
        </w:rPr>
        <w:t xml:space="preserve">t's </w:t>
      </w:r>
      <w:r>
        <w:rPr>
          <w:i/>
          <w:iCs/>
          <w:color w:val="222222"/>
          <w:shd w:val="clear" w:color="auto" w:fill="FFFFFF"/>
          <w:lang w:val="en-US"/>
        </w:rPr>
        <w:t>H</w:t>
      </w:r>
      <w:r w:rsidRPr="00C76C16">
        <w:rPr>
          <w:i/>
          <w:iCs/>
          <w:color w:val="222222"/>
          <w:shd w:val="clear" w:color="auto" w:fill="FFFFFF"/>
        </w:rPr>
        <w:t xml:space="preserve">ere to </w:t>
      </w:r>
      <w:r>
        <w:rPr>
          <w:i/>
          <w:iCs/>
          <w:color w:val="222222"/>
          <w:shd w:val="clear" w:color="auto" w:fill="FFFFFF"/>
          <w:lang w:val="en-US"/>
        </w:rPr>
        <w:t>S</w:t>
      </w:r>
      <w:r w:rsidRPr="00C76C16">
        <w:rPr>
          <w:i/>
          <w:iCs/>
          <w:color w:val="222222"/>
          <w:shd w:val="clear" w:color="auto" w:fill="FFFFFF"/>
        </w:rPr>
        <w:t>tay</w:t>
      </w:r>
      <w:r w:rsidRPr="00C76C16">
        <w:rPr>
          <w:color w:val="222222"/>
          <w:shd w:val="clear" w:color="auto" w:fill="FFFFFF"/>
        </w:rPr>
        <w:t>. Corwin Press.</w:t>
      </w:r>
    </w:p>
    <w:p w14:paraId="6F6234CA" w14:textId="3534A74E" w:rsidR="00CF2FC4" w:rsidRPr="00CF2FC4" w:rsidRDefault="00CF2FC4" w:rsidP="00C740A1">
      <w:pPr>
        <w:pStyle w:val="BodyText"/>
        <w:spacing w:before="166" w:line="259" w:lineRule="auto"/>
        <w:ind w:left="567" w:right="-58" w:hanging="567"/>
        <w:jc w:val="both"/>
      </w:pPr>
      <w:r w:rsidRPr="00CF2FC4">
        <w:rPr>
          <w:color w:val="222222"/>
          <w:shd w:val="clear" w:color="auto" w:fill="FFFFFF"/>
        </w:rPr>
        <w:lastRenderedPageBreak/>
        <w:t>Kelly, C. A. (2006). Using manipulatives in mathematical problem solving: A performance-based analysis. </w:t>
      </w:r>
      <w:r w:rsidRPr="00CF2FC4">
        <w:rPr>
          <w:i/>
          <w:iCs/>
          <w:color w:val="222222"/>
          <w:shd w:val="clear" w:color="auto" w:fill="FFFFFF"/>
        </w:rPr>
        <w:t>The mathematics enthusiast</w:t>
      </w:r>
      <w:r w:rsidRPr="00CF2FC4">
        <w:rPr>
          <w:color w:val="222222"/>
          <w:shd w:val="clear" w:color="auto" w:fill="FFFFFF"/>
        </w:rPr>
        <w:t>, </w:t>
      </w:r>
      <w:r w:rsidRPr="00CF2FC4">
        <w:rPr>
          <w:i/>
          <w:iCs/>
          <w:color w:val="222222"/>
          <w:shd w:val="clear" w:color="auto" w:fill="FFFFFF"/>
        </w:rPr>
        <w:t>3</w:t>
      </w:r>
      <w:r w:rsidRPr="00CF2FC4">
        <w:rPr>
          <w:color w:val="222222"/>
          <w:shd w:val="clear" w:color="auto" w:fill="FFFFFF"/>
        </w:rPr>
        <w:t>(2), 184-193.</w:t>
      </w:r>
    </w:p>
    <w:p w14:paraId="2A07824D" w14:textId="72B7CAC4" w:rsidR="00AF6903" w:rsidRPr="00541384" w:rsidRDefault="00AF6903" w:rsidP="00C740A1">
      <w:pPr>
        <w:spacing w:before="183" w:line="256" w:lineRule="auto"/>
        <w:ind w:left="567" w:right="-58" w:hanging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Kurniasih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W. (2012). Scaffolding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ebagai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lternatif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paya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eningkatkan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emampuan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erpikir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ritis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40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atematika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Kreano</w:t>
      </w:r>
      <w:proofErr w:type="spellEnd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Matematika</w:t>
      </w:r>
      <w:proofErr w:type="spellEnd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Kreatif-Inovatif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113-124.</w:t>
      </w:r>
    </w:p>
    <w:p w14:paraId="07767841" w14:textId="1B1F8419" w:rsidR="00CF2FC4" w:rsidRPr="00CF2FC4" w:rsidRDefault="00CF2FC4" w:rsidP="00C740A1">
      <w:pPr>
        <w:spacing w:before="183" w:line="256" w:lineRule="auto"/>
        <w:ind w:left="567" w:right="-58" w:hanging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Laurens, T., </w:t>
      </w:r>
      <w:proofErr w:type="spellStart"/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Batlolona</w:t>
      </w:r>
      <w:proofErr w:type="spellEnd"/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 A., </w:t>
      </w:r>
      <w:proofErr w:type="spellStart"/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Batlolona</w:t>
      </w:r>
      <w:proofErr w:type="spellEnd"/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R., &amp; </w:t>
      </w:r>
      <w:proofErr w:type="spellStart"/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Leasa</w:t>
      </w:r>
      <w:proofErr w:type="spellEnd"/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(2017). How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ealistic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athematics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ducation (RME)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mprove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tudents’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athematics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ognitive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chievement?.</w:t>
      </w:r>
      <w:proofErr w:type="gramEnd"/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F2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Eurasia Journal of Mathematics, Science and Technology Education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F2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569-578.</w:t>
      </w:r>
    </w:p>
    <w:p w14:paraId="24796FA1" w14:textId="2D288B58" w:rsidR="00A13EE3" w:rsidRPr="00541384" w:rsidRDefault="00D32DB8" w:rsidP="00C740A1">
      <w:pPr>
        <w:spacing w:before="183" w:line="256" w:lineRule="auto"/>
        <w:ind w:left="567" w:right="-58" w:hanging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Milles, M. B., &amp; Huberman, A. M. (1992).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Analisis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Data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Kualitatif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: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Buku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Sumber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Tentang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Metode-Metode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Baru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.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Jakarta: UIP.</w:t>
      </w:r>
    </w:p>
    <w:p w14:paraId="67707936" w14:textId="5A0462E3" w:rsidR="00A13EE3" w:rsidRPr="00541384" w:rsidRDefault="00A13EE3" w:rsidP="00C740A1">
      <w:pPr>
        <w:pStyle w:val="BodyText"/>
        <w:spacing w:before="159" w:line="256" w:lineRule="auto"/>
        <w:ind w:left="567" w:right="-58" w:hanging="567"/>
        <w:jc w:val="both"/>
      </w:pPr>
      <w:r w:rsidRPr="00541384">
        <w:rPr>
          <w:color w:val="212121"/>
        </w:rPr>
        <w:t xml:space="preserve">Mousoulides, N. G., Christou, C., &amp; Sriraman, B. (2008). A </w:t>
      </w:r>
      <w:r w:rsidR="00C740A1">
        <w:rPr>
          <w:color w:val="212121"/>
          <w:lang w:val="en-US"/>
        </w:rPr>
        <w:t>M</w:t>
      </w:r>
      <w:r w:rsidRPr="00541384">
        <w:rPr>
          <w:color w:val="212121"/>
        </w:rPr>
        <w:t xml:space="preserve">odeling </w:t>
      </w:r>
      <w:r w:rsidR="00C740A1">
        <w:rPr>
          <w:color w:val="212121"/>
          <w:lang w:val="en-US"/>
        </w:rPr>
        <w:t>P</w:t>
      </w:r>
      <w:r w:rsidRPr="00541384">
        <w:rPr>
          <w:color w:val="212121"/>
        </w:rPr>
        <w:t xml:space="preserve">erspective on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he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eaching and </w:t>
      </w:r>
      <w:r w:rsidR="00C740A1">
        <w:rPr>
          <w:color w:val="212121"/>
          <w:lang w:val="en-US"/>
        </w:rPr>
        <w:t>L</w:t>
      </w:r>
      <w:r w:rsidRPr="00541384">
        <w:rPr>
          <w:color w:val="212121"/>
        </w:rPr>
        <w:t xml:space="preserve">earning of </w:t>
      </w:r>
      <w:r w:rsidR="00C740A1">
        <w:rPr>
          <w:color w:val="212121"/>
          <w:lang w:val="en-US"/>
        </w:rPr>
        <w:t>M</w:t>
      </w:r>
      <w:r w:rsidRPr="00541384">
        <w:rPr>
          <w:color w:val="212121"/>
        </w:rPr>
        <w:t xml:space="preserve">athematical </w:t>
      </w:r>
      <w:r w:rsidR="00C740A1">
        <w:rPr>
          <w:color w:val="212121"/>
          <w:lang w:val="en-US"/>
        </w:rPr>
        <w:t>P</w:t>
      </w:r>
      <w:r w:rsidRPr="00541384">
        <w:rPr>
          <w:color w:val="212121"/>
        </w:rPr>
        <w:t xml:space="preserve">roblem </w:t>
      </w:r>
      <w:r w:rsidR="00C740A1">
        <w:rPr>
          <w:color w:val="212121"/>
          <w:lang w:val="en-US"/>
        </w:rPr>
        <w:t>S</w:t>
      </w:r>
      <w:r w:rsidRPr="00541384">
        <w:rPr>
          <w:color w:val="212121"/>
        </w:rPr>
        <w:t xml:space="preserve">olving. </w:t>
      </w:r>
      <w:r w:rsidRPr="00541384">
        <w:rPr>
          <w:i/>
          <w:color w:val="212121"/>
        </w:rPr>
        <w:t>Mathematical Thinking and Learning</w:t>
      </w:r>
      <w:r w:rsidRPr="00541384">
        <w:rPr>
          <w:color w:val="212121"/>
        </w:rPr>
        <w:t>, 10(3), 293-304.</w:t>
      </w:r>
    </w:p>
    <w:p w14:paraId="0E711264" w14:textId="29C98220" w:rsidR="00A13EE3" w:rsidRPr="00541384" w:rsidRDefault="00A13EE3" w:rsidP="00C740A1">
      <w:pPr>
        <w:spacing w:before="183" w:line="256" w:lineRule="auto"/>
        <w:ind w:left="567" w:right="-58" w:hanging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Mulhamah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Putrawangsa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(2017).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Penerapan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Pembelajaran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Kontekstual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Meningkatkan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Kemampuan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Pemecahan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Masalah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Matematika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Pendidikan </w:t>
      </w:r>
      <w:proofErr w:type="spellStart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Matematika</w:t>
      </w:r>
      <w:proofErr w:type="spellEnd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Sriwijaya</w:t>
      </w:r>
      <w:proofErr w:type="spellEnd"/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4138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541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58-80.</w:t>
      </w:r>
    </w:p>
    <w:p w14:paraId="31199B47" w14:textId="61BC435C" w:rsidR="00D32DB8" w:rsidRPr="00541384" w:rsidRDefault="00D32DB8" w:rsidP="00C740A1">
      <w:pPr>
        <w:pStyle w:val="BodyText"/>
        <w:spacing w:before="169" w:line="256" w:lineRule="auto"/>
        <w:ind w:left="567" w:right="-58" w:hanging="567"/>
        <w:jc w:val="both"/>
      </w:pPr>
      <w:r w:rsidRPr="00541384">
        <w:rPr>
          <w:color w:val="212121"/>
        </w:rPr>
        <w:t xml:space="preserve">Noviyanti, F., Sugiharta, I., &amp; Farida, F. (2019). Analisis Kemampuan Pemecahan Masalah Matematis: Dampak Blended Learning Menggunakan Edmodo. </w:t>
      </w:r>
      <w:r w:rsidRPr="00541384">
        <w:rPr>
          <w:i/>
          <w:color w:val="212121"/>
        </w:rPr>
        <w:t>Desimal: Jurnal Matematika</w:t>
      </w:r>
      <w:r w:rsidRPr="00541384">
        <w:rPr>
          <w:color w:val="212121"/>
        </w:rPr>
        <w:t xml:space="preserve">, </w:t>
      </w:r>
      <w:r w:rsidRPr="00541384">
        <w:rPr>
          <w:i/>
          <w:color w:val="212121"/>
        </w:rPr>
        <w:t>2</w:t>
      </w:r>
      <w:r w:rsidRPr="00541384">
        <w:rPr>
          <w:color w:val="212121"/>
        </w:rPr>
        <w:t>(2), 173-180.</w:t>
      </w:r>
    </w:p>
    <w:p w14:paraId="3E66CC08" w14:textId="77777777" w:rsidR="00D32DB8" w:rsidRPr="00541384" w:rsidRDefault="00D32DB8" w:rsidP="00C740A1">
      <w:pPr>
        <w:spacing w:before="167" w:line="256" w:lineRule="auto"/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Nurlatifah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541384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N.</w:t>
      </w:r>
      <w:r w:rsidRPr="00541384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(2018).</w:t>
      </w:r>
      <w:r w:rsidRPr="00541384">
        <w:rPr>
          <w:rFonts w:ascii="Times New Roman" w:hAnsi="Times New Roman" w:cs="Times New Roman"/>
          <w:color w:val="212121"/>
          <w:spacing w:val="-14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Penggunaan</w:t>
      </w:r>
      <w:proofErr w:type="spellEnd"/>
      <w:r w:rsidRPr="00541384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PMRI</w:t>
      </w:r>
      <w:r w:rsidRPr="00541384">
        <w:rPr>
          <w:rFonts w:ascii="Times New Roman" w:hAnsi="Times New Roman" w:cs="Times New Roman"/>
          <w:color w:val="212121"/>
          <w:spacing w:val="-17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Berbantuan</w:t>
      </w:r>
      <w:proofErr w:type="spellEnd"/>
      <w:r w:rsidRPr="00541384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Elearning</w:t>
      </w:r>
      <w:proofErr w:type="spellEnd"/>
      <w:r w:rsidRPr="00541384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Schoology</w:t>
      </w:r>
      <w:r w:rsidRPr="00541384">
        <w:rPr>
          <w:rFonts w:ascii="Times New Roman" w:hAnsi="Times New Roman" w:cs="Times New Roman"/>
          <w:color w:val="212121"/>
          <w:spacing w:val="-16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Terhadap</w:t>
      </w:r>
      <w:proofErr w:type="spellEnd"/>
      <w:r w:rsidRPr="00541384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Aktivitas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dan Hasil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Belajar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Siswa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Ekuivalen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: Pendidikan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Matematika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>, 31(1),</w:t>
      </w:r>
      <w:r w:rsidRPr="00541384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1-6.</w:t>
      </w:r>
    </w:p>
    <w:p w14:paraId="5A677A49" w14:textId="6965F733" w:rsidR="003B63DA" w:rsidRPr="00541384" w:rsidRDefault="003B63DA" w:rsidP="00C740A1">
      <w:pPr>
        <w:pStyle w:val="BodyText"/>
        <w:spacing w:before="185" w:line="256" w:lineRule="auto"/>
        <w:ind w:left="567" w:right="-58" w:hanging="567"/>
        <w:jc w:val="both"/>
      </w:pPr>
      <w:r w:rsidRPr="00541384">
        <w:rPr>
          <w:color w:val="212121"/>
        </w:rPr>
        <w:t>Peraturan Menteri Pendidikan dan Kebudayaan No. 22 Tahun 2006 Tentang Standar Isi untuk Pendidikan Dasar dan Menengah.</w:t>
      </w:r>
    </w:p>
    <w:p w14:paraId="1AC7AF83" w14:textId="77777777" w:rsidR="00A13EE3" w:rsidRPr="00541384" w:rsidRDefault="00A13EE3" w:rsidP="00C740A1">
      <w:pPr>
        <w:pStyle w:val="BodyText"/>
        <w:spacing w:before="168" w:line="256" w:lineRule="auto"/>
        <w:ind w:left="567" w:right="-58" w:hanging="567"/>
        <w:jc w:val="both"/>
      </w:pPr>
      <w:r w:rsidRPr="00541384">
        <w:rPr>
          <w:color w:val="212121"/>
        </w:rPr>
        <w:t xml:space="preserve">Pimta, S., Tayraukham, S., &amp; Nuangchalerm, P. (2009). Factors Influencing Mathematic Problem-Solving Ability of Sixth Grade Students. </w:t>
      </w:r>
      <w:r w:rsidRPr="00541384">
        <w:rPr>
          <w:i/>
          <w:color w:val="212121"/>
        </w:rPr>
        <w:t>Online Submission</w:t>
      </w:r>
      <w:r w:rsidRPr="00541384">
        <w:rPr>
          <w:color w:val="212121"/>
        </w:rPr>
        <w:t xml:space="preserve">, </w:t>
      </w:r>
      <w:r w:rsidRPr="00541384">
        <w:rPr>
          <w:i/>
          <w:color w:val="212121"/>
        </w:rPr>
        <w:t>5</w:t>
      </w:r>
      <w:r w:rsidRPr="00541384">
        <w:rPr>
          <w:color w:val="212121"/>
        </w:rPr>
        <w:t>(4), 381-385.</w:t>
      </w:r>
    </w:p>
    <w:p w14:paraId="2129B8AD" w14:textId="589E8DAD" w:rsidR="00CF2FC4" w:rsidRDefault="00CF2FC4" w:rsidP="00C740A1">
      <w:pPr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5AE14F7" w14:textId="2995F963" w:rsidR="00CF2FC4" w:rsidRPr="00CF2FC4" w:rsidRDefault="00CF2FC4" w:rsidP="00C740A1">
      <w:pPr>
        <w:ind w:left="567" w:right="-58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Reiser, B. J., &amp; Tabak, I. (2014). Scaffolding. In </w:t>
      </w:r>
      <w:r w:rsidRPr="00CF2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Cambridge Handbook of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</w:t>
      </w:r>
      <w:r w:rsidRPr="00CF2FC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 Learning Sciences, Second Edition</w:t>
      </w:r>
      <w:r w:rsidRPr="00CF2F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44-62). Cambridge University Press.</w:t>
      </w:r>
    </w:p>
    <w:p w14:paraId="63CDC29B" w14:textId="77777777" w:rsidR="00CF2FC4" w:rsidRPr="00541384" w:rsidRDefault="00CF2FC4" w:rsidP="00C740A1">
      <w:pPr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130C17B" w14:textId="43729C62" w:rsidR="00541384" w:rsidRPr="00541384" w:rsidRDefault="00541384" w:rsidP="00C740A1">
      <w:pPr>
        <w:spacing w:before="1"/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Sulistyorini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Y. (2015).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Karakteristik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G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estur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G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uru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dalam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M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emperabaiki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K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esalahan</w:t>
      </w:r>
      <w:proofErr w:type="spellEnd"/>
      <w:r w:rsidRPr="00541384">
        <w:rPr>
          <w:rFonts w:ascii="Times New Roman" w:hAnsi="Times New Roman" w:cs="Times New Roman"/>
          <w:i/>
          <w:color w:val="212121"/>
          <w:spacing w:val="-30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M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atematika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S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iswa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di </w:t>
      </w:r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K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elas </w:t>
      </w:r>
      <w:proofErr w:type="spellStart"/>
      <w:r w:rsidR="00C740A1">
        <w:rPr>
          <w:rFonts w:ascii="Times New Roman" w:hAnsi="Times New Roman" w:cs="Times New Roman"/>
          <w:i/>
          <w:color w:val="212121"/>
          <w:sz w:val="24"/>
          <w:szCs w:val="24"/>
        </w:rPr>
        <w:t>I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nklusif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(Doctoral dissertation, Universitas Negeri</w:t>
      </w:r>
      <w:r w:rsidRPr="00541384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Malang).</w:t>
      </w:r>
    </w:p>
    <w:p w14:paraId="6DC5AD09" w14:textId="77777777" w:rsidR="00541384" w:rsidRPr="00541384" w:rsidRDefault="00541384" w:rsidP="00C740A1">
      <w:pPr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0A5DD43" w14:textId="3A9E80F3" w:rsidR="003B63DA" w:rsidRPr="00541384" w:rsidRDefault="003B63DA" w:rsidP="00C740A1">
      <w:pPr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sz w:val="24"/>
          <w:szCs w:val="24"/>
        </w:rPr>
        <w:t>Sumarmo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41384">
        <w:rPr>
          <w:rFonts w:ascii="Times New Roman" w:hAnsi="Times New Roman" w:cs="Times New Roman"/>
          <w:sz w:val="24"/>
          <w:szCs w:val="24"/>
        </w:rPr>
        <w:t>Hendriana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. (2014). </w:t>
      </w:r>
      <w:proofErr w:type="spellStart"/>
      <w:r w:rsidRPr="00541384">
        <w:rPr>
          <w:rFonts w:ascii="Times New Roman" w:hAnsi="Times New Roman" w:cs="Times New Roman"/>
          <w:i/>
          <w:sz w:val="24"/>
          <w:szCs w:val="24"/>
        </w:rPr>
        <w:t>Penilaian</w:t>
      </w:r>
      <w:proofErr w:type="spellEnd"/>
      <w:r w:rsidRPr="005413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54138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. Bandung: </w:t>
      </w:r>
      <w:proofErr w:type="spellStart"/>
      <w:proofErr w:type="gramStart"/>
      <w:r w:rsidRPr="00541384">
        <w:rPr>
          <w:rFonts w:ascii="Times New Roman" w:hAnsi="Times New Roman" w:cs="Times New Roman"/>
          <w:sz w:val="24"/>
          <w:szCs w:val="24"/>
        </w:rPr>
        <w:t>PT.Refika</w:t>
      </w:r>
      <w:proofErr w:type="spellEnd"/>
      <w:proofErr w:type="gram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sz w:val="24"/>
          <w:szCs w:val="24"/>
        </w:rPr>
        <w:t>Aditama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>.</w:t>
      </w:r>
    </w:p>
    <w:p w14:paraId="4C9E5699" w14:textId="77777777" w:rsidR="003B63DA" w:rsidRPr="00541384" w:rsidRDefault="003B63DA" w:rsidP="00C740A1">
      <w:pPr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0C39E2" w14:textId="3369B79D" w:rsidR="00C740A1" w:rsidRDefault="003B63DA" w:rsidP="00622F81">
      <w:pPr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  <w:r w:rsidRPr="00541384">
        <w:rPr>
          <w:rFonts w:ascii="Times New Roman" w:hAnsi="Times New Roman" w:cs="Times New Roman"/>
          <w:sz w:val="24"/>
          <w:szCs w:val="24"/>
        </w:rPr>
        <w:t>Sur</w:t>
      </w:r>
      <w:r w:rsidR="00C740A1">
        <w:rPr>
          <w:rFonts w:ascii="Times New Roman" w:hAnsi="Times New Roman" w:cs="Times New Roman"/>
          <w:sz w:val="24"/>
          <w:szCs w:val="24"/>
        </w:rPr>
        <w:t>ya, E.</w:t>
      </w:r>
      <w:r w:rsidRPr="00541384">
        <w:rPr>
          <w:rFonts w:ascii="Times New Roman" w:hAnsi="Times New Roman" w:cs="Times New Roman"/>
          <w:sz w:val="24"/>
          <w:szCs w:val="24"/>
        </w:rPr>
        <w:t xml:space="preserve"> (2013). </w:t>
      </w:r>
      <w:proofErr w:type="spellStart"/>
      <w:r w:rsidRPr="0054138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</w:t>
      </w:r>
      <w:r w:rsidRPr="00541384">
        <w:rPr>
          <w:rFonts w:ascii="Times New Roman" w:hAnsi="Times New Roman" w:cs="Times New Roman"/>
          <w:sz w:val="24"/>
          <w:szCs w:val="24"/>
        </w:rPr>
        <w:t>emampuan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R</w:t>
      </w:r>
      <w:r w:rsidRPr="00541384">
        <w:rPr>
          <w:rFonts w:ascii="Times New Roman" w:hAnsi="Times New Roman" w:cs="Times New Roman"/>
          <w:sz w:val="24"/>
          <w:szCs w:val="24"/>
        </w:rPr>
        <w:t>epresentasi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r w:rsidR="00C740A1">
        <w:rPr>
          <w:rFonts w:ascii="Times New Roman" w:hAnsi="Times New Roman" w:cs="Times New Roman"/>
          <w:sz w:val="24"/>
          <w:szCs w:val="24"/>
        </w:rPr>
        <w:t>V</w:t>
      </w:r>
      <w:r w:rsidRPr="00541384">
        <w:rPr>
          <w:rFonts w:ascii="Times New Roman" w:hAnsi="Times New Roman" w:cs="Times New Roman"/>
          <w:sz w:val="24"/>
          <w:szCs w:val="24"/>
        </w:rPr>
        <w:t xml:space="preserve">isual </w:t>
      </w:r>
      <w:r w:rsidR="00C740A1">
        <w:rPr>
          <w:rFonts w:ascii="Times New Roman" w:hAnsi="Times New Roman" w:cs="Times New Roman"/>
          <w:sz w:val="24"/>
          <w:szCs w:val="24"/>
        </w:rPr>
        <w:t>T</w:t>
      </w:r>
      <w:r w:rsidRPr="00541384">
        <w:rPr>
          <w:rFonts w:ascii="Times New Roman" w:hAnsi="Times New Roman" w:cs="Times New Roman"/>
          <w:sz w:val="24"/>
          <w:szCs w:val="24"/>
        </w:rPr>
        <w:t xml:space="preserve">hinking </w:t>
      </w:r>
      <w:r w:rsidR="00C740A1">
        <w:rPr>
          <w:rFonts w:ascii="Times New Roman" w:hAnsi="Times New Roman" w:cs="Times New Roman"/>
          <w:sz w:val="24"/>
          <w:szCs w:val="24"/>
        </w:rPr>
        <w:t>P</w:t>
      </w:r>
      <w:r w:rsidRPr="00541384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</w:t>
      </w:r>
      <w:r w:rsidRPr="00541384">
        <w:rPr>
          <w:rFonts w:ascii="Times New Roman" w:hAnsi="Times New Roman" w:cs="Times New Roman"/>
          <w:sz w:val="24"/>
          <w:szCs w:val="24"/>
        </w:rPr>
        <w:t>emecahan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</w:t>
      </w:r>
      <w:r w:rsidRPr="00541384">
        <w:rPr>
          <w:rFonts w:ascii="Times New Roman" w:hAnsi="Times New Roman" w:cs="Times New Roman"/>
          <w:sz w:val="24"/>
          <w:szCs w:val="24"/>
        </w:rPr>
        <w:t>asalah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</w:t>
      </w:r>
      <w:r w:rsidRPr="00541384">
        <w:rPr>
          <w:rFonts w:ascii="Times New Roman" w:hAnsi="Times New Roman" w:cs="Times New Roman"/>
          <w:sz w:val="24"/>
          <w:szCs w:val="24"/>
        </w:rPr>
        <w:t>atematis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</w:t>
      </w:r>
      <w:r w:rsidRPr="00541384">
        <w:rPr>
          <w:rFonts w:ascii="Times New Roman" w:hAnsi="Times New Roman" w:cs="Times New Roman"/>
          <w:sz w:val="24"/>
          <w:szCs w:val="24"/>
        </w:rPr>
        <w:t>emandirian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B</w:t>
      </w:r>
      <w:r w:rsidRPr="00541384">
        <w:rPr>
          <w:rFonts w:ascii="Times New Roman" w:hAnsi="Times New Roman" w:cs="Times New Roman"/>
          <w:sz w:val="24"/>
          <w:szCs w:val="24"/>
        </w:rPr>
        <w:t>elajar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S</w:t>
      </w:r>
      <w:r w:rsidRPr="00541384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r w:rsidR="00C740A1">
        <w:rPr>
          <w:rFonts w:ascii="Times New Roman" w:hAnsi="Times New Roman" w:cs="Times New Roman"/>
          <w:sz w:val="24"/>
          <w:szCs w:val="24"/>
        </w:rPr>
        <w:t>SMP</w:t>
      </w:r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M</w:t>
      </w:r>
      <w:r w:rsidRPr="00541384">
        <w:rPr>
          <w:rFonts w:ascii="Times New Roman" w:hAnsi="Times New Roman" w:cs="Times New Roman"/>
          <w:sz w:val="24"/>
          <w:szCs w:val="24"/>
        </w:rPr>
        <w:t>elalui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P</w:t>
      </w:r>
      <w:r w:rsidRPr="00541384">
        <w:rPr>
          <w:rFonts w:ascii="Times New Roman" w:hAnsi="Times New Roman" w:cs="Times New Roman"/>
          <w:sz w:val="24"/>
          <w:szCs w:val="24"/>
        </w:rPr>
        <w:t>embelajaran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0A1">
        <w:rPr>
          <w:rFonts w:ascii="Times New Roman" w:hAnsi="Times New Roman" w:cs="Times New Roman"/>
          <w:sz w:val="24"/>
          <w:szCs w:val="24"/>
        </w:rPr>
        <w:t>K</w:t>
      </w:r>
      <w:r w:rsidRPr="00541384">
        <w:rPr>
          <w:rFonts w:ascii="Times New Roman" w:hAnsi="Times New Roman" w:cs="Times New Roman"/>
          <w:sz w:val="24"/>
          <w:szCs w:val="24"/>
        </w:rPr>
        <w:t>ontekstual</w:t>
      </w:r>
      <w:proofErr w:type="spellEnd"/>
      <w:r w:rsidRPr="00541384">
        <w:rPr>
          <w:rFonts w:ascii="Times New Roman" w:hAnsi="Times New Roman" w:cs="Times New Roman"/>
          <w:sz w:val="24"/>
          <w:szCs w:val="24"/>
        </w:rPr>
        <w:t>.</w:t>
      </w:r>
      <w:r w:rsidR="00C740A1">
        <w:rPr>
          <w:rFonts w:ascii="Times New Roman" w:hAnsi="Times New Roman" w:cs="Times New Roman"/>
          <w:sz w:val="24"/>
          <w:szCs w:val="24"/>
        </w:rPr>
        <w:t xml:space="preserve"> (Doctoral Dissertation, Universitas Pendidikan Indonesia)</w:t>
      </w:r>
    </w:p>
    <w:p w14:paraId="79B5CFE2" w14:textId="77777777" w:rsidR="00622F81" w:rsidRPr="00622F81" w:rsidRDefault="00622F81" w:rsidP="00622F81">
      <w:pPr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32D25D2" w14:textId="3291C3AB" w:rsidR="003B63DA" w:rsidRPr="00541384" w:rsidRDefault="003B63DA" w:rsidP="00C740A1">
      <w:pPr>
        <w:spacing w:before="165" w:line="259" w:lineRule="auto"/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Ulfa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K.,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Buchori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A., &amp;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Murtianto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Y. H. (2017).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Efektivitas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Model Guided Discovery Learning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untuk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Video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Pembelajaran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dalam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Mengetahui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Perbedaan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Kemampuan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lastRenderedPageBreak/>
        <w:t>Pemecahan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Masalah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Matematika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Siswa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MUST: Journal of Mathematics Education, Science and Technology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, 2(2), 267-275.</w:t>
      </w:r>
    </w:p>
    <w:p w14:paraId="5F3E42FA" w14:textId="7487DD36" w:rsidR="00A13EE3" w:rsidRPr="00541384" w:rsidRDefault="00A13EE3" w:rsidP="00C740A1">
      <w:pPr>
        <w:pStyle w:val="BodyText"/>
        <w:spacing w:before="159" w:line="256" w:lineRule="auto"/>
        <w:ind w:left="567" w:right="-58" w:hanging="567"/>
        <w:jc w:val="both"/>
      </w:pPr>
      <w:r w:rsidRPr="00541384">
        <w:rPr>
          <w:color w:val="212121"/>
        </w:rPr>
        <w:t xml:space="preserve">Van Den Heuvel-Panhuizen, M. (2003). The Didactical Use of Models in Realistic Mathematics Education: An Example From  A  Longitudinal  Trajectory  on Percentage. </w:t>
      </w:r>
      <w:r w:rsidRPr="00541384">
        <w:rPr>
          <w:i/>
          <w:color w:val="212121"/>
        </w:rPr>
        <w:t>Educational studies in Mathematics</w:t>
      </w:r>
      <w:r w:rsidRPr="00541384">
        <w:rPr>
          <w:color w:val="212121"/>
        </w:rPr>
        <w:t>, 54(1),</w:t>
      </w:r>
      <w:r w:rsidRPr="00541384">
        <w:rPr>
          <w:color w:val="212121"/>
          <w:spacing w:val="2"/>
        </w:rPr>
        <w:t xml:space="preserve"> </w:t>
      </w:r>
      <w:r w:rsidRPr="00541384">
        <w:rPr>
          <w:color w:val="212121"/>
        </w:rPr>
        <w:t>9-35.</w:t>
      </w:r>
    </w:p>
    <w:p w14:paraId="0B65CE06" w14:textId="28DCC3D4" w:rsidR="00541384" w:rsidRPr="00541384" w:rsidRDefault="00541384" w:rsidP="00C740A1">
      <w:pPr>
        <w:pStyle w:val="BodyText"/>
        <w:spacing w:before="166" w:line="256" w:lineRule="auto"/>
        <w:ind w:left="567" w:right="-58" w:hanging="567"/>
        <w:rPr>
          <w:color w:val="212121"/>
        </w:rPr>
      </w:pPr>
      <w:bookmarkStart w:id="2" w:name="_Hlk82255156"/>
      <w:r w:rsidRPr="00541384">
        <w:rPr>
          <w:color w:val="222222"/>
          <w:shd w:val="clear" w:color="auto" w:fill="FFFFFF"/>
        </w:rPr>
        <w:t>Van Den Heuvel-Panhuizen, M. (2005)</w:t>
      </w:r>
      <w:bookmarkEnd w:id="2"/>
      <w:r w:rsidRPr="00541384">
        <w:rPr>
          <w:color w:val="222222"/>
          <w:shd w:val="clear" w:color="auto" w:fill="FFFFFF"/>
        </w:rPr>
        <w:t xml:space="preserve">. The </w:t>
      </w:r>
      <w:r w:rsidR="00C740A1">
        <w:rPr>
          <w:color w:val="222222"/>
          <w:shd w:val="clear" w:color="auto" w:fill="FFFFFF"/>
          <w:lang w:val="en-US"/>
        </w:rPr>
        <w:t>R</w:t>
      </w:r>
      <w:r w:rsidRPr="00541384">
        <w:rPr>
          <w:color w:val="222222"/>
          <w:shd w:val="clear" w:color="auto" w:fill="FFFFFF"/>
        </w:rPr>
        <w:t xml:space="preserve">ole of </w:t>
      </w:r>
      <w:r w:rsidR="00C740A1">
        <w:rPr>
          <w:color w:val="222222"/>
          <w:shd w:val="clear" w:color="auto" w:fill="FFFFFF"/>
          <w:lang w:val="en-US"/>
        </w:rPr>
        <w:t>C</w:t>
      </w:r>
      <w:r w:rsidRPr="00541384">
        <w:rPr>
          <w:color w:val="222222"/>
          <w:shd w:val="clear" w:color="auto" w:fill="FFFFFF"/>
        </w:rPr>
        <w:t xml:space="preserve">ontexts in </w:t>
      </w:r>
      <w:r w:rsidR="00C740A1">
        <w:rPr>
          <w:color w:val="222222"/>
          <w:shd w:val="clear" w:color="auto" w:fill="FFFFFF"/>
          <w:lang w:val="en-US"/>
        </w:rPr>
        <w:t>A</w:t>
      </w:r>
      <w:r w:rsidRPr="00541384">
        <w:rPr>
          <w:color w:val="222222"/>
          <w:shd w:val="clear" w:color="auto" w:fill="FFFFFF"/>
        </w:rPr>
        <w:t>ssessmen</w:t>
      </w:r>
      <w:r w:rsidR="00C740A1">
        <w:rPr>
          <w:color w:val="222222"/>
          <w:shd w:val="clear" w:color="auto" w:fill="FFFFFF"/>
          <w:lang w:val="en-US"/>
        </w:rPr>
        <w:t xml:space="preserve"> P</w:t>
      </w:r>
      <w:r w:rsidRPr="00541384">
        <w:rPr>
          <w:color w:val="222222"/>
          <w:shd w:val="clear" w:color="auto" w:fill="FFFFFF"/>
        </w:rPr>
        <w:t xml:space="preserve">roblems in </w:t>
      </w:r>
      <w:r w:rsidR="00C740A1">
        <w:rPr>
          <w:color w:val="222222"/>
          <w:shd w:val="clear" w:color="auto" w:fill="FFFFFF"/>
          <w:lang w:val="en-US"/>
        </w:rPr>
        <w:t>M</w:t>
      </w:r>
      <w:r w:rsidRPr="00541384">
        <w:rPr>
          <w:color w:val="222222"/>
          <w:shd w:val="clear" w:color="auto" w:fill="FFFFFF"/>
        </w:rPr>
        <w:t>athematics. </w:t>
      </w:r>
      <w:r w:rsidRPr="00541384">
        <w:rPr>
          <w:i/>
          <w:iCs/>
          <w:color w:val="222222"/>
          <w:shd w:val="clear" w:color="auto" w:fill="FFFFFF"/>
        </w:rPr>
        <w:t>For the learning of mathematics</w:t>
      </w:r>
      <w:r w:rsidRPr="00541384">
        <w:rPr>
          <w:color w:val="222222"/>
          <w:shd w:val="clear" w:color="auto" w:fill="FFFFFF"/>
        </w:rPr>
        <w:t>, </w:t>
      </w:r>
      <w:r w:rsidRPr="00541384">
        <w:rPr>
          <w:i/>
          <w:iCs/>
          <w:color w:val="222222"/>
          <w:shd w:val="clear" w:color="auto" w:fill="FFFFFF"/>
        </w:rPr>
        <w:t>25</w:t>
      </w:r>
      <w:r w:rsidRPr="00541384">
        <w:rPr>
          <w:color w:val="222222"/>
          <w:shd w:val="clear" w:color="auto" w:fill="FFFFFF"/>
        </w:rPr>
        <w:t>(2), 2-23.</w:t>
      </w:r>
    </w:p>
    <w:p w14:paraId="6144E889" w14:textId="772AA0CE" w:rsidR="00AF6903" w:rsidRPr="00541384" w:rsidRDefault="00AF6903" w:rsidP="00C740A1">
      <w:pPr>
        <w:pStyle w:val="BodyText"/>
        <w:spacing w:before="166" w:line="256" w:lineRule="auto"/>
        <w:ind w:left="567" w:right="-58" w:hanging="567"/>
      </w:pPr>
      <w:r w:rsidRPr="00541384">
        <w:rPr>
          <w:color w:val="212121"/>
        </w:rPr>
        <w:t>Visser,</w:t>
      </w:r>
      <w:r w:rsidRPr="00541384">
        <w:rPr>
          <w:color w:val="212121"/>
          <w:spacing w:val="-9"/>
        </w:rPr>
        <w:t xml:space="preserve"> </w:t>
      </w:r>
      <w:r w:rsidRPr="00541384">
        <w:rPr>
          <w:color w:val="212121"/>
        </w:rPr>
        <w:t>B.</w:t>
      </w:r>
      <w:r w:rsidRPr="00541384">
        <w:rPr>
          <w:color w:val="212121"/>
          <w:spacing w:val="-8"/>
        </w:rPr>
        <w:t xml:space="preserve"> </w:t>
      </w:r>
      <w:r w:rsidRPr="00541384">
        <w:rPr>
          <w:color w:val="212121"/>
        </w:rPr>
        <w:t>A.,</w:t>
      </w:r>
      <w:r w:rsidRPr="00541384">
        <w:rPr>
          <w:color w:val="212121"/>
          <w:spacing w:val="-9"/>
        </w:rPr>
        <w:t xml:space="preserve"> </w:t>
      </w:r>
      <w:r w:rsidRPr="00541384">
        <w:rPr>
          <w:color w:val="212121"/>
        </w:rPr>
        <w:t>Ashton,</w:t>
      </w:r>
      <w:r w:rsidRPr="00541384">
        <w:rPr>
          <w:color w:val="212121"/>
          <w:spacing w:val="-7"/>
        </w:rPr>
        <w:t xml:space="preserve"> </w:t>
      </w:r>
      <w:r w:rsidRPr="00541384">
        <w:rPr>
          <w:color w:val="212121"/>
        </w:rPr>
        <w:t>M.</w:t>
      </w:r>
      <w:r w:rsidRPr="00541384">
        <w:rPr>
          <w:color w:val="212121"/>
          <w:spacing w:val="-6"/>
        </w:rPr>
        <w:t xml:space="preserve"> </w:t>
      </w:r>
      <w:r w:rsidRPr="00541384">
        <w:rPr>
          <w:color w:val="212121"/>
        </w:rPr>
        <w:t>C.,</w:t>
      </w:r>
      <w:r w:rsidRPr="00541384">
        <w:rPr>
          <w:color w:val="212121"/>
          <w:spacing w:val="-8"/>
        </w:rPr>
        <w:t xml:space="preserve"> </w:t>
      </w:r>
      <w:r w:rsidRPr="00541384">
        <w:rPr>
          <w:color w:val="212121"/>
        </w:rPr>
        <w:t>&amp;</w:t>
      </w:r>
      <w:r w:rsidRPr="00541384">
        <w:rPr>
          <w:color w:val="212121"/>
          <w:spacing w:val="-11"/>
        </w:rPr>
        <w:t xml:space="preserve"> </w:t>
      </w:r>
      <w:r w:rsidRPr="00541384">
        <w:rPr>
          <w:color w:val="212121"/>
        </w:rPr>
        <w:t>Vernon,</w:t>
      </w:r>
      <w:r w:rsidRPr="00541384">
        <w:rPr>
          <w:color w:val="212121"/>
          <w:spacing w:val="-8"/>
        </w:rPr>
        <w:t xml:space="preserve"> </w:t>
      </w:r>
      <w:r w:rsidRPr="00541384">
        <w:rPr>
          <w:color w:val="212121"/>
        </w:rPr>
        <w:t>P.</w:t>
      </w:r>
      <w:r w:rsidRPr="00541384">
        <w:rPr>
          <w:color w:val="212121"/>
          <w:spacing w:val="-9"/>
        </w:rPr>
        <w:t xml:space="preserve"> </w:t>
      </w:r>
      <w:r w:rsidRPr="00541384">
        <w:rPr>
          <w:color w:val="212121"/>
        </w:rPr>
        <w:t>A.</w:t>
      </w:r>
      <w:r w:rsidRPr="00541384">
        <w:rPr>
          <w:color w:val="212121"/>
          <w:spacing w:val="-6"/>
        </w:rPr>
        <w:t xml:space="preserve"> </w:t>
      </w:r>
      <w:r w:rsidRPr="00541384">
        <w:rPr>
          <w:color w:val="212121"/>
        </w:rPr>
        <w:t>(2006).</w:t>
      </w:r>
      <w:r w:rsidRPr="00541384">
        <w:rPr>
          <w:color w:val="212121"/>
          <w:spacing w:val="-9"/>
        </w:rPr>
        <w:t xml:space="preserve"> </w:t>
      </w:r>
      <w:r w:rsidRPr="00541384">
        <w:rPr>
          <w:color w:val="212121"/>
        </w:rPr>
        <w:t>Beyond</w:t>
      </w:r>
      <w:r w:rsidRPr="00541384">
        <w:rPr>
          <w:color w:val="212121"/>
          <w:spacing w:val="-8"/>
        </w:rPr>
        <w:t xml:space="preserve"> </w:t>
      </w:r>
      <w:r w:rsidRPr="00541384">
        <w:rPr>
          <w:color w:val="212121"/>
        </w:rPr>
        <w:t>g:</w:t>
      </w:r>
      <w:r w:rsidRPr="00541384">
        <w:rPr>
          <w:color w:val="212121"/>
          <w:spacing w:val="-8"/>
        </w:rPr>
        <w:t xml:space="preserve"> </w:t>
      </w:r>
      <w:r w:rsidRPr="00541384">
        <w:rPr>
          <w:color w:val="212121"/>
        </w:rPr>
        <w:t>Putting</w:t>
      </w:r>
      <w:r w:rsidRPr="00541384">
        <w:rPr>
          <w:color w:val="212121"/>
          <w:spacing w:val="-7"/>
        </w:rPr>
        <w:t xml:space="preserve"> </w:t>
      </w:r>
      <w:r w:rsidR="00C740A1">
        <w:rPr>
          <w:color w:val="212121"/>
          <w:lang w:val="en-US"/>
        </w:rPr>
        <w:t>M</w:t>
      </w:r>
      <w:r w:rsidRPr="00541384">
        <w:rPr>
          <w:color w:val="212121"/>
        </w:rPr>
        <w:t>ultiple</w:t>
      </w:r>
      <w:r w:rsidRPr="00541384">
        <w:rPr>
          <w:color w:val="212121"/>
          <w:spacing w:val="-9"/>
        </w:rPr>
        <w:t xml:space="preserve"> </w:t>
      </w:r>
      <w:r w:rsidR="00C740A1">
        <w:rPr>
          <w:color w:val="212121"/>
          <w:lang w:val="en-US"/>
        </w:rPr>
        <w:t>I</w:t>
      </w:r>
      <w:r w:rsidRPr="00541384">
        <w:rPr>
          <w:color w:val="212121"/>
        </w:rPr>
        <w:t xml:space="preserve">ntelligences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heory to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he </w:t>
      </w:r>
      <w:r w:rsidR="00C740A1">
        <w:rPr>
          <w:color w:val="212121"/>
          <w:lang w:val="en-US"/>
        </w:rPr>
        <w:t>T</w:t>
      </w:r>
      <w:r w:rsidRPr="00541384">
        <w:rPr>
          <w:color w:val="212121"/>
        </w:rPr>
        <w:t xml:space="preserve">est. </w:t>
      </w:r>
      <w:r w:rsidRPr="00541384">
        <w:rPr>
          <w:i/>
          <w:color w:val="212121"/>
        </w:rPr>
        <w:t>Intelligence</w:t>
      </w:r>
      <w:r w:rsidRPr="00541384">
        <w:rPr>
          <w:color w:val="212121"/>
        </w:rPr>
        <w:t>, 34(5),</w:t>
      </w:r>
      <w:r w:rsidRPr="00541384">
        <w:rPr>
          <w:color w:val="212121"/>
          <w:spacing w:val="-5"/>
        </w:rPr>
        <w:t xml:space="preserve"> </w:t>
      </w:r>
      <w:r w:rsidRPr="00541384">
        <w:rPr>
          <w:color w:val="212121"/>
        </w:rPr>
        <w:t>487-502.</w:t>
      </w:r>
    </w:p>
    <w:p w14:paraId="1E9A9429" w14:textId="0CA99850" w:rsidR="003B63DA" w:rsidRPr="00541384" w:rsidRDefault="003B63DA" w:rsidP="00C740A1">
      <w:pPr>
        <w:spacing w:before="165" w:line="256" w:lineRule="auto"/>
        <w:ind w:left="567" w:right="-58" w:hanging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Wahidin, W., &amp;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Sugiman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S. (2014).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Pengaruh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Pendekatan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PMRI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Terhadap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Motivasi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Berprestasi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Kemampuan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Pemecahan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Masalah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dan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Prestasi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Belajar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Pythagoras:</w:t>
      </w:r>
      <w:r w:rsidRPr="00541384">
        <w:rPr>
          <w:rFonts w:ascii="Times New Roman" w:hAnsi="Times New Roman" w:cs="Times New Roman"/>
          <w:i/>
          <w:color w:val="212121"/>
          <w:spacing w:val="-26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Jurnal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Pendidikan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Matematika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>, 9(1),</w:t>
      </w:r>
      <w:r w:rsidRPr="00541384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99-109.</w:t>
      </w:r>
    </w:p>
    <w:p w14:paraId="32689D72" w14:textId="5B7B2796" w:rsidR="003B63DA" w:rsidRPr="00541384" w:rsidRDefault="003B63DA" w:rsidP="00C740A1">
      <w:pPr>
        <w:pStyle w:val="BodyText"/>
        <w:spacing w:before="166" w:line="256" w:lineRule="auto"/>
        <w:ind w:left="567" w:right="-58" w:hanging="567"/>
        <w:jc w:val="both"/>
      </w:pPr>
      <w:r w:rsidRPr="00541384">
        <w:rPr>
          <w:color w:val="212121"/>
        </w:rPr>
        <w:t xml:space="preserve">Wijaya, A. (2012). Pendidikan </w:t>
      </w:r>
      <w:r w:rsidR="00C740A1">
        <w:rPr>
          <w:color w:val="212121"/>
          <w:lang w:val="en-US"/>
        </w:rPr>
        <w:t>M</w:t>
      </w:r>
      <w:r w:rsidRPr="00541384">
        <w:rPr>
          <w:color w:val="212121"/>
        </w:rPr>
        <w:t xml:space="preserve">atematika </w:t>
      </w:r>
      <w:r w:rsidR="00C740A1">
        <w:rPr>
          <w:color w:val="212121"/>
          <w:lang w:val="en-US"/>
        </w:rPr>
        <w:t>R</w:t>
      </w:r>
      <w:r w:rsidRPr="00541384">
        <w:rPr>
          <w:color w:val="212121"/>
        </w:rPr>
        <w:t xml:space="preserve">ealistik </w:t>
      </w:r>
      <w:r w:rsidR="00C740A1">
        <w:rPr>
          <w:color w:val="212121"/>
          <w:lang w:val="en-US"/>
        </w:rPr>
        <w:t>S</w:t>
      </w:r>
      <w:r w:rsidRPr="00541384">
        <w:rPr>
          <w:color w:val="212121"/>
        </w:rPr>
        <w:t xml:space="preserve">uatu </w:t>
      </w:r>
      <w:r w:rsidR="00C740A1">
        <w:rPr>
          <w:color w:val="212121"/>
          <w:lang w:val="en-US"/>
        </w:rPr>
        <w:t>A</w:t>
      </w:r>
      <w:r w:rsidRPr="00541384">
        <w:rPr>
          <w:color w:val="212121"/>
        </w:rPr>
        <w:t xml:space="preserve">lternatif </w:t>
      </w:r>
      <w:r w:rsidR="00C740A1">
        <w:rPr>
          <w:color w:val="212121"/>
          <w:lang w:val="en-US"/>
        </w:rPr>
        <w:t>P</w:t>
      </w:r>
      <w:r w:rsidRPr="00541384">
        <w:rPr>
          <w:color w:val="212121"/>
        </w:rPr>
        <w:t xml:space="preserve">endekatan </w:t>
      </w:r>
      <w:r w:rsidR="00C740A1">
        <w:rPr>
          <w:color w:val="212121"/>
          <w:lang w:val="en-US"/>
        </w:rPr>
        <w:t>P</w:t>
      </w:r>
      <w:r w:rsidRPr="00541384">
        <w:rPr>
          <w:color w:val="212121"/>
        </w:rPr>
        <w:t xml:space="preserve">embelajaran </w:t>
      </w:r>
      <w:r w:rsidR="00C740A1">
        <w:rPr>
          <w:color w:val="212121"/>
          <w:lang w:val="en-US"/>
        </w:rPr>
        <w:t>M</w:t>
      </w:r>
      <w:r w:rsidRPr="00541384">
        <w:rPr>
          <w:color w:val="212121"/>
        </w:rPr>
        <w:t xml:space="preserve">atematika. </w:t>
      </w:r>
      <w:r w:rsidRPr="00541384">
        <w:rPr>
          <w:i/>
          <w:color w:val="212121"/>
        </w:rPr>
        <w:t>Yogyakarta: Graha Ilmu</w:t>
      </w:r>
      <w:r w:rsidRPr="00541384">
        <w:rPr>
          <w:color w:val="212121"/>
        </w:rPr>
        <w:t>.</w:t>
      </w:r>
    </w:p>
    <w:p w14:paraId="1580DF4B" w14:textId="6BFE8754" w:rsidR="003B63DA" w:rsidRPr="00541384" w:rsidRDefault="003B63DA" w:rsidP="00C740A1">
      <w:pPr>
        <w:spacing w:before="168" w:line="259" w:lineRule="auto"/>
        <w:ind w:left="567" w:right="-58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Yulinda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, N. (2016).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Pengaruh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Pendekatan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Contextual Teaching Learning (CTL)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Terhadap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Kemampuan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Pemecahan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Masalah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Matematis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dan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Kepercayaan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Diri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Siswa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Pada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Materi</w:t>
      </w:r>
      <w:proofErr w:type="spellEnd"/>
      <w:r w:rsidRPr="00541384">
        <w:rPr>
          <w:rFonts w:ascii="Times New Roman" w:hAnsi="Times New Roman" w:cs="Times New Roman"/>
          <w:color w:val="212121"/>
          <w:sz w:val="24"/>
          <w:szCs w:val="24"/>
        </w:rPr>
        <w:t xml:space="preserve"> Volume</w:t>
      </w:r>
      <w:r w:rsidRPr="00541384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Kubus</w:t>
      </w:r>
      <w:proofErr w:type="spellEnd"/>
      <w:r w:rsidRPr="00541384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dan</w:t>
      </w:r>
      <w:r w:rsidRPr="00541384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color w:val="212121"/>
          <w:sz w:val="24"/>
          <w:szCs w:val="24"/>
        </w:rPr>
        <w:t>Balok</w:t>
      </w:r>
      <w:proofErr w:type="spellEnd"/>
      <w:r w:rsidRPr="00541384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(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Penelitian</w:t>
      </w:r>
      <w:proofErr w:type="spellEnd"/>
      <w:r w:rsidRPr="00541384">
        <w:rPr>
          <w:rFonts w:ascii="Times New Roman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Eksperimen</w:t>
      </w:r>
      <w:proofErr w:type="spellEnd"/>
      <w:r w:rsidRPr="00541384">
        <w:rPr>
          <w:rFonts w:ascii="Times New Roman" w:hAnsi="Times New Roman" w:cs="Times New Roman"/>
          <w:i/>
          <w:color w:val="212121"/>
          <w:spacing w:val="-6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terhadap</w:t>
      </w:r>
      <w:proofErr w:type="spellEnd"/>
      <w:r w:rsidRPr="00541384">
        <w:rPr>
          <w:rFonts w:ascii="Times New Roman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Siswa</w:t>
      </w:r>
      <w:proofErr w:type="spellEnd"/>
      <w:r w:rsidRPr="00541384">
        <w:rPr>
          <w:rFonts w:ascii="Times New Roman" w:hAnsi="Times New Roman" w:cs="Times New Roman"/>
          <w:i/>
          <w:color w:val="212121"/>
          <w:spacing w:val="-9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Kelas</w:t>
      </w:r>
      <w:r w:rsidRPr="00541384">
        <w:rPr>
          <w:rFonts w:ascii="Times New Roman" w:hAnsi="Times New Roman" w:cs="Times New Roman"/>
          <w:i/>
          <w:color w:val="212121"/>
          <w:spacing w:val="-8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V</w:t>
      </w:r>
      <w:r w:rsidRPr="00541384">
        <w:rPr>
          <w:rFonts w:ascii="Times New Roman" w:hAnsi="Times New Roman" w:cs="Times New Roman"/>
          <w:i/>
          <w:color w:val="212121"/>
          <w:spacing w:val="-11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SDN</w:t>
      </w:r>
      <w:r w:rsidRPr="00541384">
        <w:rPr>
          <w:rFonts w:ascii="Times New Roman" w:hAnsi="Times New Roman" w:cs="Times New Roman"/>
          <w:i/>
          <w:color w:val="212121"/>
          <w:spacing w:val="-7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Palasah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dan SDN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Mandalaherang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I di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Kecamatan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</w:t>
      </w:r>
      <w:proofErr w:type="spellStart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>Cimalaka</w:t>
      </w:r>
      <w:proofErr w:type="spellEnd"/>
      <w:r w:rsidRPr="00541384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)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(Doctoral dissertation, Universitas Pendidikan</w:t>
      </w:r>
      <w:r w:rsidRPr="00541384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541384">
        <w:rPr>
          <w:rFonts w:ascii="Times New Roman" w:hAnsi="Times New Roman" w:cs="Times New Roman"/>
          <w:color w:val="212121"/>
          <w:sz w:val="24"/>
          <w:szCs w:val="24"/>
        </w:rPr>
        <w:t>Indonesia).</w:t>
      </w:r>
    </w:p>
    <w:bookmarkEnd w:id="1"/>
    <w:p w14:paraId="3E179736" w14:textId="77777777" w:rsidR="003B63DA" w:rsidRDefault="003B63DA" w:rsidP="003B63DA">
      <w:pPr>
        <w:ind w:right="757"/>
        <w:jc w:val="both"/>
        <w:rPr>
          <w:sz w:val="24"/>
        </w:rPr>
      </w:pPr>
    </w:p>
    <w:p w14:paraId="24D6D448" w14:textId="609AA572" w:rsidR="003B63DA" w:rsidRDefault="003B63DA" w:rsidP="003B63DA">
      <w:pPr>
        <w:ind w:right="757"/>
        <w:jc w:val="both"/>
        <w:rPr>
          <w:sz w:val="24"/>
        </w:rPr>
      </w:pPr>
    </w:p>
    <w:p w14:paraId="27C9F7B5" w14:textId="77777777" w:rsidR="003B63DA" w:rsidRDefault="003B63DA" w:rsidP="003B63DA">
      <w:pPr>
        <w:ind w:right="757"/>
        <w:jc w:val="both"/>
        <w:rPr>
          <w:sz w:val="24"/>
        </w:rPr>
      </w:pPr>
    </w:p>
    <w:p w14:paraId="15E64639" w14:textId="3E20C8A8" w:rsidR="003B63DA" w:rsidRDefault="003B63DA" w:rsidP="003B63DA">
      <w:pPr>
        <w:ind w:right="757"/>
        <w:jc w:val="both"/>
        <w:rPr>
          <w:sz w:val="24"/>
        </w:rPr>
      </w:pPr>
    </w:p>
    <w:p w14:paraId="0ABEA79B" w14:textId="77777777" w:rsidR="003B63DA" w:rsidRDefault="003B63DA" w:rsidP="003B63DA">
      <w:pPr>
        <w:ind w:right="757"/>
        <w:jc w:val="both"/>
        <w:rPr>
          <w:sz w:val="24"/>
        </w:rPr>
      </w:pPr>
    </w:p>
    <w:p w14:paraId="6862B1DA" w14:textId="77777777" w:rsidR="00851834" w:rsidRDefault="00851834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DE884" w14:textId="77777777" w:rsidR="00851834" w:rsidRDefault="00851834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DCE25" w14:textId="77777777" w:rsidR="00851834" w:rsidRDefault="00851834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A3223" w14:textId="77777777" w:rsidR="00851834" w:rsidRDefault="008518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25A9A" w14:textId="77777777" w:rsidR="00851834" w:rsidRDefault="008518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AC9BE" w14:textId="77777777" w:rsidR="00851834" w:rsidRDefault="008518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A6B58" w14:textId="77777777" w:rsidR="00851834" w:rsidRDefault="00C740A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4E955" w14:textId="77777777" w:rsidR="00851834" w:rsidRDefault="0085183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F483DF7" w14:textId="77777777" w:rsidR="00851834" w:rsidRDefault="00851834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7E0FA3" w14:textId="77777777" w:rsidR="00851834" w:rsidRDefault="008518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C2AB111" w14:textId="77777777" w:rsidR="00851834" w:rsidRDefault="008518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D78C47" w14:textId="77777777" w:rsidR="00851834" w:rsidRDefault="008518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2D54FC" w14:textId="77777777" w:rsidR="00851834" w:rsidRDefault="008518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51834" w:rsidSect="00734FDF">
      <w:pgSz w:w="11906" w:h="16838"/>
      <w:pgMar w:top="1440" w:right="113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56924"/>
    <w:multiLevelType w:val="hybridMultilevel"/>
    <w:tmpl w:val="2402A886"/>
    <w:lvl w:ilvl="0" w:tplc="40045EE0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FC8197B"/>
    <w:multiLevelType w:val="hybridMultilevel"/>
    <w:tmpl w:val="2C2CD9A4"/>
    <w:lvl w:ilvl="0" w:tplc="586484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5A6A6A"/>
    <w:rsid w:val="00005269"/>
    <w:rsid w:val="00027FEB"/>
    <w:rsid w:val="000671D3"/>
    <w:rsid w:val="000A1491"/>
    <w:rsid w:val="000C611C"/>
    <w:rsid w:val="000E309B"/>
    <w:rsid w:val="00104FBC"/>
    <w:rsid w:val="00112B7A"/>
    <w:rsid w:val="00121023"/>
    <w:rsid w:val="00121858"/>
    <w:rsid w:val="00166CA3"/>
    <w:rsid w:val="001677BC"/>
    <w:rsid w:val="00171412"/>
    <w:rsid w:val="00181302"/>
    <w:rsid w:val="001D14B3"/>
    <w:rsid w:val="001D28CC"/>
    <w:rsid w:val="00201147"/>
    <w:rsid w:val="00261280"/>
    <w:rsid w:val="002A2C41"/>
    <w:rsid w:val="002A6906"/>
    <w:rsid w:val="002B3CBA"/>
    <w:rsid w:val="002C6A29"/>
    <w:rsid w:val="002F1DF0"/>
    <w:rsid w:val="002F74C9"/>
    <w:rsid w:val="00303FE2"/>
    <w:rsid w:val="00315D7D"/>
    <w:rsid w:val="00355FF5"/>
    <w:rsid w:val="003B63DA"/>
    <w:rsid w:val="00461175"/>
    <w:rsid w:val="004A0896"/>
    <w:rsid w:val="004C40FA"/>
    <w:rsid w:val="00533435"/>
    <w:rsid w:val="00541384"/>
    <w:rsid w:val="005548E8"/>
    <w:rsid w:val="00561CF2"/>
    <w:rsid w:val="00597F45"/>
    <w:rsid w:val="005A7A64"/>
    <w:rsid w:val="005E59C0"/>
    <w:rsid w:val="00622F81"/>
    <w:rsid w:val="006372A4"/>
    <w:rsid w:val="00647573"/>
    <w:rsid w:val="006578BB"/>
    <w:rsid w:val="00660ACB"/>
    <w:rsid w:val="00662E54"/>
    <w:rsid w:val="00683721"/>
    <w:rsid w:val="00687CD6"/>
    <w:rsid w:val="006E5010"/>
    <w:rsid w:val="0071045F"/>
    <w:rsid w:val="007201CC"/>
    <w:rsid w:val="00724BBB"/>
    <w:rsid w:val="00734FDF"/>
    <w:rsid w:val="00757EC9"/>
    <w:rsid w:val="0077756F"/>
    <w:rsid w:val="00780206"/>
    <w:rsid w:val="007A0EA1"/>
    <w:rsid w:val="007A3ACC"/>
    <w:rsid w:val="007E2783"/>
    <w:rsid w:val="007E558F"/>
    <w:rsid w:val="007F2DF4"/>
    <w:rsid w:val="00801F21"/>
    <w:rsid w:val="00801F78"/>
    <w:rsid w:val="00851834"/>
    <w:rsid w:val="00875483"/>
    <w:rsid w:val="00885720"/>
    <w:rsid w:val="008A5CC2"/>
    <w:rsid w:val="008B6652"/>
    <w:rsid w:val="00914127"/>
    <w:rsid w:val="009671AC"/>
    <w:rsid w:val="00971546"/>
    <w:rsid w:val="0098049A"/>
    <w:rsid w:val="00991F74"/>
    <w:rsid w:val="009970A3"/>
    <w:rsid w:val="009B1A6E"/>
    <w:rsid w:val="009C4293"/>
    <w:rsid w:val="009D4770"/>
    <w:rsid w:val="009E31D7"/>
    <w:rsid w:val="009E7C64"/>
    <w:rsid w:val="00A13EE3"/>
    <w:rsid w:val="00A23AB7"/>
    <w:rsid w:val="00A36833"/>
    <w:rsid w:val="00A36E7A"/>
    <w:rsid w:val="00A41485"/>
    <w:rsid w:val="00A43E19"/>
    <w:rsid w:val="00A6175D"/>
    <w:rsid w:val="00AA389E"/>
    <w:rsid w:val="00AA61C6"/>
    <w:rsid w:val="00AF46B9"/>
    <w:rsid w:val="00AF6903"/>
    <w:rsid w:val="00B2510B"/>
    <w:rsid w:val="00B725AE"/>
    <w:rsid w:val="00B95A6A"/>
    <w:rsid w:val="00B970AC"/>
    <w:rsid w:val="00BA0329"/>
    <w:rsid w:val="00BD1DC6"/>
    <w:rsid w:val="00C222B1"/>
    <w:rsid w:val="00C50DA8"/>
    <w:rsid w:val="00C740A1"/>
    <w:rsid w:val="00C76C16"/>
    <w:rsid w:val="00C844C5"/>
    <w:rsid w:val="00CE70C9"/>
    <w:rsid w:val="00CF2FC4"/>
    <w:rsid w:val="00D02CFE"/>
    <w:rsid w:val="00D15FBA"/>
    <w:rsid w:val="00D32DB8"/>
    <w:rsid w:val="00D4181D"/>
    <w:rsid w:val="00D559A1"/>
    <w:rsid w:val="00DA2AB4"/>
    <w:rsid w:val="00DC1907"/>
    <w:rsid w:val="00E77CE7"/>
    <w:rsid w:val="00EB4A24"/>
    <w:rsid w:val="00ED2D83"/>
    <w:rsid w:val="00EF38E9"/>
    <w:rsid w:val="00F00EA7"/>
    <w:rsid w:val="00F24724"/>
    <w:rsid w:val="00F568B7"/>
    <w:rsid w:val="00F618E4"/>
    <w:rsid w:val="115A6A6A"/>
    <w:rsid w:val="1B0C73DC"/>
    <w:rsid w:val="1E952D24"/>
    <w:rsid w:val="33202EBF"/>
    <w:rsid w:val="51350255"/>
    <w:rsid w:val="64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4060A"/>
  <w15:docId w15:val="{FEF83956-4746-439A-B2FE-B216D40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B63D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63DA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303FE2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5062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1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92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 b="1"/>
              <a:t>SKOR</a:t>
            </a:r>
            <a:r>
              <a:rPr lang="en-ID" b="1" baseline="0"/>
              <a:t> RATA-RATA</a:t>
            </a:r>
            <a:endParaRPr lang="en-ID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Reading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Pre Research</c:v>
                </c:pt>
                <c:pt idx="1">
                  <c:v>Cycle 1</c:v>
                </c:pt>
                <c:pt idx="2">
                  <c:v>Cycle II</c:v>
                </c:pt>
                <c:pt idx="3">
                  <c:v>Cycle III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1.125</c:v>
                </c:pt>
                <c:pt idx="1">
                  <c:v>1.25</c:v>
                </c:pt>
                <c:pt idx="2">
                  <c:v>1.5</c:v>
                </c:pt>
                <c:pt idx="3">
                  <c:v>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C-4DC1-AE9F-07569DBDFFF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Analyzis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Pre Research</c:v>
                </c:pt>
                <c:pt idx="1">
                  <c:v>Cycle 1</c:v>
                </c:pt>
                <c:pt idx="2">
                  <c:v>Cycle II</c:v>
                </c:pt>
                <c:pt idx="3">
                  <c:v>Cycle III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2.125</c:v>
                </c:pt>
                <c:pt idx="1">
                  <c:v>2.375</c:v>
                </c:pt>
                <c:pt idx="2">
                  <c:v>2.5</c:v>
                </c:pt>
                <c:pt idx="3">
                  <c:v>2.8125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FC-4DC1-AE9F-07569DBDF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8535088"/>
        <c:axId val="158538416"/>
      </c:barChart>
      <c:catAx>
        <c:axId val="15853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538416"/>
        <c:crosses val="autoZero"/>
        <c:auto val="1"/>
        <c:lblAlgn val="ctr"/>
        <c:lblOffset val="100"/>
        <c:noMultiLvlLbl val="0"/>
      </c:catAx>
      <c:valAx>
        <c:axId val="1585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53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 rot="0" spcFirstLastPara="0" vertOverflow="ellipsis" vert="horz" wrap="square" anchor="ctr" anchorCtr="1"/>
        <a:lstStyle/>
        <a:p>
          <a:pPr>
            <a:defRPr lang="en-US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Nilai Rata-rata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Tes Prapenelitian</c:v>
                </c:pt>
                <c:pt idx="1">
                  <c:v>Siklus 1</c:v>
                </c:pt>
                <c:pt idx="2">
                  <c:v>Siklus II</c:v>
                </c:pt>
                <c:pt idx="3">
                  <c:v>Siklus III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63.71</c:v>
                </c:pt>
                <c:pt idx="1">
                  <c:v>69.62</c:v>
                </c:pt>
                <c:pt idx="2">
                  <c:v>74.53</c:v>
                </c:pt>
                <c:pt idx="3">
                  <c:v>78.44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8-41C5-B705-39462507B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038080"/>
        <c:axId val="376143872"/>
      </c:barChart>
      <c:catAx>
        <c:axId val="15703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143872"/>
        <c:crosses val="autoZero"/>
        <c:auto val="1"/>
        <c:lblAlgn val="ctr"/>
        <c:lblOffset val="100"/>
        <c:noMultiLvlLbl val="0"/>
      </c:catAx>
      <c:valAx>
        <c:axId val="37614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038080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13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ernasari.agusta</dc:creator>
  <cp:lastModifiedBy>m.syafii08@outlook.com</cp:lastModifiedBy>
  <cp:revision>33</cp:revision>
  <cp:lastPrinted>2021-09-11T06:32:00Z</cp:lastPrinted>
  <dcterms:created xsi:type="dcterms:W3CDTF">2021-09-06T06:26:00Z</dcterms:created>
  <dcterms:modified xsi:type="dcterms:W3CDTF">2021-11-13T03:14:00Z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B4EA4A8BC47547C6B35EF6986C1C5234</vt:lpwstr>
  </property>
</Properties>
</file>